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APPLE INC. (NASDAQ: AAPL)</w:t>
              <w:br/>
              <w:t>Resultados Trimestrales Q3 FY2026, Earnings Call &amp; Análisis de Gobernanza</w:t>
            </w:r>
          </w:p>
          <w:p>
            <w:pPr>
              <w:spacing w:before="0" w:after="0"/>
            </w:pPr>
            <w:r>
              <w:rPr>
                <w:rFonts w:ascii="Calibri" w:hAnsi="Calibri"/>
                <w:i/>
                <w:color w:val="D1DFF5"/>
                <w:sz w:val="17"/>
              </w:rPr>
              <w:t>Fecha de Análisis: 14 de Septiembre de 2026 | Período Contable: 3 Meses finalizados el 27 de Junio de 2026</w:t>
              <w:br/>
              <w:t>Fuente Oficial: Formulario 10-Q, Formularios 8-K, Form 4, Form 144 (SEC EDGAR) &amp; Q3 FY26 Earnings Call Transcript</w:t>
            </w:r>
          </w:p>
        </w:tc>
      </w:tr>
    </w:tbl>
    <w:p>
      <w:pPr>
        <w:spacing w:after="120"/>
      </w:pPr>
    </w:p>
    <w:p>
      <w:pPr>
        <w:keepNext/>
        <w:spacing w:before="320" w:after="120"/>
      </w:pPr>
      <w:r>
        <w:rPr>
          <w:rFonts w:ascii="Calibri" w:hAnsi="Calibri"/>
          <w:b/>
          <w:color w:val="1B365D"/>
          <w:sz w:val="30"/>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2"/>
              </w:rPr>
              <w:t>📌 RESUMEN DEL MODELO DE NEGOCIO Y PROPUESTA DE VALOR</w:t>
              <w:br/>
            </w:r>
          </w:p>
          <w:p>
            <w:pPr>
              <w:spacing w:before="40" w:after="40" w:line="276" w:lineRule="auto"/>
            </w:pPr>
            <w:r>
              <w:rPr>
                <w:rFonts w:ascii="Calibri" w:hAnsi="Calibri"/>
                <w:color w:val="2D3748"/>
                <w:sz w:val="19"/>
              </w:rPr>
              <w:t>Apple Inc. diseña, fabrica y comercializa smartphones, computadoras personales, tablets, dispositivos corporales (wearables) y accesorios, integrando verticalmente hardware de alta gama con sistemas operativos propios (iOS, macOS, iPadOS, watchOS) y microprocesadores propietarios de silicio (Apple Silicon).</w:t>
            </w:r>
          </w:p>
          <w:p>
            <w:pPr>
              <w:spacing w:before="40" w:after="40" w:line="276" w:lineRule="auto"/>
            </w:pPr>
            <w:r>
              <w:rPr>
                <w:rFonts w:ascii="Calibri" w:hAnsi="Calibri"/>
                <w:color w:val="2D3748"/>
                <w:sz w:val="19"/>
              </w:rPr>
              <w:t>Su modelo de negocio opera como un ecosistema de fidelización (flywheel): la venta de hardware de vanguardia actúa como puerta de entrada para capturar usuarios en una plataforma cerrada, que luego monetiza de manera recurrente a través de una división de Servicios de altísimo margen (App Store, iCloud, Apple Pay, Apple Music, suscripciones y publicidad).</w:t>
            </w:r>
          </w:p>
        </w:tc>
      </w:tr>
    </w:tbl>
    <w:p>
      <w:pPr>
        <w:spacing w:after="80"/>
      </w:pPr>
    </w:p>
    <w:p>
      <w:pPr>
        <w:keepNext/>
        <w:spacing w:before="240" w:after="80"/>
      </w:pPr>
      <w:r>
        <w:rPr>
          <w:rFonts w:ascii="Calibri" w:hAnsi="Calibri"/>
          <w:b/>
          <w:color w:val="4A5568"/>
          <w:sz w:val="24"/>
        </w:rPr>
        <w:t>Estructura de Canales de Comercialización (Go-To-Market):</w:t>
      </w:r>
    </w:p>
    <w:p>
      <w:pPr>
        <w:spacing w:before="0" w:after="80" w:line="276" w:lineRule="auto"/>
      </w:pPr>
      <w:r>
        <w:rPr>
          <w:rFonts w:ascii="Calibri" w:hAnsi="Calibri"/>
          <w:i w:val="0"/>
          <w:color w:val="2D3748"/>
          <w:sz w:val="20"/>
        </w:rPr>
        <w:t>De acuerdo con la información auditada del Formulario 10-K ante la SEC, Apple distribuye sus productos y servicios a nivel global a través de dos grandes vías de acceso al mercado:</w:t>
      </w:r>
    </w:p>
    <w:p>
      <w:pPr>
        <w:spacing w:before="0" w:after="80" w:line="276" w:lineRule="auto"/>
      </w:pPr>
      <w:r>
        <w:rPr>
          <w:rFonts w:ascii="Calibri" w:hAnsi="Calibri"/>
          <w:b/>
          <w:color w:val="2D3748"/>
          <w:sz w:val="20"/>
        </w:rPr>
        <w:t xml:space="preserve">• Canal Directo (~40% de las ventas netas): </w:t>
      </w:r>
      <w:r>
        <w:rPr>
          <w:rFonts w:ascii="Calibri" w:hAnsi="Calibri"/>
          <w:i w:val="0"/>
          <w:color w:val="2D3748"/>
          <w:sz w:val="20"/>
        </w:rPr>
        <w:t>Operado mediante su red propia de más de 525 tiendas físicas (Apple Stores) en distritos comerciales prime de todo el mundo, su tienda digital en línea (apple.com) y equipos comerciales directos dedicados a empresas (B2B), educación y administraciones públicas. Aporta aproximadamente el 40% de las ventas netas.</w:t>
      </w:r>
    </w:p>
    <w:p>
      <w:pPr>
        <w:spacing w:before="0" w:after="80" w:line="276" w:lineRule="auto"/>
      </w:pPr>
      <w:r>
        <w:rPr>
          <w:rFonts w:ascii="Calibri" w:hAnsi="Calibri"/>
          <w:b/>
          <w:color w:val="2D3748"/>
          <w:sz w:val="20"/>
        </w:rPr>
        <w:t xml:space="preserve">• Canal Indirecto (~60% de las ventas netas): </w:t>
      </w:r>
      <w:r>
        <w:rPr>
          <w:rFonts w:ascii="Calibri" w:hAnsi="Calibri"/>
          <w:i w:val="0"/>
          <w:color w:val="2D3748"/>
          <w:sz w:val="20"/>
        </w:rPr>
        <w:t>Red internacional de distribución compuesta por las principales operadoras de telefonía celular (AT&amp;T, Verizon, Vodafone, China Mobile), grandes cadenas minoristas de electrónica, distribuidores mayoristas y revendedores autorizados (Apple Authorised Resellers). Aporta aproximadamente el 60% de las ventas netas.</w:t>
      </w:r>
    </w:p>
    <w:p>
      <w:pPr>
        <w:keepNext/>
        <w:spacing w:before="320" w:after="120"/>
      </w:pPr>
      <w:r>
        <w:rPr>
          <w:rFonts w:ascii="Calibri" w:hAnsi="Calibri"/>
          <w:b/>
          <w:color w:val="1B365D"/>
          <w:sz w:val="30"/>
        </w:rPr>
        <w:t>2. Desglose de Ventas por Línea de Productos y Servicios (Comparativa Interanual)</w:t>
      </w:r>
    </w:p>
    <w:p>
      <w:pPr>
        <w:spacing w:before="0" w:after="80" w:line="276" w:lineRule="auto"/>
      </w:pPr>
      <w:r>
        <w:rPr>
          <w:rFonts w:ascii="Calibri" w:hAnsi="Calibri"/>
          <w:i w:val="0"/>
          <w:color w:val="2D3748"/>
          <w:sz w:val="20"/>
        </w:rPr>
        <w:t>Durante los tres meses concluidos el 27 de junio de 2026 (Q3 FY26), la compañía reportó ingresos consolidados por $109,417 M, lo que representa un crecimiento interanual del +16.4% frente a los $94,036 M obtenidos en el mismo período del ejercicio anterior. A continuación se audita el desempeño y la mezcla de márgenes entre hardware y servicios:</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FY26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FY25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2016"/>
            <w:shd w:fill="1B365D"/>
            <w:tcMar>
              <w:top w:w="100" w:type="dxa"/>
              <w:bottom w:w="100" w:type="dxa"/>
              <w:left w:w="120" w:type="dxa"/>
              <w:right w:w="120" w:type="dxa"/>
            </w:tcMar>
          </w:tcPr>
          <w:p>
            <w:pPr>
              <w:spacing w:before="0" w:after="0"/>
              <w:jc w:val="right"/>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iPhone</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$54,252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$44,582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+21.7%</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40.1% (Hardware)</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Superciclo de la familia iPhone 17 (procesadores A19 / A19 Pro, iPhone Air). Récord histórico de renovaciones (upgraders).</w:t>
            </w:r>
          </w:p>
        </w:tc>
      </w:tr>
      <w:tr>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Mac</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$10,352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$8,046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+28.7%</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40.1% (Hardware)</w:t>
            </w:r>
          </w:p>
        </w:tc>
        <w:tc>
          <w:tcPr>
            <w:tcW w:type="dxa" w:w="2016"/>
            <w:shd w:fill="F7FAFC"/>
            <w:tcMar>
              <w:top w:w="80" w:type="dxa"/>
              <w:bottom w:w="80" w:type="dxa"/>
              <w:left w:w="120" w:type="dxa"/>
              <w:right w:w="120" w:type="dxa"/>
            </w:tcMar>
          </w:tcPr>
          <w:p>
            <w:pPr>
              <w:spacing w:before="0" w:after="0"/>
              <w:jc w:val="right"/>
            </w:pPr>
            <w:r>
              <w:rPr>
                <w:rFonts w:ascii="Calibri" w:hAnsi="Calibri"/>
                <w:b w:val="0"/>
                <w:color w:val="2D3748"/>
                <w:sz w:val="18"/>
              </w:rPr>
              <w:t>Récord histórico de junio. Fuerte demanda corporativa y educativa impulsada por el nuevo MacBook Neo.</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iPad</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$6,191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$6,581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-5.9%</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40.1% (Hardware)</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Comparativa dura contra el lanzamiento masivo del A16 en Q3 FY25; más del 50% de los compradores fueron nuevos usuarios.</w:t>
            </w:r>
          </w:p>
        </w:tc>
      </w:tr>
      <w:tr>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Wearables, Home &amp; Accessories</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$7,883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$7,404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+6.5%</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40.1% (Hardware)</w:t>
            </w:r>
          </w:p>
        </w:tc>
        <w:tc>
          <w:tcPr>
            <w:tcW w:type="dxa" w:w="2016"/>
            <w:shd w:fill="F7FAFC"/>
            <w:tcMar>
              <w:top w:w="80" w:type="dxa"/>
              <w:bottom w:w="80" w:type="dxa"/>
              <w:left w:w="120" w:type="dxa"/>
              <w:right w:w="120" w:type="dxa"/>
            </w:tcMar>
          </w:tcPr>
          <w:p>
            <w:pPr>
              <w:spacing w:before="0" w:after="0"/>
              <w:jc w:val="right"/>
            </w:pPr>
            <w:r>
              <w:rPr>
                <w:rFonts w:ascii="Calibri" w:hAnsi="Calibri"/>
                <w:b w:val="0"/>
                <w:color w:val="2D3748"/>
                <w:sz w:val="18"/>
              </w:rPr>
              <w:t>Récord de adopción en Apple Watch Series 11 y resiliencia en la división de audio AirPods y Beats.</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Servicios (Services)</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$30,739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$27,423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+12.1%</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75.6%</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Récord en Cloud y Pagos (Apple Pay); superó las 1,500M suscripciones activas; impacto de -2.5 pp por FX.</w:t>
            </w:r>
          </w:p>
        </w:tc>
      </w:tr>
      <w:tr>
        <w:tc>
          <w:tcPr>
            <w:tcW w:type="dxa" w:w="2160"/>
            <w:shd w:fill="F7FAFC"/>
            <w:tcMar>
              <w:top w:w="80" w:type="dxa"/>
              <w:bottom w:w="80" w:type="dxa"/>
              <w:left w:w="120" w:type="dxa"/>
              <w:right w:w="120" w:type="dxa"/>
            </w:tcMar>
          </w:tcPr>
          <w:p>
            <w:pPr>
              <w:spacing w:before="0" w:after="0"/>
              <w:jc w:val="left"/>
            </w:pPr>
            <w:r>
              <w:rPr>
                <w:rFonts w:ascii="Calibri" w:hAnsi="Calibri"/>
                <w:b/>
                <w:color w:val="1B365D"/>
                <w:sz w:val="18"/>
              </w:rPr>
              <w:t>TOTAL INGRESOS CONSOLIDADOS</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$109,417 M</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$94,036 M</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+16.4%</w:t>
            </w:r>
          </w:p>
        </w:tc>
        <w:tc>
          <w:tcPr>
            <w:tcW w:type="dxa" w:w="1296"/>
            <w:shd w:fill="F7FAFC"/>
            <w:tcMar>
              <w:top w:w="80" w:type="dxa"/>
              <w:bottom w:w="80" w:type="dxa"/>
              <w:left w:w="120" w:type="dxa"/>
              <w:right w:w="120" w:type="dxa"/>
            </w:tcMar>
          </w:tcPr>
          <w:p>
            <w:pPr>
              <w:spacing w:before="0" w:after="0"/>
              <w:jc w:val="right"/>
            </w:pPr>
            <w:r>
              <w:rPr>
                <w:rFonts w:ascii="Calibri" w:hAnsi="Calibri"/>
                <w:b/>
                <w:color w:val="1B365D"/>
                <w:sz w:val="18"/>
              </w:rPr>
              <w:t>50.1%</w:t>
            </w:r>
          </w:p>
        </w:tc>
        <w:tc>
          <w:tcPr>
            <w:tcW w:type="dxa" w:w="2016"/>
            <w:shd w:fill="F7FAFC"/>
            <w:tcMar>
              <w:top w:w="80" w:type="dxa"/>
              <w:bottom w:w="80" w:type="dxa"/>
              <w:left w:w="120" w:type="dxa"/>
              <w:right w:w="120" w:type="dxa"/>
            </w:tcMar>
          </w:tcPr>
          <w:p>
            <w:pPr>
              <w:spacing w:before="0" w:after="0"/>
              <w:jc w:val="right"/>
            </w:pPr>
            <w:r>
              <w:rPr>
                <w:rFonts w:ascii="Calibri" w:hAnsi="Calibri"/>
                <w:b/>
                <w:color w:val="1B365D"/>
                <w:sz w:val="18"/>
              </w:rPr>
              <w:t>Récord global de ingresos y beneficios en el trimestre; expansión de 357 bps en margen bruto.</w:t>
            </w:r>
          </w:p>
        </w:tc>
      </w:tr>
    </w:tbl>
    <w:p>
      <w:pPr>
        <w:spacing w:after="120"/>
      </w:pPr>
    </w:p>
    <w:p>
      <w:pPr>
        <w:keepNext/>
        <w:spacing w:before="240" w:after="80"/>
      </w:pPr>
      <w:r>
        <w:rPr>
          <w:rFonts w:ascii="Calibri" w:hAnsi="Calibri"/>
          <w:b/>
          <w:color w:val="4A5568"/>
          <w:sz w:val="24"/>
        </w:rPr>
        <w:t>Análisis Cualitativo de las Líneas de Negocio:</w:t>
      </w:r>
    </w:p>
    <w:p>
      <w:pPr>
        <w:spacing w:before="0" w:after="80" w:line="276" w:lineRule="auto"/>
      </w:pPr>
      <w:r>
        <w:rPr>
          <w:rFonts w:ascii="Calibri" w:hAnsi="Calibri"/>
          <w:b/>
          <w:color w:val="2D3748"/>
          <w:sz w:val="20"/>
        </w:rPr>
        <w:t xml:space="preserve">• iPhone como Motor de Volumen y Margen: </w:t>
      </w:r>
      <w:r>
        <w:rPr>
          <w:rFonts w:ascii="Calibri" w:hAnsi="Calibri"/>
          <w:i w:val="0"/>
          <w:color w:val="2D3748"/>
          <w:sz w:val="20"/>
        </w:rPr>
        <w:t>Representa el 49.6% de los ingresos totales. El ciclo actual destaca por una fuerte preferencia del consumidor hacia las gamas Pro y Pro Max, elevando el precio medio de venta (ASP) y acelerando la tasa de reemplazo en mercados desarrollados.</w:t>
      </w:r>
    </w:p>
    <w:p>
      <w:pPr>
        <w:spacing w:before="0" w:after="80" w:line="276" w:lineRule="auto"/>
      </w:pPr>
      <w:r>
        <w:rPr>
          <w:rFonts w:ascii="Calibri" w:hAnsi="Calibri"/>
          <w:b/>
          <w:color w:val="2D3748"/>
          <w:sz w:val="20"/>
        </w:rPr>
        <w:t xml:space="preserve">• Mac y la Tracción de Apple Silicon: </w:t>
      </w:r>
      <w:r>
        <w:rPr>
          <w:rFonts w:ascii="Calibri" w:hAnsi="Calibri"/>
          <w:i w:val="0"/>
          <w:color w:val="2D3748"/>
          <w:sz w:val="20"/>
        </w:rPr>
        <w:t>Crecimiento extraordinario del +28.7% YoY. La arquitectura de silicio propietario (M-series) sigue desplazando activamente dispositivos Windows y Chromebooks en compras institucionales (&gt;50% de desplazamiento en educación).</w:t>
      </w:r>
    </w:p>
    <w:p>
      <w:pPr>
        <w:spacing w:before="0" w:after="80" w:line="276" w:lineRule="auto"/>
      </w:pPr>
      <w:r>
        <w:rPr>
          <w:rFonts w:ascii="Calibri" w:hAnsi="Calibri"/>
          <w:b/>
          <w:color w:val="2D3748"/>
          <w:sz w:val="20"/>
        </w:rPr>
        <w:t xml:space="preserve">• Servicios como Estabilizador Antirriesgo: </w:t>
      </w:r>
      <w:r>
        <w:rPr>
          <w:rFonts w:ascii="Calibri" w:hAnsi="Calibri"/>
          <w:i w:val="0"/>
          <w:color w:val="2D3748"/>
          <w:sz w:val="20"/>
        </w:rPr>
        <w:t>Aporta el 28.1% de la facturación pero explica casi el 42% del margen bruto total en dólares de la empresa gracias a su rentabilidad del 75.6%, otorgando estabilidad anticíclica ante las fluctuaciones del hardware.</w:t>
      </w:r>
    </w:p>
    <w:p>
      <w:pPr>
        <w:keepNext/>
        <w:spacing w:before="320" w:after="120"/>
      </w:pPr>
      <w:r>
        <w:rPr>
          <w:rFonts w:ascii="Calibri" w:hAnsi="Calibri"/>
          <w:b/>
          <w:color w:val="1B365D"/>
          <w:sz w:val="30"/>
        </w:rPr>
        <w:t>3. Desglose Geográfico: Mercados y Países de Comercialización (Comparativa Interanual)</w:t>
      </w:r>
    </w:p>
    <w:p>
      <w:pPr>
        <w:spacing w:before="0" w:after="80" w:line="276" w:lineRule="auto"/>
      </w:pPr>
      <w:r>
        <w:rPr>
          <w:rFonts w:ascii="Calibri" w:hAnsi="Calibri"/>
          <w:i w:val="0"/>
          <w:color w:val="2D3748"/>
          <w:sz w:val="20"/>
        </w:rPr>
        <w:t>Apple gestiona y reporta sus operaciones sobre una base geográfica dividida en cinco macro-regiones mundiales. En el período actual, la totalidad de las geografías reportaron crecimiento de doble dígito, reflejando una reactivación sincronizada de la demanda internacional: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FY26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FY25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right"/>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Américas</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$45,781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$41,198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+11.1%</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41.8%</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Principal mercado generador de caja. Sólida demanda en EE.UU. y récord de facturación en América Latina.</w:t>
            </w:r>
          </w:p>
        </w:tc>
      </w:tr>
      <w:tr>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Europa</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$29,395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$24,014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+22.4%</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26.9%</w:t>
            </w:r>
          </w:p>
        </w:tc>
        <w:tc>
          <w:tcPr>
            <w:tcW w:type="dxa" w:w="2016"/>
            <w:shd w:fill="F7FAFC"/>
            <w:tcMar>
              <w:top w:w="80" w:type="dxa"/>
              <w:bottom w:w="80" w:type="dxa"/>
              <w:left w:w="120" w:type="dxa"/>
              <w:right w:w="120" w:type="dxa"/>
            </w:tcMar>
          </w:tcPr>
          <w:p>
            <w:pPr>
              <w:spacing w:before="0" w:after="0"/>
              <w:jc w:val="right"/>
            </w:pPr>
            <w:r>
              <w:rPr>
                <w:rFonts w:ascii="Calibri" w:hAnsi="Calibri"/>
                <w:b w:val="0"/>
                <w:color w:val="2D3748"/>
                <w:sz w:val="18"/>
              </w:rPr>
              <w:t>Incluye Europa, Reino Unido, Medio Oriente e India. Expansión acelerada de dos dígitos en India.</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Gran China (Greater China)</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$18,816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$15,369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+22.4%</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17.2%</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Comprende China continental, Taiwán y Hong Kong. Fuerte rebote (+22.4%) tras trimestres de escepticismo competitivo.</w:t>
            </w:r>
          </w:p>
        </w:tc>
      </w:tr>
      <w:tr>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Resto de Asia-Pacífico</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$8,871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$7,673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+15.6%</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8.1%</w:t>
            </w:r>
          </w:p>
        </w:tc>
        <w:tc>
          <w:tcPr>
            <w:tcW w:type="dxa" w:w="2016"/>
            <w:shd w:fill="F7FAFC"/>
            <w:tcMar>
              <w:top w:w="80" w:type="dxa"/>
              <w:bottom w:w="80" w:type="dxa"/>
              <w:left w:w="120" w:type="dxa"/>
              <w:right w:w="120" w:type="dxa"/>
            </w:tcMar>
          </w:tcPr>
          <w:p>
            <w:pPr>
              <w:spacing w:before="0" w:after="0"/>
              <w:jc w:val="right"/>
            </w:pPr>
            <w:r>
              <w:rPr>
                <w:rFonts w:ascii="Calibri" w:hAnsi="Calibri"/>
                <w:b w:val="0"/>
                <w:color w:val="2D3748"/>
                <w:sz w:val="18"/>
              </w:rPr>
              <w:t>Incluye Australia, Corea del Sur y Sudeste Asiático. Gran captación de nuevos compradores para Mac e iPad.</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Japón</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$6,554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$5,782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+13.4%</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6.0%</w:t>
            </w:r>
          </w:p>
        </w:tc>
        <w:tc>
          <w:tcPr>
            <w:tcW w:type="dxa" w:w="2016"/>
            <w:shd w:fill="FFFFFF"/>
            <w:tcMar>
              <w:top w:w="80" w:type="dxa"/>
              <w:bottom w:w="80" w:type="dxa"/>
              <w:left w:w="120" w:type="dxa"/>
              <w:right w:w="120" w:type="dxa"/>
            </w:tcMar>
          </w:tcPr>
          <w:p>
            <w:pPr>
              <w:spacing w:before="0" w:after="0"/>
              <w:jc w:val="right"/>
            </w:pPr>
            <w:r>
              <w:rPr>
                <w:rFonts w:ascii="Calibri" w:hAnsi="Calibri"/>
                <w:b w:val="0"/>
                <w:color w:val="2D3748"/>
                <w:sz w:val="18"/>
              </w:rPr>
              <w:t>Mercado de altísima fidelidad al iPhone; resiliencia operativa frente a la depreciación del Yen.</w:t>
            </w:r>
          </w:p>
        </w:tc>
      </w:tr>
      <w:tr>
        <w:tc>
          <w:tcPr>
            <w:tcW w:type="dxa" w:w="2160"/>
            <w:shd w:fill="F7FAFC"/>
            <w:tcMar>
              <w:top w:w="80" w:type="dxa"/>
              <w:bottom w:w="80" w:type="dxa"/>
              <w:left w:w="120" w:type="dxa"/>
              <w:right w:w="120" w:type="dxa"/>
            </w:tcMar>
          </w:tcPr>
          <w:p>
            <w:pPr>
              <w:spacing w:before="0" w:after="0"/>
              <w:jc w:val="left"/>
            </w:pPr>
            <w:r>
              <w:rPr>
                <w:rFonts w:ascii="Calibri" w:hAnsi="Calibri"/>
                <w:b/>
                <w:color w:val="1B365D"/>
                <w:sz w:val="18"/>
              </w:rPr>
              <w:t>TOTAL VENTAS GEOGRÁFICAS</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$109,417 M</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$94,036 M</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+16.4%</w:t>
            </w:r>
          </w:p>
        </w:tc>
        <w:tc>
          <w:tcPr>
            <w:tcW w:type="dxa" w:w="1296"/>
            <w:shd w:fill="F7FAFC"/>
            <w:tcMar>
              <w:top w:w="80" w:type="dxa"/>
              <w:bottom w:w="80" w:type="dxa"/>
              <w:left w:w="120" w:type="dxa"/>
              <w:right w:w="120" w:type="dxa"/>
            </w:tcMar>
          </w:tcPr>
          <w:p>
            <w:pPr>
              <w:spacing w:before="0" w:after="0"/>
              <w:jc w:val="right"/>
            </w:pPr>
            <w:r>
              <w:rPr>
                <w:rFonts w:ascii="Calibri" w:hAnsi="Calibri"/>
                <w:b/>
                <w:color w:val="1B365D"/>
                <w:sz w:val="18"/>
              </w:rPr>
              <w:t>100.0%</w:t>
            </w:r>
          </w:p>
        </w:tc>
        <w:tc>
          <w:tcPr>
            <w:tcW w:type="dxa" w:w="2016"/>
            <w:shd w:fill="F7FAFC"/>
            <w:tcMar>
              <w:top w:w="80" w:type="dxa"/>
              <w:bottom w:w="80" w:type="dxa"/>
              <w:left w:w="120" w:type="dxa"/>
              <w:right w:w="120" w:type="dxa"/>
            </w:tcMar>
          </w:tcPr>
          <w:p>
            <w:pPr>
              <w:spacing w:before="0" w:after="0"/>
              <w:jc w:val="right"/>
            </w:pPr>
            <w:r>
              <w:rPr>
                <w:rFonts w:ascii="Calibri" w:hAnsi="Calibri"/>
                <w:b/>
                <w:color w:val="1B365D"/>
                <w:sz w:val="18"/>
              </w:rPr>
              <w:t>Crecimiento de doble dígito en todas las regiones reportadas; fuerte dinamismo internacional.</w:t>
            </w:r>
          </w:p>
        </w:tc>
      </w:tr>
    </w:tbl>
    <w:p>
      <w:pPr>
        <w:spacing w:after="120"/>
      </w:pPr>
    </w:p>
    <w:p>
      <w:pPr>
        <w:keepNext/>
        <w:spacing w:before="240" w:after="80"/>
      </w:pPr>
      <w:r>
        <w:rPr>
          <w:rFonts w:ascii="Calibri" w:hAnsi="Calibri"/>
          <w:b/>
          <w:color w:val="4A5568"/>
          <w:sz w:val="24"/>
        </w:rPr>
        <w:t>Conclusión sobre Exposición Geográfica y Riesgo Cambiario (FX):</w:t>
      </w:r>
    </w:p>
    <w:p>
      <w:pPr>
        <w:spacing w:before="0" w:after="80" w:line="276" w:lineRule="auto"/>
      </w:pPr>
      <w:r>
        <w:rPr>
          <w:rFonts w:ascii="Calibri" w:hAnsi="Calibri"/>
          <w:b/>
          <w:color w:val="2D3748"/>
          <w:sz w:val="20"/>
        </w:rPr>
        <w:t xml:space="preserve">• Diversificación Internacional y Viento Cambiario: </w:t>
      </w:r>
      <w:r>
        <w:rPr>
          <w:rFonts w:ascii="Calibri" w:hAnsi="Calibri"/>
          <w:i w:val="0"/>
          <w:color w:val="2D3748"/>
          <w:sz w:val="20"/>
        </w:rPr>
        <w:t>El 58.2% de los ingresos de Apple se genera fuera de EE.UU. Si bien esto garantiza una diversificación global óptima, expone a la compañía a la apreciación del dólar frente a las divisas locales. Para el próximo trimestre, el CFO Kevan Parekh estimó un impacto adverso por tipo de cambio de aproximadamente -2.5 puntos porcentuales en la tasa de crecimiento consolidada.</w:t>
      </w:r>
    </w:p>
    <w:p>
      <w:pPr>
        <w:spacing w:before="0" w:after="80" w:line="276" w:lineRule="auto"/>
      </w:pPr>
      <w:r>
        <w:rPr>
          <w:rFonts w:ascii="Calibri" w:hAnsi="Calibri"/>
          <w:b/>
          <w:color w:val="2D3748"/>
          <w:sz w:val="20"/>
        </w:rPr>
        <w:t xml:space="preserve">• El Eje Estratégico China - India: </w:t>
      </w:r>
      <w:r>
        <w:rPr>
          <w:rFonts w:ascii="Calibri" w:hAnsi="Calibri"/>
          <w:i w:val="0"/>
          <w:color w:val="2D3748"/>
          <w:sz w:val="20"/>
        </w:rPr>
        <w:t>Mientras Gran China (+22.4%) consolida su estabilización como eje crítico de demanda y fabricación, la clasificación de India dentro del segmento europeo refleja una tasa de crecimiento de triple dígito en aperturas de retail y ventas corporativas, convirtiéndose en el gran vector de crecimiento demográfico para la base instalada.</w:t>
      </w:r>
    </w:p>
    <w:p>
      <w:pPr>
        <w:keepNext/>
        <w:spacing w:before="320" w:after="120"/>
      </w:pPr>
      <w:r>
        <w:rPr>
          <w:rFonts w:ascii="Calibri" w:hAnsi="Calibri"/>
          <w:b/>
          <w:color w:val="1B365D"/>
          <w:sz w:val="30"/>
        </w:rPr>
        <w:t>4. Resumen Ejecutivo y Cuadro de Mando Financiero (Scorecard)</w:t>
      </w:r>
    </w:p>
    <w:p>
      <w:pPr>
        <w:spacing w:before="0" w:after="80" w:line="276" w:lineRule="auto"/>
      </w:pPr>
      <w:r>
        <w:rPr>
          <w:rFonts w:ascii="Calibri" w:hAnsi="Calibri"/>
          <w:i w:val="0"/>
          <w:color w:val="2D3748"/>
          <w:sz w:val="20"/>
        </w:rPr>
        <w:t>Apple Inc. ha presentado unos resultados correspondientes al tercer trimestre del ejercicio fiscal 2026 (Q3 FY26) que superaron ampliamente las previsiones de consenso en ingresos y beneficio por acción, estableciendo nuevos récords históricos para un trimestre de junio a nivel global. El período estuvo marcado por una sólida expansión de márgenes en hardware y servicios y una excepcional conversión de beneficios contables en efectivo real disponible para los accionistas:</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Q3 FY26 (Reportado)</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FY25 (Previo)</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3024"/>
            <w:shd w:fill="1B365D"/>
            <w:tcMar>
              <w:top w:w="100" w:type="dxa"/>
              <w:bottom w:w="100" w:type="dxa"/>
              <w:left w:w="120" w:type="dxa"/>
              <w:right w:w="120" w:type="dxa"/>
            </w:tcMar>
          </w:tcPr>
          <w:p>
            <w:pPr>
              <w:spacing w:before="0" w:after="0"/>
              <w:jc w:val="right"/>
            </w:pPr>
            <w:r>
              <w:rPr>
                <w:rFonts w:ascii="Calibri" w:hAnsi="Calibri"/>
                <w:b/>
                <w:color w:val="FFFFFF"/>
                <w:sz w:val="19"/>
              </w:rPr>
              <w:t>Diagnóstico Fundamental y Salud Operativa</w:t>
            </w:r>
          </w:p>
        </w:tc>
      </w:tr>
      <w:tr>
        <w:tc>
          <w:tcPr>
            <w:tcW w:type="dxa" w:w="2304"/>
            <w:shd w:fill="FFFFFF"/>
            <w:tcMar>
              <w:top w:w="80" w:type="dxa"/>
              <w:bottom w:w="80" w:type="dxa"/>
              <w:left w:w="120" w:type="dxa"/>
              <w:right w:w="120" w:type="dxa"/>
            </w:tcMar>
          </w:tcPr>
          <w:p>
            <w:pPr>
              <w:spacing w:before="0" w:after="0"/>
              <w:jc w:val="left"/>
            </w:pPr>
            <w:r>
              <w:rPr>
                <w:rFonts w:ascii="Calibri" w:hAnsi="Calibri"/>
                <w:b/>
                <w:color w:val="1B365D"/>
                <w:sz w:val="18"/>
              </w:rPr>
              <w:t>Ingresos Netos Totales</w:t>
            </w:r>
          </w:p>
        </w:tc>
        <w:tc>
          <w:tcPr>
            <w:tcW w:type="dxa" w:w="1584"/>
            <w:shd w:fill="FFFFFF"/>
            <w:tcMar>
              <w:top w:w="80" w:type="dxa"/>
              <w:bottom w:w="80" w:type="dxa"/>
              <w:left w:w="120" w:type="dxa"/>
              <w:right w:w="120" w:type="dxa"/>
            </w:tcMar>
          </w:tcPr>
          <w:p>
            <w:pPr>
              <w:spacing w:before="0" w:after="0"/>
              <w:jc w:val="right"/>
            </w:pPr>
            <w:r>
              <w:rPr>
                <w:rFonts w:ascii="Calibri" w:hAnsi="Calibri"/>
                <w:b/>
                <w:color w:val="1B365D"/>
                <w:sz w:val="18"/>
              </w:rPr>
              <w:t>$109,417 M</w:t>
            </w:r>
          </w:p>
        </w:tc>
        <w:tc>
          <w:tcPr>
            <w:tcW w:type="dxa" w:w="1440"/>
            <w:shd w:fill="FFFFFF"/>
            <w:tcMar>
              <w:top w:w="80" w:type="dxa"/>
              <w:bottom w:w="80" w:type="dxa"/>
              <w:left w:w="120" w:type="dxa"/>
              <w:right w:w="120" w:type="dxa"/>
            </w:tcMar>
          </w:tcPr>
          <w:p>
            <w:pPr>
              <w:spacing w:before="0" w:after="0"/>
              <w:jc w:val="right"/>
            </w:pPr>
            <w:r>
              <w:rPr>
                <w:rFonts w:ascii="Calibri" w:hAnsi="Calibri"/>
                <w:b/>
                <w:color w:val="1B365D"/>
                <w:sz w:val="18"/>
              </w:rPr>
              <w:t>$94,036 M</w:t>
            </w:r>
          </w:p>
        </w:tc>
        <w:tc>
          <w:tcPr>
            <w:tcW w:type="dxa" w:w="1440"/>
            <w:shd w:fill="FFFFFF"/>
            <w:tcMar>
              <w:top w:w="80" w:type="dxa"/>
              <w:bottom w:w="80" w:type="dxa"/>
              <w:left w:w="120" w:type="dxa"/>
              <w:right w:w="120" w:type="dxa"/>
            </w:tcMar>
          </w:tcPr>
          <w:p>
            <w:pPr>
              <w:spacing w:before="0" w:after="0"/>
              <w:jc w:val="right"/>
            </w:pPr>
            <w:r>
              <w:rPr>
                <w:rFonts w:ascii="Calibri" w:hAnsi="Calibri"/>
                <w:b/>
                <w:color w:val="1B365D"/>
                <w:sz w:val="18"/>
              </w:rPr>
              <w:t>+16.4%</w:t>
            </w:r>
          </w:p>
        </w:tc>
        <w:tc>
          <w:tcPr>
            <w:tcW w:type="dxa" w:w="3024"/>
            <w:shd w:fill="FFFFFF"/>
            <w:tcMar>
              <w:top w:w="80" w:type="dxa"/>
              <w:bottom w:w="80" w:type="dxa"/>
              <w:left w:w="120" w:type="dxa"/>
              <w:right w:w="120" w:type="dxa"/>
            </w:tcMar>
          </w:tcPr>
          <w:p>
            <w:pPr>
              <w:spacing w:before="0" w:after="0"/>
              <w:jc w:val="right"/>
            </w:pPr>
            <w:r>
              <w:rPr>
                <w:rFonts w:ascii="Calibri" w:hAnsi="Calibri"/>
                <w:b/>
                <w:color w:val="1B365D"/>
                <w:sz w:val="18"/>
              </w:rPr>
              <w:t>Récord histórico de junio; crecimiento acelerado de doble dígito en hardware y servicios.</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Margen Bruto ($M)</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$54,770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$43,718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+25.3%</w:t>
            </w:r>
          </w:p>
        </w:tc>
        <w:tc>
          <w:tcPr>
            <w:tcW w:type="dxa" w:w="3024"/>
            <w:shd w:fill="F7FAFC"/>
            <w:tcMar>
              <w:top w:w="80" w:type="dxa"/>
              <w:bottom w:w="80" w:type="dxa"/>
              <w:left w:w="120" w:type="dxa"/>
              <w:right w:w="120" w:type="dxa"/>
            </w:tcMar>
          </w:tcPr>
          <w:p>
            <w:pPr>
              <w:spacing w:before="0" w:after="0"/>
              <w:jc w:val="right"/>
            </w:pPr>
            <w:r>
              <w:rPr>
                <w:rFonts w:ascii="Calibri" w:hAnsi="Calibri"/>
                <w:b w:val="0"/>
                <w:color w:val="2D3748"/>
                <w:sz w:val="18"/>
              </w:rPr>
              <w:t>Fuerte poder de fijación de precios y mix favorable hacia gamas Pro y Servicios.</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Margen Bruto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50.06%</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46.49%</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+357 bps</w:t>
            </w:r>
          </w:p>
        </w:tc>
        <w:tc>
          <w:tcPr>
            <w:tcW w:type="dxa" w:w="3024"/>
            <w:shd w:fill="FFFFFF"/>
            <w:tcMar>
              <w:top w:w="80" w:type="dxa"/>
              <w:bottom w:w="80" w:type="dxa"/>
              <w:left w:w="120" w:type="dxa"/>
              <w:right w:w="120" w:type="dxa"/>
            </w:tcMar>
          </w:tcPr>
          <w:p>
            <w:pPr>
              <w:spacing w:before="0" w:after="0"/>
              <w:jc w:val="right"/>
            </w:pPr>
            <w:r>
              <w:rPr>
                <w:rFonts w:ascii="Calibri" w:hAnsi="Calibri"/>
                <w:b w:val="0"/>
                <w:color w:val="2D3748"/>
                <w:sz w:val="18"/>
              </w:rPr>
              <w:t>Expansión estructural de rentabilidad (incluye +200 bps de créditos arancelarios; subyacente ~48.1%).</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Gastos Operativos (OpEx)</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$19,075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$15,516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+22.9%</w:t>
            </w:r>
          </w:p>
        </w:tc>
        <w:tc>
          <w:tcPr>
            <w:tcW w:type="dxa" w:w="3024"/>
            <w:shd w:fill="F7FAFC"/>
            <w:tcMar>
              <w:top w:w="80" w:type="dxa"/>
              <w:bottom w:w="80" w:type="dxa"/>
              <w:left w:w="120" w:type="dxa"/>
              <w:right w:w="120" w:type="dxa"/>
            </w:tcMar>
          </w:tcPr>
          <w:p>
            <w:pPr>
              <w:spacing w:before="0" w:after="0"/>
              <w:jc w:val="right"/>
            </w:pPr>
            <w:r>
              <w:rPr>
                <w:rFonts w:ascii="Calibri" w:hAnsi="Calibri"/>
                <w:b w:val="0"/>
                <w:color w:val="2D3748"/>
                <w:sz w:val="18"/>
              </w:rPr>
              <w:t>Inversión estratégica controlada; aceleración selectiva en I+D (+32.3% YoY) por infraestructura de IA.</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Beneficio Operativo (EBIT)</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$35,695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$28,202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+26.6%</w:t>
            </w:r>
          </w:p>
        </w:tc>
        <w:tc>
          <w:tcPr>
            <w:tcW w:type="dxa" w:w="3024"/>
            <w:shd w:fill="FFFFFF"/>
            <w:tcMar>
              <w:top w:w="80" w:type="dxa"/>
              <w:bottom w:w="80" w:type="dxa"/>
              <w:left w:w="120" w:type="dxa"/>
              <w:right w:w="120" w:type="dxa"/>
            </w:tcMar>
          </w:tcPr>
          <w:p>
            <w:pPr>
              <w:spacing w:before="0" w:after="0"/>
              <w:jc w:val="right"/>
            </w:pPr>
            <w:r>
              <w:rPr>
                <w:rFonts w:ascii="Calibri" w:hAnsi="Calibri"/>
                <w:b w:val="0"/>
                <w:color w:val="2D3748"/>
                <w:sz w:val="18"/>
              </w:rPr>
              <w:t>Evidencia de apalancamiento operativo positivo: el beneficio crece 1.6x más rápido que los ingresos.</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Margen Operativo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32.62%</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29.99%</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+263 bps</w:t>
            </w:r>
          </w:p>
        </w:tc>
        <w:tc>
          <w:tcPr>
            <w:tcW w:type="dxa" w:w="3024"/>
            <w:shd w:fill="F7FAFC"/>
            <w:tcMar>
              <w:top w:w="80" w:type="dxa"/>
              <w:bottom w:w="80" w:type="dxa"/>
              <w:left w:w="120" w:type="dxa"/>
              <w:right w:w="120" w:type="dxa"/>
            </w:tcMar>
          </w:tcPr>
          <w:p>
            <w:pPr>
              <w:spacing w:before="0" w:after="0"/>
              <w:jc w:val="right"/>
            </w:pPr>
            <w:r>
              <w:rPr>
                <w:rFonts w:ascii="Calibri" w:hAnsi="Calibri"/>
                <w:b w:val="0"/>
                <w:color w:val="2D3748"/>
                <w:sz w:val="18"/>
              </w:rPr>
              <w:t>Eficiencia de escala de primer nivel en la industria tecnológica global.</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Beneficio Neto ($M)</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$29,789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$23,434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+27.1%</w:t>
            </w:r>
          </w:p>
        </w:tc>
        <w:tc>
          <w:tcPr>
            <w:tcW w:type="dxa" w:w="3024"/>
            <w:shd w:fill="FFFFFF"/>
            <w:tcMar>
              <w:top w:w="80" w:type="dxa"/>
              <w:bottom w:w="80" w:type="dxa"/>
              <w:left w:w="120" w:type="dxa"/>
              <w:right w:w="120" w:type="dxa"/>
            </w:tcMar>
          </w:tcPr>
          <w:p>
            <w:pPr>
              <w:spacing w:before="0" w:after="0"/>
              <w:jc w:val="right"/>
            </w:pPr>
            <w:r>
              <w:rPr>
                <w:rFonts w:ascii="Calibri" w:hAnsi="Calibri"/>
                <w:b w:val="0"/>
                <w:color w:val="2D3748"/>
                <w:sz w:val="18"/>
              </w:rPr>
              <w:t>Máximo histórico de utilidades netas para un tercer trimestre fiscal.</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Margen Neto (%)</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27.23%</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24.92%</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+231 bps</w:t>
            </w:r>
          </w:p>
        </w:tc>
        <w:tc>
          <w:tcPr>
            <w:tcW w:type="dxa" w:w="3024"/>
            <w:shd w:fill="F7FAFC"/>
            <w:tcMar>
              <w:top w:w="80" w:type="dxa"/>
              <w:bottom w:w="80" w:type="dxa"/>
              <w:left w:w="120" w:type="dxa"/>
              <w:right w:w="120" w:type="dxa"/>
            </w:tcMar>
          </w:tcPr>
          <w:p>
            <w:pPr>
              <w:spacing w:before="0" w:after="0"/>
              <w:jc w:val="right"/>
            </w:pPr>
            <w:r>
              <w:rPr>
                <w:rFonts w:ascii="Calibri" w:hAnsi="Calibri"/>
                <w:b w:val="0"/>
                <w:color w:val="2D3748"/>
                <w:sz w:val="18"/>
              </w:rPr>
              <w:t>Extraordinaria capacidad de retención de valor: más de 27 centavos limpios por cada dólar ingresado.</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Flujo de Caja Operativo (CFO)</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$34,400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$28,900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+19.0%</w:t>
            </w:r>
          </w:p>
        </w:tc>
        <w:tc>
          <w:tcPr>
            <w:tcW w:type="dxa" w:w="3024"/>
            <w:shd w:fill="FFFFFF"/>
            <w:tcMar>
              <w:top w:w="80" w:type="dxa"/>
              <w:bottom w:w="80" w:type="dxa"/>
              <w:left w:w="120" w:type="dxa"/>
              <w:right w:w="120" w:type="dxa"/>
            </w:tcMar>
          </w:tcPr>
          <w:p>
            <w:pPr>
              <w:spacing w:before="0" w:after="0"/>
              <w:jc w:val="right"/>
            </w:pPr>
            <w:r>
              <w:rPr>
                <w:rFonts w:ascii="Calibri" w:hAnsi="Calibri"/>
                <w:b w:val="0"/>
                <w:color w:val="2D3748"/>
                <w:sz w:val="18"/>
              </w:rPr>
              <w:t>Solidez de cobros y sincronización de capital de trabajo operativo.</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Flujo de Caja Libre (FCF)</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$31,500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$26,200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+20.2%</w:t>
            </w:r>
          </w:p>
        </w:tc>
        <w:tc>
          <w:tcPr>
            <w:tcW w:type="dxa" w:w="3024"/>
            <w:shd w:fill="F7FAFC"/>
            <w:tcMar>
              <w:top w:w="80" w:type="dxa"/>
              <w:bottom w:w="80" w:type="dxa"/>
              <w:left w:w="120" w:type="dxa"/>
              <w:right w:w="120" w:type="dxa"/>
            </w:tcMar>
          </w:tcPr>
          <w:p>
            <w:pPr>
              <w:spacing w:before="0" w:after="0"/>
              <w:jc w:val="right"/>
            </w:pPr>
            <w:r>
              <w:rPr>
                <w:rFonts w:ascii="Calibri" w:hAnsi="Calibri"/>
                <w:b w:val="0"/>
                <w:color w:val="2D3748"/>
                <w:sz w:val="18"/>
              </w:rPr>
              <w:t>Métrica reina de creación de valor; capital disponible tras financiar todo el CapEx ($2,900 M).</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Margen FCF (%)</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28.79%</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27.86%</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+93 bps</w:t>
            </w:r>
          </w:p>
        </w:tc>
        <w:tc>
          <w:tcPr>
            <w:tcW w:type="dxa" w:w="3024"/>
            <w:shd w:fill="FFFFFF"/>
            <w:tcMar>
              <w:top w:w="80" w:type="dxa"/>
              <w:bottom w:w="80" w:type="dxa"/>
              <w:left w:w="120" w:type="dxa"/>
              <w:right w:w="120" w:type="dxa"/>
            </w:tcMar>
          </w:tcPr>
          <w:p>
            <w:pPr>
              <w:spacing w:before="0" w:after="0"/>
              <w:jc w:val="right"/>
            </w:pPr>
            <w:r>
              <w:rPr>
                <w:rFonts w:ascii="Calibri" w:hAnsi="Calibri"/>
                <w:b w:val="0"/>
                <w:color w:val="2D3748"/>
                <w:sz w:val="18"/>
              </w:rPr>
              <w:t>Generación de caja pura superior al propio margen neto, confirmando ganancias de alta calidad.</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Conversión FCF / Beneficio Neto</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105.7%</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111.8%</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Óptima</w:t>
            </w:r>
          </w:p>
        </w:tc>
        <w:tc>
          <w:tcPr>
            <w:tcW w:type="dxa" w:w="3024"/>
            <w:shd w:fill="F7FAFC"/>
            <w:tcMar>
              <w:top w:w="80" w:type="dxa"/>
              <w:bottom w:w="80" w:type="dxa"/>
              <w:left w:w="120" w:type="dxa"/>
              <w:right w:w="120" w:type="dxa"/>
            </w:tcMar>
          </w:tcPr>
          <w:p>
            <w:pPr>
              <w:spacing w:before="0" w:after="0"/>
              <w:jc w:val="right"/>
            </w:pPr>
            <w:r>
              <w:rPr>
                <w:rFonts w:ascii="Calibri" w:hAnsi="Calibri"/>
                <w:b w:val="0"/>
                <w:color w:val="2D3748"/>
                <w:sz w:val="18"/>
              </w:rPr>
              <w:t>Tasa &gt; 100% certifica ausencia de devengos agresivos: los beneficios son 100% dinero contante y sonante.</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Beneficio por Acción (EPS Diluido)</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$2.02</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$1.57</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+28.7%</w:t>
            </w:r>
          </w:p>
        </w:tc>
        <w:tc>
          <w:tcPr>
            <w:tcW w:type="dxa" w:w="3024"/>
            <w:shd w:fill="FFFFFF"/>
            <w:tcMar>
              <w:top w:w="80" w:type="dxa"/>
              <w:bottom w:w="80" w:type="dxa"/>
              <w:left w:w="120" w:type="dxa"/>
              <w:right w:w="120" w:type="dxa"/>
            </w:tcMar>
          </w:tcPr>
          <w:p>
            <w:pPr>
              <w:spacing w:before="0" w:after="0"/>
              <w:jc w:val="right"/>
            </w:pPr>
            <w:r>
              <w:rPr>
                <w:rFonts w:ascii="Calibri" w:hAnsi="Calibri"/>
                <w:b w:val="0"/>
                <w:color w:val="2D3748"/>
                <w:sz w:val="18"/>
              </w:rPr>
              <w:t>El crecimiento del EPS supera al beneficio neto (+27.1%) gracias a la recompra activa de acciones.</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Base Instalada de Dispositivos</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&gt; 2,500 Millones</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~2,200 Millones</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+13.6%</w:t>
            </w:r>
          </w:p>
        </w:tc>
        <w:tc>
          <w:tcPr>
            <w:tcW w:type="dxa" w:w="3024"/>
            <w:shd w:fill="F7FAFC"/>
            <w:tcMar>
              <w:top w:w="80" w:type="dxa"/>
              <w:bottom w:w="80" w:type="dxa"/>
              <w:left w:w="120" w:type="dxa"/>
              <w:right w:w="120" w:type="dxa"/>
            </w:tcMar>
          </w:tcPr>
          <w:p>
            <w:pPr>
              <w:spacing w:before="0" w:after="0"/>
              <w:jc w:val="right"/>
            </w:pPr>
            <w:r>
              <w:rPr>
                <w:rFonts w:ascii="Calibri" w:hAnsi="Calibri"/>
                <w:b w:val="0"/>
                <w:color w:val="2D3748"/>
                <w:sz w:val="18"/>
              </w:rPr>
              <w:t>Ecosistema en expansión récord que ensancha el foso defensivo (economic moat).</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Suscripciones Pagadas (Servicios)</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&gt; 1,500 Millones</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&gt; 1,000 Millones</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+50.0%</w:t>
            </w:r>
          </w:p>
        </w:tc>
        <w:tc>
          <w:tcPr>
            <w:tcW w:type="dxa" w:w="3024"/>
            <w:shd w:fill="FFFFFF"/>
            <w:tcMar>
              <w:top w:w="80" w:type="dxa"/>
              <w:bottom w:w="80" w:type="dxa"/>
              <w:left w:w="120" w:type="dxa"/>
              <w:right w:w="120" w:type="dxa"/>
            </w:tcMar>
          </w:tcPr>
          <w:p>
            <w:pPr>
              <w:spacing w:before="0" w:after="0"/>
              <w:jc w:val="right"/>
            </w:pPr>
            <w:r>
              <w:rPr>
                <w:rFonts w:ascii="Calibri" w:hAnsi="Calibri"/>
                <w:b w:val="0"/>
                <w:color w:val="2D3748"/>
                <w:sz w:val="18"/>
              </w:rPr>
              <w:t>Pilar de ingresos recurrentes de altísimo margen (75.6% margen bruto).</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2"/>
              </w:rPr>
              <w:t>📌 GUÍA DE DIAGNÓSTICO FUNDAMENTAL: ¿QUÉ EVALÚA CADA PARÁMETRO CLAVE?</w:t>
              <w:br/>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 en producción.</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(si las ventas crecen, los beneficios operativos deben crecer a una tasa mayor).</w:t>
            </w:r>
          </w:p>
          <w:p>
            <w:pPr>
              <w:spacing w:before="40" w:after="40" w:line="276" w:lineRule="auto"/>
            </w:pPr>
            <w:r>
              <w:rPr>
                <w:rFonts w:ascii="Calibri" w:hAnsi="Calibri"/>
                <w:color w:val="2D3748"/>
                <w:sz w:val="19"/>
              </w:rPr>
              <w:t>• Margen Neto (%): Es la rentabilidad final que le queda a la empresa tras cubrir todos los costes operativos, gastos financieros de la deuda e impuestos corporativos. Es la proporción de los ingresos que termina directamente en el bolsillo contable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A diferencia del beneficio neto contable (que puede verse afectado por amortizaciones o devengos), el FCF mide los dólares reales que ingresan a la caja tras haber pagado todas las inversiones de mantenimiento y expansión (CapEx). Es el dinero disponible para pagar dividendos, recomprar acciones, reducir deuda o realizar adquisiciones.</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ventas a crédito no cobradas o capitalizaciones artificiales de gastos.</w:t>
            </w:r>
          </w:p>
        </w:tc>
      </w:tr>
    </w:tbl>
    <w:p>
      <w:pPr>
        <w:spacing w:after="80"/>
      </w:pPr>
    </w:p>
    <w:p>
      <w:pPr>
        <w:keepNext/>
        <w:spacing w:before="320" w:after="120"/>
      </w:pPr>
      <w:r>
        <w:rPr>
          <w:rFonts w:ascii="Calibri" w:hAnsi="Calibri"/>
          <w:b/>
          <w:color w:val="1B365D"/>
          <w:sz w:val="30"/>
        </w:rPr>
        <w:t>5. Análisis Exhaustivo de Conferencia de Resultados (Earnings Calls) y Auditoría del Discurso Directivo</w:t>
      </w:r>
    </w:p>
    <w:p>
      <w:pPr>
        <w:keepNext/>
        <w:spacing w:before="240" w:after="80"/>
      </w:pPr>
      <w:r>
        <w:rPr>
          <w:rFonts w:ascii="Calibri" w:hAnsi="Calibri"/>
          <w:b/>
          <w:color w:val="4A5568"/>
          <w:sz w:val="24"/>
        </w:rPr>
        <w:t>BLOQUE A: Análisis del Trimestre Más Reciente (Q3 FY2026)</w:t>
      </w:r>
    </w:p>
    <w:p>
      <w:pPr>
        <w:spacing w:before="0" w:after="80" w:line="276" w:lineRule="auto"/>
      </w:pPr>
      <w:r>
        <w:rPr>
          <w:rFonts w:ascii="Calibri" w:hAnsi="Calibri"/>
          <w:i w:val="0"/>
          <w:color w:val="2D3748"/>
          <w:sz w:val="20"/>
        </w:rPr>
        <w:t>Durante la conferencia de resultados del tercer trimestre fiscal de 2026 (concluida el 27 de junio de 2026), el equipo directivo de Apple Inc.—encabezado por Tim Cook (CEO saliente), Kevan Parekh (CFO) y John Ternus (CEO entrante)—transmitió un tono de máxima confianza operativa y validación estratégica. Los resultados marcaron un récord histórico de facturación para un trimestre de junio ($109,417 M, +16.4% YoY) con crecimiento sincronizado de doble dígito en todas las geografías. No obstante, la dirección combinó el optimismo con una postura de cautela pragmática ante restricciones físicas en nodos avanzados de silicio e inflación severa en componentes de memoria.</w:t>
      </w:r>
    </w:p>
    <w:p>
      <w:pPr>
        <w:keepNext/>
        <w:spacing w:before="240" w:after="80"/>
      </w:pPr>
      <w:r>
        <w:rPr>
          <w:rFonts w:ascii="Calibri" w:hAnsi="Calibri"/>
          <w:b/>
          <w:color w:val="4A5568"/>
          <w:sz w:val="24"/>
        </w:rPr>
        <w:t>1. Proyecciones Oficiales y Guidance del Management para el Próximo Trimestre (Q4 FY26):</w:t>
      </w:r>
    </w:p>
    <w:p>
      <w:pPr>
        <w:spacing w:before="0" w:after="80" w:line="276" w:lineRule="auto"/>
      </w:pPr>
      <w:r>
        <w:rPr>
          <w:rFonts w:ascii="Calibri" w:hAnsi="Calibri"/>
          <w:i w:val="0"/>
          <w:color w:val="2D3748"/>
          <w:sz w:val="20"/>
        </w:rPr>
        <w:t>El CFO Kevan Parekh detalló las metas oficiales para el trimestre de septiembre (Q4 FY26), asumiendo que el entorno macroeconómico y el régimen arancelario actual se mantienen estables:</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de Guidance Oficial (Q4 FY26)</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b/>
                <w:color w:val="1B365D"/>
                <w:sz w:val="18"/>
              </w:rPr>
              <w:t>Crecimiento de Ingresos Totales</w:t>
            </w:r>
          </w:p>
        </w:tc>
        <w:tc>
          <w:tcPr>
            <w:tcW w:type="dxa" w:w="2592"/>
            <w:shd w:fill="FFFFFF"/>
            <w:tcMar>
              <w:top w:w="80" w:type="dxa"/>
              <w:bottom w:w="80" w:type="dxa"/>
              <w:left w:w="120" w:type="dxa"/>
              <w:right w:w="120" w:type="dxa"/>
            </w:tcMar>
          </w:tcPr>
          <w:p>
            <w:pPr>
              <w:spacing w:before="0" w:after="0"/>
              <w:jc w:val="center"/>
            </w:pPr>
            <w:r>
              <w:rPr>
                <w:rFonts w:ascii="Calibri" w:hAnsi="Calibri"/>
                <w:b/>
                <w:color w:val="1B365D"/>
                <w:sz w:val="18"/>
              </w:rPr>
              <w:t>+9.0% a +11.0% YoY</w:t>
            </w:r>
          </w:p>
        </w:tc>
        <w:tc>
          <w:tcPr>
            <w:tcW w:type="dxa" w:w="4320"/>
            <w:shd w:fill="FFFFFF"/>
            <w:tcMar>
              <w:top w:w="80" w:type="dxa"/>
              <w:bottom w:w="80" w:type="dxa"/>
              <w:left w:w="120" w:type="dxa"/>
              <w:right w:w="120" w:type="dxa"/>
            </w:tcMar>
          </w:tcPr>
          <w:p>
            <w:pPr>
              <w:spacing w:before="0" w:after="0"/>
              <w:jc w:val="left"/>
            </w:pPr>
            <w:r>
              <w:rPr>
                <w:rFonts w:ascii="Calibri" w:hAnsi="Calibri"/>
                <w:b/>
                <w:color w:val="1B365D"/>
                <w:sz w:val="18"/>
              </w:rPr>
              <w:t>Desaceleración técnica de ~500 bps explicada por -2.5 pp de viento cambiario (FX) y restricciones de suministro.</w:t>
            </w:r>
          </w:p>
        </w:tc>
      </w:tr>
      <w:tr>
        <w:tc>
          <w:tcPr>
            <w:tcW w:type="dxa" w:w="2880"/>
            <w:shd w:fill="F7FAFC"/>
            <w:tcMar>
              <w:top w:w="80" w:type="dxa"/>
              <w:bottom w:w="80" w:type="dxa"/>
              <w:left w:w="120" w:type="dxa"/>
              <w:right w:w="120" w:type="dxa"/>
            </w:tcMar>
          </w:tcPr>
          <w:p>
            <w:pPr>
              <w:spacing w:before="0" w:after="0"/>
              <w:jc w:val="left"/>
            </w:pPr>
            <w:r>
              <w:rPr>
                <w:rFonts w:ascii="Calibri" w:hAnsi="Calibri"/>
                <w:b w:val="0"/>
                <w:color w:val="2D3748"/>
                <w:sz w:val="18"/>
              </w:rPr>
              <w:t>Ingresos por iPhone</w:t>
            </w:r>
          </w:p>
        </w:tc>
        <w:tc>
          <w:tcPr>
            <w:tcW w:type="dxa" w:w="2592"/>
            <w:shd w:fill="F7FAFC"/>
            <w:tcMar>
              <w:top w:w="80" w:type="dxa"/>
              <w:bottom w:w="80" w:type="dxa"/>
              <w:left w:w="120" w:type="dxa"/>
              <w:right w:w="120" w:type="dxa"/>
            </w:tcMar>
          </w:tcPr>
          <w:p>
            <w:pPr>
              <w:spacing w:before="0" w:after="0"/>
              <w:jc w:val="center"/>
            </w:pPr>
            <w:r>
              <w:rPr>
                <w:rFonts w:ascii="Calibri" w:hAnsi="Calibri"/>
                <w:b w:val="0"/>
                <w:color w:val="2D3748"/>
                <w:sz w:val="18"/>
              </w:rPr>
              <w:t>Rango 'Mid-Teens' (~14% a 16% YoY)</w:t>
            </w:r>
          </w:p>
        </w:tc>
        <w:tc>
          <w:tcPr>
            <w:tcW w:type="dxa" w:w="4320"/>
            <w:shd w:fill="F7FAFC"/>
            <w:tcMar>
              <w:top w:w="80" w:type="dxa"/>
              <w:bottom w:w="80" w:type="dxa"/>
              <w:left w:w="120" w:type="dxa"/>
              <w:right w:w="120" w:type="dxa"/>
            </w:tcMar>
          </w:tcPr>
          <w:p>
            <w:pPr>
              <w:spacing w:before="0" w:after="0"/>
              <w:jc w:val="left"/>
            </w:pPr>
            <w:r>
              <w:rPr>
                <w:rFonts w:ascii="Calibri" w:hAnsi="Calibri"/>
                <w:b w:val="0"/>
                <w:color w:val="2D3748"/>
                <w:sz w:val="18"/>
              </w:rPr>
              <w:t>Fuerte demanda estructural de la familia iPhone 17; sujeta a disponibilidad de chips en nodos avanzados.</w:t>
            </w:r>
          </w:p>
        </w:tc>
      </w:tr>
      <w:tr>
        <w:tc>
          <w:tcPr>
            <w:tcW w:type="dxa" w:w="2880"/>
            <w:shd w:fill="FFFFFF"/>
            <w:tcMar>
              <w:top w:w="80" w:type="dxa"/>
              <w:bottom w:w="80" w:type="dxa"/>
              <w:left w:w="120" w:type="dxa"/>
              <w:right w:w="120" w:type="dxa"/>
            </w:tcMar>
          </w:tcPr>
          <w:p>
            <w:pPr>
              <w:spacing w:before="0" w:after="0"/>
              <w:jc w:val="left"/>
            </w:pPr>
            <w:r>
              <w:rPr>
                <w:rFonts w:ascii="Calibri" w:hAnsi="Calibri"/>
                <w:b w:val="0"/>
                <w:color w:val="2D3748"/>
                <w:sz w:val="18"/>
              </w:rPr>
              <w:t>Ingresos por Servicios</w:t>
            </w:r>
          </w:p>
        </w:tc>
        <w:tc>
          <w:tcPr>
            <w:tcW w:type="dxa" w:w="2592"/>
            <w:shd w:fill="FFFFFF"/>
            <w:tcMar>
              <w:top w:w="80" w:type="dxa"/>
              <w:bottom w:w="80" w:type="dxa"/>
              <w:left w:w="120" w:type="dxa"/>
              <w:right w:w="120" w:type="dxa"/>
            </w:tcMar>
          </w:tcPr>
          <w:p>
            <w:pPr>
              <w:spacing w:before="0" w:after="0"/>
              <w:jc w:val="center"/>
            </w:pPr>
            <w:r>
              <w:rPr>
                <w:rFonts w:ascii="Calibri" w:hAnsi="Calibri"/>
                <w:b w:val="0"/>
                <w:color w:val="2D3748"/>
                <w:sz w:val="18"/>
              </w:rPr>
              <w:t>~12.0% YoY (Tasa similar a Q3)</w:t>
            </w:r>
          </w:p>
        </w:tc>
        <w:tc>
          <w:tcPr>
            <w:tcW w:type="dxa" w:w="4320"/>
            <w:shd w:fill="FFFFFF"/>
            <w:tcMar>
              <w:top w:w="80" w:type="dxa"/>
              <w:bottom w:w="80" w:type="dxa"/>
              <w:left w:w="120" w:type="dxa"/>
              <w:right w:w="120" w:type="dxa"/>
            </w:tcMar>
          </w:tcPr>
          <w:p>
            <w:pPr>
              <w:spacing w:before="0" w:after="0"/>
              <w:jc w:val="left"/>
            </w:pPr>
            <w:r>
              <w:rPr>
                <w:rFonts w:ascii="Calibri" w:hAnsi="Calibri"/>
                <w:b w:val="0"/>
                <w:color w:val="2D3748"/>
                <w:sz w:val="18"/>
              </w:rPr>
              <w:t>Tras neutralizar el impacto cambiario adverso de -2.5 pp, la línea mantiene su solidez recurrente.</w:t>
            </w:r>
          </w:p>
        </w:tc>
      </w:tr>
      <w:tr>
        <w:tc>
          <w:tcPr>
            <w:tcW w:type="dxa" w:w="2880"/>
            <w:shd w:fill="F7FAFC"/>
            <w:tcMar>
              <w:top w:w="80" w:type="dxa"/>
              <w:bottom w:w="80" w:type="dxa"/>
              <w:left w:w="120" w:type="dxa"/>
              <w:right w:w="120" w:type="dxa"/>
            </w:tcMar>
          </w:tcPr>
          <w:p>
            <w:pPr>
              <w:spacing w:before="0" w:after="0"/>
              <w:jc w:val="left"/>
            </w:pPr>
            <w:r>
              <w:rPr>
                <w:rFonts w:ascii="Calibri" w:hAnsi="Calibri"/>
                <w:b w:val="0"/>
                <w:color w:val="2D3748"/>
                <w:sz w:val="18"/>
              </w:rPr>
              <w:t>Margen Bruto Consolidado</w:t>
            </w:r>
          </w:p>
        </w:tc>
        <w:tc>
          <w:tcPr>
            <w:tcW w:type="dxa" w:w="2592"/>
            <w:shd w:fill="F7FAFC"/>
            <w:tcMar>
              <w:top w:w="80" w:type="dxa"/>
              <w:bottom w:w="80" w:type="dxa"/>
              <w:left w:w="120" w:type="dxa"/>
              <w:right w:w="120" w:type="dxa"/>
            </w:tcMar>
          </w:tcPr>
          <w:p>
            <w:pPr>
              <w:spacing w:before="0" w:after="0"/>
              <w:jc w:val="center"/>
            </w:pPr>
            <w:r>
              <w:rPr>
                <w:rFonts w:ascii="Calibri" w:hAnsi="Calibri"/>
                <w:b w:val="0"/>
                <w:color w:val="2D3748"/>
                <w:sz w:val="18"/>
              </w:rPr>
              <w:t>47.0% a 48.0%</w:t>
            </w:r>
          </w:p>
        </w:tc>
        <w:tc>
          <w:tcPr>
            <w:tcW w:type="dxa" w:w="4320"/>
            <w:shd w:fill="F7FAFC"/>
            <w:tcMar>
              <w:top w:w="80" w:type="dxa"/>
              <w:bottom w:w="80" w:type="dxa"/>
              <w:left w:w="120" w:type="dxa"/>
              <w:right w:w="120" w:type="dxa"/>
            </w:tcMar>
          </w:tcPr>
          <w:p>
            <w:pPr>
              <w:spacing w:before="0" w:after="0"/>
              <w:jc w:val="left"/>
            </w:pPr>
            <w:r>
              <w:rPr>
                <w:rFonts w:ascii="Calibri" w:hAnsi="Calibri"/>
                <w:b w:val="0"/>
                <w:color w:val="2D3748"/>
                <w:sz w:val="18"/>
              </w:rPr>
              <w:t>Incluye ~1.0 pp de beneficio por devoluciones arancelarias (margen subyacente de 46.0% a 47.0%).</w:t>
            </w:r>
          </w:p>
        </w:tc>
      </w:tr>
      <w:tr>
        <w:tc>
          <w:tcPr>
            <w:tcW w:type="dxa" w:w="2880"/>
            <w:shd w:fill="FFFFFF"/>
            <w:tcMar>
              <w:top w:w="80" w:type="dxa"/>
              <w:bottom w:w="80" w:type="dxa"/>
              <w:left w:w="120" w:type="dxa"/>
              <w:right w:w="120" w:type="dxa"/>
            </w:tcMar>
          </w:tcPr>
          <w:p>
            <w:pPr>
              <w:spacing w:before="0" w:after="0"/>
              <w:jc w:val="left"/>
            </w:pPr>
            <w:r>
              <w:rPr>
                <w:rFonts w:ascii="Calibri" w:hAnsi="Calibri"/>
                <w:b w:val="0"/>
                <w:color w:val="2D3748"/>
                <w:sz w:val="18"/>
              </w:rPr>
              <w:t>Gastos Operativos (OpEx)</w:t>
            </w:r>
          </w:p>
        </w:tc>
        <w:tc>
          <w:tcPr>
            <w:tcW w:type="dxa" w:w="2592"/>
            <w:shd w:fill="FFFFFF"/>
            <w:tcMar>
              <w:top w:w="80" w:type="dxa"/>
              <w:bottom w:w="80" w:type="dxa"/>
              <w:left w:w="120" w:type="dxa"/>
              <w:right w:w="120" w:type="dxa"/>
            </w:tcMar>
          </w:tcPr>
          <w:p>
            <w:pPr>
              <w:spacing w:before="0" w:after="0"/>
              <w:jc w:val="center"/>
            </w:pPr>
            <w:r>
              <w:rPr>
                <w:rFonts w:ascii="Calibri" w:hAnsi="Calibri"/>
                <w:b w:val="0"/>
                <w:color w:val="2D3748"/>
                <w:sz w:val="18"/>
              </w:rPr>
              <w:t>$19,100 M a $19,400 M</w:t>
            </w:r>
          </w:p>
        </w:tc>
        <w:tc>
          <w:tcPr>
            <w:tcW w:type="dxa" w:w="4320"/>
            <w:shd w:fill="FFFFFF"/>
            <w:tcMar>
              <w:top w:w="80" w:type="dxa"/>
              <w:bottom w:w="80" w:type="dxa"/>
              <w:left w:w="120" w:type="dxa"/>
              <w:right w:w="120" w:type="dxa"/>
            </w:tcMar>
          </w:tcPr>
          <w:p>
            <w:pPr>
              <w:spacing w:before="0" w:after="0"/>
              <w:jc w:val="left"/>
            </w:pPr>
            <w:r>
              <w:rPr>
                <w:rFonts w:ascii="Calibri" w:hAnsi="Calibri"/>
                <w:b w:val="0"/>
                <w:color w:val="2D3748"/>
                <w:sz w:val="18"/>
              </w:rPr>
              <w:t>Inversión sostenida en I+D (+32% YoY) destinada a silicio propietario e infraestructura de IA.</w:t>
            </w:r>
          </w:p>
        </w:tc>
      </w:tr>
      <w:tr>
        <w:tc>
          <w:tcPr>
            <w:tcW w:type="dxa" w:w="2880"/>
            <w:shd w:fill="F7FAFC"/>
            <w:tcMar>
              <w:top w:w="80" w:type="dxa"/>
              <w:bottom w:w="80" w:type="dxa"/>
              <w:left w:w="120" w:type="dxa"/>
              <w:right w:w="120" w:type="dxa"/>
            </w:tcMar>
          </w:tcPr>
          <w:p>
            <w:pPr>
              <w:spacing w:before="0" w:after="0"/>
              <w:jc w:val="left"/>
            </w:pPr>
            <w:r>
              <w:rPr>
                <w:rFonts w:ascii="Calibri" w:hAnsi="Calibri"/>
                <w:b w:val="0"/>
                <w:color w:val="2D3748"/>
                <w:sz w:val="18"/>
              </w:rPr>
              <w:t>Otros Ingresos / Gastos (OIE)</w:t>
            </w:r>
          </w:p>
        </w:tc>
        <w:tc>
          <w:tcPr>
            <w:tcW w:type="dxa" w:w="2592"/>
            <w:shd w:fill="F7FAFC"/>
            <w:tcMar>
              <w:top w:w="80" w:type="dxa"/>
              <w:bottom w:w="80" w:type="dxa"/>
              <w:left w:w="120" w:type="dxa"/>
              <w:right w:w="120" w:type="dxa"/>
            </w:tcMar>
          </w:tcPr>
          <w:p>
            <w:pPr>
              <w:spacing w:before="0" w:after="0"/>
              <w:jc w:val="center"/>
            </w:pPr>
            <w:r>
              <w:rPr>
                <w:rFonts w:ascii="Calibri" w:hAnsi="Calibri"/>
                <w:b w:val="0"/>
                <w:color w:val="2D3748"/>
                <w:sz w:val="18"/>
              </w:rPr>
              <w:t>~$350 M positivos</w:t>
            </w:r>
          </w:p>
        </w:tc>
        <w:tc>
          <w:tcPr>
            <w:tcW w:type="dxa" w:w="4320"/>
            <w:shd w:fill="F7FAFC"/>
            <w:tcMar>
              <w:top w:w="80" w:type="dxa"/>
              <w:bottom w:w="80" w:type="dxa"/>
              <w:left w:w="120" w:type="dxa"/>
              <w:right w:w="120" w:type="dxa"/>
            </w:tcMar>
          </w:tcPr>
          <w:p>
            <w:pPr>
              <w:spacing w:before="0" w:after="0"/>
              <w:jc w:val="left"/>
            </w:pPr>
            <w:r>
              <w:rPr>
                <w:rFonts w:ascii="Calibri" w:hAnsi="Calibri"/>
                <w:b w:val="0"/>
                <w:color w:val="2D3748"/>
                <w:sz w:val="18"/>
              </w:rPr>
              <w:t>Excluyendo variaciones por valoración a mercado de participaciones minoritarias.</w:t>
            </w:r>
          </w:p>
        </w:tc>
      </w:tr>
      <w:tr>
        <w:tc>
          <w:tcPr>
            <w:tcW w:type="dxa" w:w="2880"/>
            <w:shd w:fill="FFFFFF"/>
            <w:tcMar>
              <w:top w:w="80" w:type="dxa"/>
              <w:bottom w:w="80" w:type="dxa"/>
              <w:left w:w="120" w:type="dxa"/>
              <w:right w:w="120" w:type="dxa"/>
            </w:tcMar>
          </w:tcPr>
          <w:p>
            <w:pPr>
              <w:spacing w:before="0" w:after="0"/>
              <w:jc w:val="left"/>
            </w:pPr>
            <w:r>
              <w:rPr>
                <w:rFonts w:ascii="Calibri" w:hAnsi="Calibri"/>
                <w:b w:val="0"/>
                <w:color w:val="2D3748"/>
                <w:sz w:val="18"/>
              </w:rPr>
              <w:t>Tasa Impositiva Efectiva</w:t>
            </w:r>
          </w:p>
        </w:tc>
        <w:tc>
          <w:tcPr>
            <w:tcW w:type="dxa" w:w="2592"/>
            <w:shd w:fill="FFFFFF"/>
            <w:tcMar>
              <w:top w:w="80" w:type="dxa"/>
              <w:bottom w:w="80" w:type="dxa"/>
              <w:left w:w="120" w:type="dxa"/>
              <w:right w:w="120" w:type="dxa"/>
            </w:tcMar>
          </w:tcPr>
          <w:p>
            <w:pPr>
              <w:spacing w:before="0" w:after="0"/>
              <w:jc w:val="center"/>
            </w:pPr>
            <w:r>
              <w:rPr>
                <w:rFonts w:ascii="Calibri" w:hAnsi="Calibri"/>
                <w:b w:val="0"/>
                <w:color w:val="2D3748"/>
                <w:sz w:val="18"/>
              </w:rPr>
              <w:t>~16.5%</w:t>
            </w:r>
          </w:p>
        </w:tc>
        <w:tc>
          <w:tcPr>
            <w:tcW w:type="dxa" w:w="4320"/>
            <w:shd w:fill="FFFFFF"/>
            <w:tcMar>
              <w:top w:w="80" w:type="dxa"/>
              <w:bottom w:w="80" w:type="dxa"/>
              <w:left w:w="120" w:type="dxa"/>
              <w:right w:w="120" w:type="dxa"/>
            </w:tcMar>
          </w:tcPr>
          <w:p>
            <w:pPr>
              <w:spacing w:before="0" w:after="0"/>
              <w:jc w:val="left"/>
            </w:pPr>
            <w:r>
              <w:rPr>
                <w:rFonts w:ascii="Calibri" w:hAnsi="Calibri"/>
                <w:b w:val="0"/>
                <w:color w:val="2D3748"/>
                <w:sz w:val="18"/>
              </w:rPr>
              <w:t>Tasa corporativa global prevista para el cierre del ejercicio fiscal 2026.</w:t>
            </w:r>
          </w:p>
        </w:tc>
      </w:tr>
      <w:tr>
        <w:tc>
          <w:tcPr>
            <w:tcW w:type="dxa" w:w="2880"/>
            <w:shd w:fill="F7FAFC"/>
            <w:tcMar>
              <w:top w:w="80" w:type="dxa"/>
              <w:bottom w:w="80" w:type="dxa"/>
              <w:left w:w="120" w:type="dxa"/>
              <w:right w:w="120" w:type="dxa"/>
            </w:tcMar>
          </w:tcPr>
          <w:p>
            <w:pPr>
              <w:spacing w:before="0" w:after="0"/>
              <w:jc w:val="left"/>
            </w:pPr>
            <w:r>
              <w:rPr>
                <w:rFonts w:ascii="Calibri" w:hAnsi="Calibri"/>
                <w:b w:val="0"/>
                <w:color w:val="2D3748"/>
                <w:sz w:val="18"/>
              </w:rPr>
              <w:t>Retorno al Accionista (Dividendo)</w:t>
            </w:r>
          </w:p>
        </w:tc>
        <w:tc>
          <w:tcPr>
            <w:tcW w:type="dxa" w:w="2592"/>
            <w:shd w:fill="F7FAFC"/>
            <w:tcMar>
              <w:top w:w="80" w:type="dxa"/>
              <w:bottom w:w="80" w:type="dxa"/>
              <w:left w:w="120" w:type="dxa"/>
              <w:right w:w="120" w:type="dxa"/>
            </w:tcMar>
          </w:tcPr>
          <w:p>
            <w:pPr>
              <w:spacing w:before="0" w:after="0"/>
              <w:jc w:val="center"/>
            </w:pPr>
            <w:r>
              <w:rPr>
                <w:rFonts w:ascii="Calibri" w:hAnsi="Calibri"/>
                <w:b w:val="0"/>
                <w:color w:val="2D3748"/>
                <w:sz w:val="18"/>
              </w:rPr>
              <w:t>$0.27 por acción</w:t>
            </w:r>
          </w:p>
        </w:tc>
        <w:tc>
          <w:tcPr>
            <w:tcW w:type="dxa" w:w="4320"/>
            <w:shd w:fill="F7FAFC"/>
            <w:tcMar>
              <w:top w:w="80" w:type="dxa"/>
              <w:bottom w:w="80" w:type="dxa"/>
              <w:left w:w="120" w:type="dxa"/>
              <w:right w:w="120" w:type="dxa"/>
            </w:tcMar>
          </w:tcPr>
          <w:p>
            <w:pPr>
              <w:spacing w:before="0" w:after="0"/>
              <w:jc w:val="left"/>
            </w:pPr>
            <w:r>
              <w:rPr>
                <w:rFonts w:ascii="Calibri" w:hAnsi="Calibri"/>
                <w:b w:val="0"/>
                <w:color w:val="2D3748"/>
                <w:sz w:val="18"/>
              </w:rPr>
              <w:t>Declarado por el Consejo de Administración, pagadero el 13 de agosto de 2026.</w:t>
            </w:r>
          </w:p>
        </w:tc>
      </w:tr>
    </w:tbl>
    <w:p>
      <w:pPr>
        <w:spacing w:after="120"/>
      </w:pPr>
    </w:p>
    <w:p>
      <w:pPr>
        <w:keepNext/>
        <w:spacing w:before="240" w:after="80"/>
      </w:pPr>
      <w:r>
        <w:rPr>
          <w:rFonts w:ascii="Calibri" w:hAnsi="Calibri"/>
          <w:b/>
          <w:color w:val="4A5568"/>
          <w:sz w:val="24"/>
        </w:rPr>
        <w:t>2. Hitos Más Importantes y Catalizadores Clave del Trimestre:</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Relevo Histórico en el Liderazgo (CEO)</w:t>
            </w:r>
          </w:p>
        </w:tc>
        <w:tc>
          <w:tcPr>
            <w:tcW w:type="dxa" w:w="3600"/>
            <w:shd w:fill="FFFFFF"/>
            <w:tcMar>
              <w:top w:w="80" w:type="dxa"/>
              <w:bottom w:w="80" w:type="dxa"/>
              <w:left w:w="120" w:type="dxa"/>
              <w:right w:w="120" w:type="dxa"/>
            </w:tcMar>
          </w:tcPr>
          <w:p>
            <w:pPr>
              <w:spacing w:before="0" w:after="0"/>
              <w:jc w:val="left"/>
            </w:pPr>
            <w:r>
              <w:rPr>
                <w:rFonts w:ascii="Calibri" w:hAnsi="Calibri"/>
                <w:b w:val="0"/>
                <w:color w:val="2D3748"/>
                <w:sz w:val="18"/>
              </w:rPr>
              <w:t>"Este será mi último earnings call. La transición se está dando de forma impecable y estoy entusiasmado de que John Ternus lidere a Apple en su próxima era..." — Tim Cook.</w:t>
            </w:r>
          </w:p>
        </w:tc>
        <w:tc>
          <w:tcPr>
            <w:tcW w:type="dxa" w:w="3600"/>
            <w:shd w:fill="FFFFFF"/>
            <w:tcMar>
              <w:top w:w="80" w:type="dxa"/>
              <w:bottom w:w="80" w:type="dxa"/>
              <w:left w:w="120" w:type="dxa"/>
              <w:right w:w="120" w:type="dxa"/>
            </w:tcMar>
          </w:tcPr>
          <w:p>
            <w:pPr>
              <w:spacing w:before="0" w:after="0"/>
              <w:jc w:val="left"/>
            </w:pPr>
            <w:r>
              <w:rPr>
                <w:rFonts w:ascii="Calibri" w:hAnsi="Calibri"/>
                <w:b w:val="0"/>
                <w:color w:val="2D3748"/>
                <w:sz w:val="18"/>
              </w:rPr>
              <w:t>Continuidad estratégica total y foco de largo plazo en ingeniería de silicio e inferencia local de IA.</w:t>
            </w:r>
          </w:p>
        </w:tc>
      </w:tr>
      <w:tr>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Superciclo de Silicio en iPhone y Mac</w:t>
            </w:r>
          </w:p>
        </w:tc>
        <w:tc>
          <w:tcPr>
            <w:tcW w:type="dxa" w:w="3600"/>
            <w:shd w:fill="F7FAFC"/>
            <w:tcMar>
              <w:top w:w="80" w:type="dxa"/>
              <w:bottom w:w="80" w:type="dxa"/>
              <w:left w:w="120" w:type="dxa"/>
              <w:right w:w="120" w:type="dxa"/>
            </w:tcMar>
          </w:tcPr>
          <w:p>
            <w:pPr>
              <w:spacing w:before="0" w:after="0"/>
              <w:jc w:val="left"/>
            </w:pPr>
            <w:r>
              <w:rPr>
                <w:rFonts w:ascii="Calibri" w:hAnsi="Calibri"/>
                <w:b w:val="0"/>
                <w:color w:val="2D3748"/>
                <w:sz w:val="18"/>
              </w:rPr>
              <w:t>Crecimiento de +21.7% en iPhone y +28.7% en Mac (récord histórico de junio). Cuota de mercado ganada globalmente según IDC.</w:t>
            </w:r>
          </w:p>
        </w:tc>
        <w:tc>
          <w:tcPr>
            <w:tcW w:type="dxa" w:w="3600"/>
            <w:shd w:fill="F7FAFC"/>
            <w:tcMar>
              <w:top w:w="80" w:type="dxa"/>
              <w:bottom w:w="80" w:type="dxa"/>
              <w:left w:w="120" w:type="dxa"/>
              <w:right w:w="120" w:type="dxa"/>
            </w:tcMar>
          </w:tcPr>
          <w:p>
            <w:pPr>
              <w:spacing w:before="0" w:after="0"/>
              <w:jc w:val="left"/>
            </w:pPr>
            <w:r>
              <w:rPr>
                <w:rFonts w:ascii="Calibri" w:hAnsi="Calibri"/>
                <w:b w:val="0"/>
                <w:color w:val="2D3748"/>
                <w:sz w:val="18"/>
              </w:rPr>
              <w:t>El nuevo MacBook Neo y los chips A19/M5 aceleran la tasa de renovación de hardware a niveles récord.</w:t>
            </w:r>
          </w:p>
        </w:tc>
      </w:tr>
      <w:tr>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Expansión del Foso Defensivo (Moat)</w:t>
            </w:r>
          </w:p>
        </w:tc>
        <w:tc>
          <w:tcPr>
            <w:tcW w:type="dxa" w:w="3600"/>
            <w:shd w:fill="FFFFFF"/>
            <w:tcMar>
              <w:top w:w="80" w:type="dxa"/>
              <w:bottom w:w="80" w:type="dxa"/>
              <w:left w:w="120" w:type="dxa"/>
              <w:right w:w="120" w:type="dxa"/>
            </w:tcMar>
          </w:tcPr>
          <w:p>
            <w:pPr>
              <w:spacing w:before="0" w:after="0"/>
              <w:jc w:val="left"/>
            </w:pPr>
            <w:r>
              <w:rPr>
                <w:rFonts w:ascii="Calibri" w:hAnsi="Calibri"/>
                <w:b w:val="0"/>
                <w:color w:val="2D3748"/>
                <w:sz w:val="18"/>
              </w:rPr>
              <w:t>Base instalada activa supera los 2,500 millones de dispositivos; más de 1,500 millones de suscripciones de pago en Servicios.</w:t>
            </w:r>
          </w:p>
        </w:tc>
        <w:tc>
          <w:tcPr>
            <w:tcW w:type="dxa" w:w="3600"/>
            <w:shd w:fill="FFFFFF"/>
            <w:tcMar>
              <w:top w:w="80" w:type="dxa"/>
              <w:bottom w:w="80" w:type="dxa"/>
              <w:left w:w="120" w:type="dxa"/>
              <w:right w:w="120" w:type="dxa"/>
            </w:tcMar>
          </w:tcPr>
          <w:p>
            <w:pPr>
              <w:spacing w:before="0" w:after="0"/>
              <w:jc w:val="left"/>
            </w:pPr>
            <w:r>
              <w:rPr>
                <w:rFonts w:ascii="Calibri" w:hAnsi="Calibri"/>
                <w:b w:val="0"/>
                <w:color w:val="2D3748"/>
                <w:sz w:val="18"/>
              </w:rPr>
              <w:t>Mayor recurrencia y monetización cautiva de altísimo margen bruto (75.6%).</w:t>
            </w:r>
          </w:p>
        </w:tc>
      </w:tr>
      <w:tr>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Compromiso Industrial en EE.UU.</w:t>
            </w:r>
          </w:p>
        </w:tc>
        <w:tc>
          <w:tcPr>
            <w:tcW w:type="dxa" w:w="3600"/>
            <w:shd w:fill="F7FAFC"/>
            <w:tcMar>
              <w:top w:w="80" w:type="dxa"/>
              <w:bottom w:w="80" w:type="dxa"/>
              <w:left w:w="120" w:type="dxa"/>
              <w:right w:w="120" w:type="dxa"/>
            </w:tcMar>
          </w:tcPr>
          <w:p>
            <w:pPr>
              <w:spacing w:before="0" w:after="0"/>
              <w:jc w:val="left"/>
            </w:pPr>
            <w:r>
              <w:rPr>
                <w:rFonts w:ascii="Calibri" w:hAnsi="Calibri"/>
                <w:b w:val="0"/>
                <w:color w:val="2D3748"/>
                <w:sz w:val="18"/>
              </w:rPr>
              <w:t>Acuerdo plurianual con Broadcom superior a $30,000 M y apertura del Advanced Manufacturing Center en Houston.</w:t>
            </w:r>
          </w:p>
        </w:tc>
        <w:tc>
          <w:tcPr>
            <w:tcW w:type="dxa" w:w="3600"/>
            <w:shd w:fill="F7FAFC"/>
            <w:tcMar>
              <w:top w:w="80" w:type="dxa"/>
              <w:bottom w:w="80" w:type="dxa"/>
              <w:left w:w="120" w:type="dxa"/>
              <w:right w:w="120" w:type="dxa"/>
            </w:tcMar>
          </w:tcPr>
          <w:p>
            <w:pPr>
              <w:spacing w:before="0" w:after="0"/>
              <w:jc w:val="left"/>
            </w:pPr>
            <w:r>
              <w:rPr>
                <w:rFonts w:ascii="Calibri" w:hAnsi="Calibri"/>
                <w:b w:val="0"/>
                <w:color w:val="2D3748"/>
                <w:sz w:val="18"/>
              </w:rPr>
              <w:t>Mitigación geopolítica e internalización de la cadena de suministro de silicio en territorio estadounidense.</w:t>
            </w:r>
          </w:p>
        </w:tc>
      </w:tr>
    </w:tbl>
    <w:p>
      <w:pPr>
        <w:spacing w:after="120"/>
      </w:pPr>
    </w:p>
    <w:p>
      <w:pPr>
        <w:keepNext/>
        <w:spacing w:before="240" w:after="80"/>
      </w:pPr>
      <w:r>
        <w:rPr>
          <w:rFonts w:ascii="Calibri" w:hAnsi="Calibri"/>
          <w:b/>
          <w:color w:val="4A5568"/>
          <w:sz w:val="24"/>
        </w:rPr>
        <w:t>3. Matriz de Riesgos, Advertencias y Desafíos Operativos Detectados:</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del Management</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Cuantitativo Proyectado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Cuellos de Botella en Silicio (TSMC)</w:t>
            </w:r>
          </w:p>
        </w:tc>
        <w:tc>
          <w:tcPr>
            <w:tcW w:type="dxa" w:w="3024"/>
            <w:shd w:fill="FFFFFF"/>
            <w:tcMar>
              <w:top w:w="80" w:type="dxa"/>
              <w:bottom w:w="80" w:type="dxa"/>
              <w:left w:w="120" w:type="dxa"/>
              <w:right w:w="120" w:type="dxa"/>
            </w:tcMar>
          </w:tcPr>
          <w:p>
            <w:pPr>
              <w:spacing w:before="0" w:after="0"/>
              <w:jc w:val="left"/>
            </w:pPr>
            <w:r>
              <w:rPr>
                <w:rFonts w:ascii="Calibri" w:hAnsi="Calibri"/>
                <w:b w:val="0"/>
                <w:color w:val="2D3748"/>
                <w:sz w:val="18"/>
              </w:rPr>
              <w:t>"El problema principal son los nodos avanzados donde corren nuestros SoCs... La cadena tiene menos flexibilidad que la habitual."</w:t>
            </w:r>
          </w:p>
        </w:tc>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Restricción en oferta de iPhone, Mac e iPad en Q4 FY26.</w:t>
            </w:r>
          </w:p>
        </w:tc>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Adelanto de compras de capacidad y aceleración en TSMC Arizona (&gt;100M chips).</w:t>
            </w:r>
          </w:p>
        </w:tc>
      </w:tr>
      <w:tr>
        <w:tc>
          <w:tcPr>
            <w:tcW w:type="dxa" w:w="2448"/>
            <w:shd w:fill="F7FAFC"/>
            <w:tcMar>
              <w:top w:w="80" w:type="dxa"/>
              <w:bottom w:w="80" w:type="dxa"/>
              <w:left w:w="120" w:type="dxa"/>
              <w:right w:w="120" w:type="dxa"/>
            </w:tcMar>
          </w:tcPr>
          <w:p>
            <w:pPr>
              <w:spacing w:before="0" w:after="0"/>
              <w:jc w:val="left"/>
            </w:pPr>
            <w:r>
              <w:rPr>
                <w:rFonts w:ascii="Calibri" w:hAnsi="Calibri"/>
                <w:b w:val="0"/>
                <w:color w:val="2D3748"/>
                <w:sz w:val="18"/>
              </w:rPr>
              <w:t>Inflación en Memorias DRAM</w:t>
            </w:r>
          </w:p>
        </w:tc>
        <w:tc>
          <w:tcPr>
            <w:tcW w:type="dxa" w:w="3024"/>
            <w:shd w:fill="F7FAFC"/>
            <w:tcMar>
              <w:top w:w="80" w:type="dxa"/>
              <w:bottom w:w="80" w:type="dxa"/>
              <w:left w:w="120" w:type="dxa"/>
              <w:right w:w="120" w:type="dxa"/>
            </w:tcMar>
          </w:tcPr>
          <w:p>
            <w:pPr>
              <w:spacing w:before="0" w:after="0"/>
              <w:jc w:val="left"/>
            </w:pPr>
            <w:r>
              <w:rPr>
                <w:rFonts w:ascii="Calibri" w:hAnsi="Calibri"/>
                <w:b w:val="0"/>
                <w:color w:val="2D3748"/>
                <w:sz w:val="18"/>
              </w:rPr>
              <w:t>"Estamos en lo que caracterizaría como una 'crecida de 100 años' en precios de memoria, con aumentos exponenciales."</w:t>
            </w:r>
          </w:p>
        </w:tc>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Presión sobre margen bruto de hardware para fin de FY26 y FY27.</w:t>
            </w:r>
          </w:p>
        </w:tc>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Subidas selectivas de precios y uso de inventarios de bajo coste (carry-in).</w:t>
            </w:r>
          </w:p>
        </w:tc>
      </w:tr>
      <w:tr>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Viento Cambiario Adverso (FX)</w:t>
            </w:r>
          </w:p>
        </w:tc>
        <w:tc>
          <w:tcPr>
            <w:tcW w:type="dxa" w:w="3024"/>
            <w:shd w:fill="FFFFFF"/>
            <w:tcMar>
              <w:top w:w="80" w:type="dxa"/>
              <w:bottom w:w="80" w:type="dxa"/>
              <w:left w:w="120" w:type="dxa"/>
              <w:right w:w="120" w:type="dxa"/>
            </w:tcMar>
          </w:tcPr>
          <w:p>
            <w:pPr>
              <w:spacing w:before="0" w:after="0"/>
              <w:jc w:val="left"/>
            </w:pPr>
            <w:r>
              <w:rPr>
                <w:rFonts w:ascii="Calibri" w:hAnsi="Calibri"/>
                <w:b w:val="0"/>
                <w:color w:val="2D3748"/>
                <w:sz w:val="18"/>
              </w:rPr>
              <w:t>"El tipo de cambio supondrá un viento en contra secuencial de 2.5 puntos porcentuales en la tasa de crecimiento."</w:t>
            </w:r>
          </w:p>
        </w:tc>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-250 bps de menor crecimiento reportado en dólares para Q4 FY26.</w:t>
            </w:r>
          </w:p>
        </w:tc>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Coberturas financieras activas y fijación de precios en divisas fuertes.</w:t>
            </w:r>
          </w:p>
        </w:tc>
      </w:tr>
      <w:tr>
        <w:tc>
          <w:tcPr>
            <w:tcW w:type="dxa" w:w="2448"/>
            <w:shd w:fill="F7FAFC"/>
            <w:tcMar>
              <w:top w:w="80" w:type="dxa"/>
              <w:bottom w:w="80" w:type="dxa"/>
              <w:left w:w="120" w:type="dxa"/>
              <w:right w:w="120" w:type="dxa"/>
            </w:tcMar>
          </w:tcPr>
          <w:p>
            <w:pPr>
              <w:spacing w:before="0" w:after="0"/>
              <w:jc w:val="left"/>
            </w:pPr>
            <w:r>
              <w:rPr>
                <w:rFonts w:ascii="Calibri" w:hAnsi="Calibri"/>
                <w:b w:val="0"/>
                <w:color w:val="2D3748"/>
                <w:sz w:val="18"/>
              </w:rPr>
              <w:t>Presión Regulatoria (UE y App Store)</w:t>
            </w:r>
          </w:p>
        </w:tc>
        <w:tc>
          <w:tcPr>
            <w:tcW w:type="dxa" w:w="3024"/>
            <w:shd w:fill="F7FAFC"/>
            <w:tcMar>
              <w:top w:w="80" w:type="dxa"/>
              <w:bottom w:w="80" w:type="dxa"/>
              <w:left w:w="120" w:type="dxa"/>
              <w:right w:w="120" w:type="dxa"/>
            </w:tcMar>
          </w:tcPr>
          <w:p>
            <w:pPr>
              <w:spacing w:before="0" w:after="0"/>
              <w:jc w:val="left"/>
            </w:pPr>
            <w:r>
              <w:rPr>
                <w:rFonts w:ascii="Calibri" w:hAnsi="Calibri"/>
                <w:b w:val="0"/>
                <w:color w:val="2D3748"/>
                <w:sz w:val="18"/>
              </w:rPr>
              <w:t>Restricciones de la DMA impiden el despliegue pleno de Siri AI en iPhone/iPad en Europa; apelación de App Store ante Tribunal Supremo.</w:t>
            </w:r>
          </w:p>
        </w:tc>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Ralentización de Servicios a un dígito en Europa si no se adaptan enlaces.</w:t>
            </w:r>
          </w:p>
        </w:tc>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Negociaciones regulatorias activas y diversificación hacia Cloud y Pagos.</w:t>
            </w:r>
          </w:p>
        </w:tc>
      </w:tr>
    </w:tbl>
    <w:p>
      <w:pPr>
        <w:spacing w:after="120"/>
      </w:pPr>
    </w:p>
    <w:p>
      <w:pPr>
        <w:keepNext/>
        <w:spacing w:before="240" w:after="80"/>
      </w:pPr>
      <w:r>
        <w:rPr>
          <w:rFonts w:ascii="Calibri" w:hAnsi="Calibri"/>
          <w:b/>
          <w:color w:val="4A5568"/>
          <w:sz w:val="24"/>
        </w:rPr>
        <w:t>4. Desglose Exhaustivo de Preguntas y Respuestas (Q&amp;A con Wall Street):</w:t>
      </w:r>
    </w:p>
    <w:p>
      <w:pPr>
        <w:spacing w:before="0" w:after="80" w:line="276" w:lineRule="auto"/>
      </w:pPr>
      <w:r>
        <w:rPr>
          <w:rFonts w:ascii="Calibri" w:hAnsi="Calibri"/>
          <w:i w:val="0"/>
          <w:color w:val="2D3748"/>
          <w:sz w:val="20"/>
        </w:rPr>
        <w:t>Se presenta la transcripción y auditoría integral de las 7 firmas de inversión de Wall Street con sus 14 preguntas iniciales y de seguimiento (follow-up):</w:t>
      </w:r>
    </w:p>
    <w:p>
      <w:pPr>
        <w:keepNext/>
        <w:spacing w:before="240" w:after="80"/>
      </w:pPr>
      <w:r>
        <w:rPr>
          <w:rFonts w:ascii="Calibri" w:hAnsi="Calibri"/>
          <w:b/>
          <w:color w:val="4A5568"/>
          <w:sz w:val="24"/>
        </w:rPr>
        <w:t>1. Evercore ISI — Amit Daryanani</w:t>
      </w:r>
    </w:p>
    <w:p>
      <w:pPr>
        <w:spacing w:before="0" w:after="80" w:line="276" w:lineRule="auto"/>
      </w:pPr>
      <w:r>
        <w:rPr>
          <w:rFonts w:ascii="Calibri" w:hAnsi="Calibri"/>
          <w:b/>
          <w:color w:val="2D3748"/>
          <w:sz w:val="20"/>
        </w:rPr>
        <w:t xml:space="preserve">• Pregunta 1 (Desaceleración de Guidance vs. Oferta): </w:t>
      </w:r>
      <w:r>
        <w:rPr>
          <w:rFonts w:ascii="Calibri" w:hAnsi="Calibri"/>
          <w:i w:val="0"/>
          <w:color w:val="2D3748"/>
          <w:sz w:val="20"/>
        </w:rPr>
        <w:t>El guidance de 9%-11% implica una desaceleración de ~500 bps frente al 16% de junio. ¿Cuánto responde a restricciones reales de suministro frente a una moderación en la demanda?</w:t>
      </w:r>
    </w:p>
    <w:p>
      <w:pPr>
        <w:spacing w:before="0" w:after="80" w:line="276" w:lineRule="auto"/>
      </w:pPr>
      <w:r>
        <w:rPr>
          <w:rFonts w:ascii="Calibri" w:hAnsi="Calibri"/>
          <w:b/>
          <w:color w:val="2D3748"/>
          <w:sz w:val="20"/>
        </w:rPr>
        <w:t xml:space="preserve">• Respuesta (Kevan Parekh y Tim Cook): </w:t>
      </w:r>
      <w:r>
        <w:rPr>
          <w:rFonts w:ascii="Calibri" w:hAnsi="Calibri"/>
          <w:i w:val="0"/>
          <w:color w:val="2D3748"/>
          <w:sz w:val="20"/>
        </w:rPr>
        <w:t>Parekh explicó que 2.5 pp corresponden puramente a divisa (FX) y el resto a restricciones de suministro. Cook enfatizó: "No es un problema de proveedores defectuosos; es un desborde de demanda donde iPhone (+22%) y Mac (+29%) superaron por mucho nuestras proyecciones y agotaron la capacidad de los nodos avanzados de silicio."</w:t>
      </w:r>
    </w:p>
    <w:p>
      <w:pPr>
        <w:spacing w:before="0" w:after="80" w:line="276" w:lineRule="auto"/>
      </w:pPr>
      <w:r>
        <w:rPr>
          <w:rFonts w:ascii="Calibri" w:hAnsi="Calibri"/>
          <w:b/>
          <w:color w:val="2D3748"/>
          <w:sz w:val="20"/>
        </w:rPr>
        <w:t xml:space="preserve">• Pregunta 2 (Inflación de Memorias DRAM y Política de Precios): </w:t>
      </w:r>
      <w:r>
        <w:rPr>
          <w:rFonts w:ascii="Calibri" w:hAnsi="Calibri"/>
          <w:i w:val="0"/>
          <w:color w:val="2D3748"/>
          <w:sz w:val="20"/>
        </w:rPr>
        <w:t>Históricamente Apple trasladó poco coste al cliente; ante la inflación de componentes, ¿cómo gestionarán los precios de cara al consumidor?</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Confirmó que los costes de memoria crecieron secuencialmente en marzo y junio y subirán más en septiembre. Apple subió precios de forma reluctante por esta "crecida de 100 años" en DRAM, balanceando unidades, ingresos y márgenes a largo plazo y no en un horizonte de 90 días.</w:t>
      </w:r>
    </w:p>
    <w:p>
      <w:pPr>
        <w:spacing w:before="0" w:after="80" w:line="276" w:lineRule="auto"/>
      </w:pPr>
      <w:r>
        <w:rPr>
          <w:rFonts w:ascii="Calibri" w:hAnsi="Calibri"/>
          <w:b/>
          <w:color w:val="2D3748"/>
          <w:sz w:val="20"/>
        </w:rPr>
        <w:t xml:space="preserve">• Diagnóstico Fundamental: </w:t>
      </w:r>
      <w:r>
        <w:rPr>
          <w:rFonts w:ascii="Calibri" w:hAnsi="Calibri"/>
          <w:i w:val="0"/>
          <w:color w:val="2D3748"/>
          <w:sz w:val="20"/>
        </w:rPr>
        <w:t>Fuerte poder de fijación de precios (pricing power); la demanda no decayó tras los ajustes selectivos.</w:t>
      </w:r>
    </w:p>
    <w:p>
      <w:pPr>
        <w:keepNext/>
        <w:spacing w:before="240" w:after="80"/>
      </w:pPr>
      <w:r>
        <w:rPr>
          <w:rFonts w:ascii="Calibri" w:hAnsi="Calibri"/>
          <w:b/>
          <w:color w:val="4A5568"/>
          <w:sz w:val="24"/>
        </w:rPr>
        <w:t>2. Goldman Sachs — Michael Ng</w:t>
      </w:r>
    </w:p>
    <w:p>
      <w:pPr>
        <w:spacing w:before="0" w:after="80" w:line="276" w:lineRule="auto"/>
      </w:pPr>
      <w:r>
        <w:rPr>
          <w:rFonts w:ascii="Calibri" w:hAnsi="Calibri"/>
          <w:b/>
          <w:color w:val="2D3748"/>
          <w:sz w:val="20"/>
        </w:rPr>
        <w:t xml:space="preserve">• Pregunta 1 (Apple Upgrade Program y Base Instalada): </w:t>
      </w:r>
      <w:r>
        <w:rPr>
          <w:rFonts w:ascii="Calibri" w:hAnsi="Calibri"/>
          <w:i w:val="0"/>
          <w:color w:val="2D3748"/>
          <w:sz w:val="20"/>
        </w:rPr>
        <w:t>¿Cómo impacta el programa de renovación en la base de 2,500M de dispositivos y cuánto acorta el ciclo de vida del iPhone?</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El programa facilita planes de pago accesibles apalancándose en que el valor residual (residual value) de los productos Apple es muy superior al de la competencia, acelerando el recambio hacia gamas Pro.</w:t>
      </w:r>
    </w:p>
    <w:p>
      <w:pPr>
        <w:spacing w:before="0" w:after="80" w:line="276" w:lineRule="auto"/>
      </w:pPr>
      <w:r>
        <w:rPr>
          <w:rFonts w:ascii="Calibri" w:hAnsi="Calibri"/>
          <w:b/>
          <w:color w:val="2D3748"/>
          <w:sz w:val="20"/>
        </w:rPr>
        <w:t xml:space="preserve">• Pregunta 2 (Siri AI, Beta de iOS 27 y Costes de Cómputo): </w:t>
      </w:r>
      <w:r>
        <w:rPr>
          <w:rFonts w:ascii="Calibri" w:hAnsi="Calibri"/>
          <w:i w:val="0"/>
          <w:color w:val="2D3748"/>
          <w:sz w:val="20"/>
        </w:rPr>
        <w:t>¿Qué aprendizajes dejó la beta pública y cómo afectará el coste de inferencia de IA a los márgenes?</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La recepción de desarrolladores y usuarios ha sido "fuera de serie". El modelo de inferencia privada en el chip local (NPU) reduce drásticamente el gasto en servidores de nube, otorgando una gran ventaja de costes frente a competidores.</w:t>
      </w:r>
    </w:p>
    <w:p>
      <w:pPr>
        <w:spacing w:before="0" w:after="80" w:line="276" w:lineRule="auto"/>
      </w:pPr>
      <w:r>
        <w:rPr>
          <w:rFonts w:ascii="Calibri" w:hAnsi="Calibri"/>
          <w:b/>
          <w:color w:val="2D3748"/>
          <w:sz w:val="20"/>
        </w:rPr>
        <w:t xml:space="preserve">• Diagnóstico Fundamental: </w:t>
      </w:r>
      <w:r>
        <w:rPr>
          <w:rFonts w:ascii="Calibri" w:hAnsi="Calibri"/>
          <w:i w:val="0"/>
          <w:color w:val="2D3748"/>
          <w:sz w:val="20"/>
        </w:rPr>
        <w:t>Modelo híbrido de IA altamente eficiente con estructura de costes de inferencia controlada.</w:t>
      </w:r>
    </w:p>
    <w:p>
      <w:pPr>
        <w:keepNext/>
        <w:spacing w:before="240" w:after="80"/>
      </w:pPr>
      <w:r>
        <w:rPr>
          <w:rFonts w:ascii="Calibri" w:hAnsi="Calibri"/>
          <w:b/>
          <w:color w:val="4A5568"/>
          <w:sz w:val="24"/>
        </w:rPr>
        <w:t>3. Melius Research — Ben Reitzes</w:t>
      </w:r>
    </w:p>
    <w:p>
      <w:pPr>
        <w:spacing w:before="0" w:after="80" w:line="276" w:lineRule="auto"/>
      </w:pPr>
      <w:r>
        <w:rPr>
          <w:rFonts w:ascii="Calibri" w:hAnsi="Calibri"/>
          <w:b/>
          <w:color w:val="2D3748"/>
          <w:sz w:val="20"/>
        </w:rPr>
        <w:t xml:space="preserve">• Pregunta 1 (Desbalance Demanda vs. Silicio): </w:t>
      </w:r>
      <w:r>
        <w:rPr>
          <w:rFonts w:ascii="Calibri" w:hAnsi="Calibri"/>
          <w:i w:val="0"/>
          <w:color w:val="2D3748"/>
          <w:sz w:val="20"/>
        </w:rPr>
        <w:t>¿Por qué la cadena no pudo prever el volumen si la industria anticipaba un ciclo fuerte?</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El crecimiento sostenido del 22% en iPhone y 29% en Mac superó incluso previsiones muy optimistas. Se estuvo adelantando inventario, pero las líneas de nodos de vanguardia alcanzaron su límite físico.</w:t>
      </w:r>
    </w:p>
    <w:p>
      <w:pPr>
        <w:spacing w:before="0" w:after="80" w:line="276" w:lineRule="auto"/>
      </w:pPr>
      <w:r>
        <w:rPr>
          <w:rFonts w:ascii="Calibri" w:hAnsi="Calibri"/>
          <w:b/>
          <w:color w:val="2D3748"/>
          <w:sz w:val="20"/>
        </w:rPr>
        <w:t xml:space="preserve">• Pregunta 2 (Fábrica de TSMC en Arizona y Proveedores Alternativos): </w:t>
      </w:r>
      <w:r>
        <w:rPr>
          <w:rFonts w:ascii="Calibri" w:hAnsi="Calibri"/>
          <w:i w:val="0"/>
          <w:color w:val="2D3748"/>
          <w:sz w:val="20"/>
        </w:rPr>
        <w:t>¿Podría Apple diversificar proveedores de fundición o recurrir más a Arizona para sortear el cuello de botella?</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Descartó problemas con socios. Destacó que la planta de TSMC Arizona abastecerá más de 100 millones de componentes para Apple este año dentro de su compromiso de $600B en EE.UU., mostrando un rendimiento excelente.</w:t>
      </w:r>
    </w:p>
    <w:p>
      <w:pPr>
        <w:spacing w:before="0" w:after="80" w:line="276" w:lineRule="auto"/>
      </w:pPr>
      <w:r>
        <w:rPr>
          <w:rFonts w:ascii="Calibri" w:hAnsi="Calibri"/>
          <w:b/>
          <w:color w:val="2D3748"/>
          <w:sz w:val="20"/>
        </w:rPr>
        <w:t xml:space="preserve">• Diagnóstico Fundamental: </w:t>
      </w:r>
      <w:r>
        <w:rPr>
          <w:rFonts w:ascii="Calibri" w:hAnsi="Calibri"/>
          <w:i w:val="0"/>
          <w:color w:val="2D3748"/>
          <w:sz w:val="20"/>
        </w:rPr>
        <w:t>Descentralización geográfica progresiva de la producción de microprocesadores hacia territorio estadounidense.</w:t>
      </w:r>
    </w:p>
    <w:p>
      <w:pPr>
        <w:keepNext/>
        <w:spacing w:before="240" w:after="80"/>
      </w:pPr>
      <w:r>
        <w:rPr>
          <w:rFonts w:ascii="Calibri" w:hAnsi="Calibri"/>
          <w:b/>
          <w:color w:val="4A5568"/>
          <w:sz w:val="24"/>
        </w:rPr>
        <w:t>4. Morgan Stanley — Erik Woodring</w:t>
      </w:r>
    </w:p>
    <w:p>
      <w:pPr>
        <w:spacing w:before="0" w:after="80" w:line="276" w:lineRule="auto"/>
      </w:pPr>
      <w:r>
        <w:rPr>
          <w:rFonts w:ascii="Calibri" w:hAnsi="Calibri"/>
          <w:b/>
          <w:color w:val="2D3748"/>
          <w:sz w:val="20"/>
        </w:rPr>
        <w:t xml:space="preserve">• Pregunta 1 (Acuerdos de Suministro LTA y Memoria): </w:t>
      </w:r>
      <w:r>
        <w:rPr>
          <w:rFonts w:ascii="Calibri" w:hAnsi="Calibri"/>
          <w:i w:val="0"/>
          <w:color w:val="2D3748"/>
          <w:sz w:val="20"/>
        </w:rPr>
        <w:t>Ante la volatilidad de DRAM, ¿buscará Apple contratos plurianuales de precio cerrado (Long Term Agreements)?</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Reiteró que el mercado de memoria está hiperconcentrado en tres fabricantes mundiales. Apple combina inventarios estratégicos de bajo coste (carry-in inventory) con negociaciones continuas, evitando compromisos rígidos desfavorables.</w:t>
      </w:r>
    </w:p>
    <w:p>
      <w:pPr>
        <w:spacing w:before="0" w:after="80" w:line="276" w:lineRule="auto"/>
      </w:pPr>
      <w:r>
        <w:rPr>
          <w:rFonts w:ascii="Calibri" w:hAnsi="Calibri"/>
          <w:b/>
          <w:color w:val="2D3748"/>
          <w:sz w:val="20"/>
        </w:rPr>
        <w:t xml:space="preserve">• Pregunta 2 (Desaceleración de Servicios y Litigios de App Store): </w:t>
      </w:r>
      <w:r>
        <w:rPr>
          <w:rFonts w:ascii="Calibri" w:hAnsi="Calibri"/>
          <w:i w:val="0"/>
          <w:color w:val="2D3748"/>
          <w:sz w:val="20"/>
        </w:rPr>
        <w:t>Servicios creció 12% (por debajo de previsiones) y la guía implícita ronda un dígito. ¿Obedece a vientos regulatorios en App Store o efectos de IA?</w:t>
      </w:r>
    </w:p>
    <w:p>
      <w:pPr>
        <w:spacing w:before="0" w:after="80" w:line="276" w:lineRule="auto"/>
      </w:pPr>
      <w:r>
        <w:rPr>
          <w:rFonts w:ascii="Calibri" w:hAnsi="Calibri"/>
          <w:b/>
          <w:color w:val="2D3748"/>
          <w:sz w:val="20"/>
        </w:rPr>
        <w:t xml:space="preserve">• Respuesta (Kevan Parekh): </w:t>
      </w:r>
      <w:r>
        <w:rPr>
          <w:rFonts w:ascii="Calibri" w:hAnsi="Calibri"/>
          <w:i w:val="0"/>
          <w:color w:val="2D3748"/>
          <w:sz w:val="20"/>
        </w:rPr>
        <w:t>El CFO detalló que el impacto cambiario acumulado en Servicios fue de 5 puntos porcentuales, sumado a la comparativa dura frente a la recaudación de la película F1 en cines el trimestre anterior; Cloud y Apple Pay marcaron récords absolutos.</w:t>
      </w:r>
    </w:p>
    <w:p>
      <w:pPr>
        <w:spacing w:before="0" w:after="80" w:line="276" w:lineRule="auto"/>
      </w:pPr>
      <w:r>
        <w:rPr>
          <w:rFonts w:ascii="Calibri" w:hAnsi="Calibri"/>
          <w:b/>
          <w:color w:val="2D3748"/>
          <w:sz w:val="20"/>
        </w:rPr>
        <w:t xml:space="preserve">• Diagnóstico Fundamental: </w:t>
      </w:r>
      <w:r>
        <w:rPr>
          <w:rFonts w:ascii="Calibri" w:hAnsi="Calibri"/>
          <w:i w:val="0"/>
          <w:color w:val="2D3748"/>
          <w:sz w:val="20"/>
        </w:rPr>
        <w:t>La desaceleración de Servicios es coyuntural por divisa y calendario; la base recurrente de suscripciones sigue intacta.</w:t>
      </w:r>
    </w:p>
    <w:p>
      <w:pPr>
        <w:keepNext/>
        <w:spacing w:before="240" w:after="80"/>
      </w:pPr>
      <w:r>
        <w:rPr>
          <w:rFonts w:ascii="Calibri" w:hAnsi="Calibri"/>
          <w:b/>
          <w:color w:val="4A5568"/>
          <w:sz w:val="24"/>
        </w:rPr>
        <w:t>5. Wells Fargo — Aaron Rakers</w:t>
      </w:r>
    </w:p>
    <w:p>
      <w:pPr>
        <w:spacing w:before="0" w:after="80" w:line="276" w:lineRule="auto"/>
      </w:pPr>
      <w:r>
        <w:rPr>
          <w:rFonts w:ascii="Calibri" w:hAnsi="Calibri"/>
          <w:b/>
          <w:color w:val="2D3748"/>
          <w:sz w:val="20"/>
        </w:rPr>
        <w:t xml:space="preserve">• Pregunta 1 (Adelanto Artificial de Demanda): </w:t>
      </w:r>
      <w:r>
        <w:rPr>
          <w:rFonts w:ascii="Calibri" w:hAnsi="Calibri"/>
          <w:i w:val="0"/>
          <w:color w:val="2D3748"/>
          <w:sz w:val="20"/>
        </w:rPr>
        <w:t>¿Hubo compras anticipadas por miedo a futuras subidas de precios o aranceles en consumo o educación?</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Negó compras anticipadas artificiales. El impulso en educación y empresas se debe a que el MacBook Neo desplazó directamente dispositivos Windows y Chromebooks en más del 50% de las licitaciones.</w:t>
      </w:r>
    </w:p>
    <w:p>
      <w:pPr>
        <w:spacing w:before="0" w:after="80" w:line="276" w:lineRule="auto"/>
      </w:pPr>
      <w:r>
        <w:rPr>
          <w:rFonts w:ascii="Calibri" w:hAnsi="Calibri"/>
          <w:b/>
          <w:color w:val="2D3748"/>
          <w:sz w:val="20"/>
        </w:rPr>
        <w:t xml:space="preserve">• Pregunta 2 (Proliferación de IA en el Edge y Nuevo Mercado Potencial - TAM): </w:t>
      </w:r>
      <w:r>
        <w:rPr>
          <w:rFonts w:ascii="Calibri" w:hAnsi="Calibri"/>
          <w:i w:val="0"/>
          <w:color w:val="2D3748"/>
          <w:sz w:val="20"/>
        </w:rPr>
        <w:t>¿Abre la IA en el dispositivo nuevas categorías de productos para Apple a largo plazo?</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Confirmó que la ejecución de IA local en terminales amplía exponencialmente las oportunidades de mercado y posiciona al hardware de Apple como el nodo neurálgico para usuarios y empresas.</w:t>
      </w:r>
    </w:p>
    <w:p>
      <w:pPr>
        <w:spacing w:before="0" w:after="80" w:line="276" w:lineRule="auto"/>
      </w:pPr>
      <w:r>
        <w:rPr>
          <w:rFonts w:ascii="Calibri" w:hAnsi="Calibri"/>
          <w:b/>
          <w:color w:val="2D3748"/>
          <w:sz w:val="20"/>
        </w:rPr>
        <w:t xml:space="preserve">• Diagnóstico Fundamental: </w:t>
      </w:r>
      <w:r>
        <w:rPr>
          <w:rFonts w:ascii="Calibri" w:hAnsi="Calibri"/>
          <w:i w:val="0"/>
          <w:color w:val="2D3748"/>
          <w:sz w:val="20"/>
        </w:rPr>
        <w:t>Demanda orgánica sólida con viento de cola secular en el segmento corporativo y educativo.</w:t>
      </w:r>
    </w:p>
    <w:p>
      <w:pPr>
        <w:keepNext/>
        <w:spacing w:before="240" w:after="80"/>
      </w:pPr>
      <w:r>
        <w:rPr>
          <w:rFonts w:ascii="Calibri" w:hAnsi="Calibri"/>
          <w:b/>
          <w:color w:val="4A5568"/>
          <w:sz w:val="24"/>
        </w:rPr>
        <w:t>6. Bank of America — Wamsi Mohan</w:t>
      </w:r>
    </w:p>
    <w:p>
      <w:pPr>
        <w:spacing w:before="0" w:after="80" w:line="276" w:lineRule="auto"/>
      </w:pPr>
      <w:r>
        <w:rPr>
          <w:rFonts w:ascii="Calibri" w:hAnsi="Calibri"/>
          <w:b/>
          <w:color w:val="2D3748"/>
          <w:sz w:val="20"/>
        </w:rPr>
        <w:t xml:space="preserve">• Pregunta 1 (Intensidad de Capital y CapEx por Siri AI): </w:t>
      </w:r>
      <w:r>
        <w:rPr>
          <w:rFonts w:ascii="Calibri" w:hAnsi="Calibri"/>
          <w:i w:val="0"/>
          <w:color w:val="2D3748"/>
          <w:sz w:val="20"/>
        </w:rPr>
        <w:t>Con procesamiento distribuido entre el dispositivo y centros de datos propios y de terceros, ¿aumentará la intensidad de capital (CapEx) de Apple en el futuro?</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Apple opera un modelo híbrido eficiente. Aunque el gasto en I+D ha crecido significativamente, la mayor parte de las consultas corren localmente. Además, el uso intensivo de IA impulsa a los usuarios a contratar planes superiores de iCloud, generando ingresos compensatorios.</w:t>
      </w:r>
    </w:p>
    <w:p>
      <w:pPr>
        <w:spacing w:before="0" w:after="80" w:line="276" w:lineRule="auto"/>
      </w:pPr>
      <w:r>
        <w:rPr>
          <w:rFonts w:ascii="Calibri" w:hAnsi="Calibri"/>
          <w:b/>
          <w:color w:val="2D3748"/>
          <w:sz w:val="20"/>
        </w:rPr>
        <w:t xml:space="preserve">• Pregunta 2 (Pregunta Directa a John Ternus sobre Competencia de OpenAI y SpaceX): </w:t>
      </w:r>
      <w:r>
        <w:rPr>
          <w:rFonts w:ascii="Calibri" w:hAnsi="Calibri"/>
          <w:i w:val="0"/>
          <w:color w:val="2D3748"/>
          <w:sz w:val="20"/>
        </w:rPr>
        <w:t>¿Cómo ve la cúpula directiva el riesgo de que firmas como OpenAI diseñen dispositivos de IA propios o que SpaceX cree teléfonos satelitales que eludan a las operadoras?</w:t>
      </w:r>
    </w:p>
    <w:p>
      <w:pPr>
        <w:spacing w:before="0" w:after="80" w:line="276" w:lineRule="auto"/>
      </w:pPr>
      <w:r>
        <w:rPr>
          <w:rFonts w:ascii="Calibri" w:hAnsi="Calibri"/>
          <w:b/>
          <w:color w:val="2D3748"/>
          <w:sz w:val="20"/>
        </w:rPr>
        <w:t xml:space="preserve">• Respuesta (John Ternus, Incoming CEO): </w:t>
      </w:r>
      <w:r>
        <w:rPr>
          <w:rFonts w:ascii="Calibri" w:hAnsi="Calibri"/>
          <w:i w:val="0"/>
          <w:color w:val="2D3748"/>
          <w:sz w:val="20"/>
        </w:rPr>
        <w:t>"Vemos una oportunidad inmensa con todo lo que está sucediendo en este espacio. Estamos profundamente enfocados en nuestros planes de integración de hardware y software y muy entusiasmados con lo que viene."</w:t>
      </w:r>
    </w:p>
    <w:p>
      <w:pPr>
        <w:spacing w:before="0" w:after="80" w:line="276" w:lineRule="auto"/>
      </w:pPr>
      <w:r>
        <w:rPr>
          <w:rFonts w:ascii="Calibri" w:hAnsi="Calibri"/>
          <w:b/>
          <w:color w:val="2D3748"/>
          <w:sz w:val="20"/>
        </w:rPr>
        <w:t xml:space="preserve">• Diagnóstico Fundamental: </w:t>
      </w:r>
      <w:r>
        <w:rPr>
          <w:rFonts w:ascii="Calibri" w:hAnsi="Calibri"/>
          <w:i w:val="0"/>
          <w:color w:val="2D3748"/>
          <w:sz w:val="20"/>
        </w:rPr>
        <w:t>La respuesta del nuevo CEO ratifica que Apple no teme a los nuevos entrantes gracias a la inexpugnable barrera de entrada de su ecosistema de 2,500M de terminales.</w:t>
      </w:r>
    </w:p>
    <w:p>
      <w:pPr>
        <w:keepNext/>
        <w:spacing w:before="240" w:after="80"/>
      </w:pPr>
      <w:r>
        <w:rPr>
          <w:rFonts w:ascii="Calibri" w:hAnsi="Calibri"/>
          <w:b/>
          <w:color w:val="4A5568"/>
          <w:sz w:val="24"/>
        </w:rPr>
        <w:t>7. JPMorgan — Samik Chatterjee</w:t>
      </w:r>
    </w:p>
    <w:p>
      <w:pPr>
        <w:spacing w:before="0" w:after="80" w:line="276" w:lineRule="auto"/>
      </w:pPr>
      <w:r>
        <w:rPr>
          <w:rFonts w:ascii="Calibri" w:hAnsi="Calibri"/>
          <w:b/>
          <w:color w:val="2D3748"/>
          <w:sz w:val="20"/>
        </w:rPr>
        <w:t xml:space="preserve">• Pregunta 1 (Obstáculos Regulatorios para Siri AI en Europa y China): </w:t>
      </w:r>
      <w:r>
        <w:rPr>
          <w:rFonts w:ascii="Calibri" w:hAnsi="Calibri"/>
          <w:i w:val="0"/>
          <w:color w:val="2D3748"/>
          <w:sz w:val="20"/>
        </w:rPr>
        <w:t>¿Qué barreras concretas impiden el lanzamiento simultáneo en la UE y cuándo llegará a China?</w:t>
      </w:r>
    </w:p>
    <w:p>
      <w:pPr>
        <w:spacing w:before="0" w:after="80" w:line="276" w:lineRule="auto"/>
      </w:pPr>
      <w:r>
        <w:rPr>
          <w:rFonts w:ascii="Calibri" w:hAnsi="Calibri"/>
          <w:b/>
          <w:color w:val="2D3748"/>
          <w:sz w:val="20"/>
        </w:rPr>
        <w:t xml:space="preserve">• Respuesta (Tim Cook): </w:t>
      </w:r>
      <w:r>
        <w:rPr>
          <w:rFonts w:ascii="Calibri" w:hAnsi="Calibri"/>
          <w:i w:val="0"/>
          <w:color w:val="2D3748"/>
          <w:sz w:val="20"/>
        </w:rPr>
        <w:t>En la Unión Europea, la Ley de Mercados Digitales (DMA) impone restricciones sobre el iPhone y el iPad, aunque Siri AI sí se ofrecerá en Mac (no regulado bajo las mismas normas). En China, se obtuvo aprobación para funciones base de Apple Intelligence y se negocian los permisos para Siri AI.</w:t>
      </w:r>
    </w:p>
    <w:p>
      <w:pPr>
        <w:spacing w:before="0" w:after="80" w:line="276" w:lineRule="auto"/>
      </w:pPr>
      <w:r>
        <w:rPr>
          <w:rFonts w:ascii="Calibri" w:hAnsi="Calibri"/>
          <w:b/>
          <w:color w:val="2D3748"/>
          <w:sz w:val="20"/>
        </w:rPr>
        <w:t xml:space="preserve">• Pregunta 2 (Deconstrucción del Margen Bruto y Peso de la Memoria DRAM): </w:t>
      </w:r>
      <w:r>
        <w:rPr>
          <w:rFonts w:ascii="Calibri" w:hAnsi="Calibri"/>
          <w:i w:val="0"/>
          <w:color w:val="2D3748"/>
          <w:sz w:val="20"/>
        </w:rPr>
        <w:t>El margen bruto ajustado pasa de 49.3% en marzo a 48.1% en junio y a una guía de 46.5% en septiembre. ¿Cuánto responde a divisas y cuánto a materias primas?</w:t>
      </w:r>
    </w:p>
    <w:p>
      <w:pPr>
        <w:spacing w:before="0" w:after="80" w:line="276" w:lineRule="auto"/>
      </w:pPr>
      <w:r>
        <w:rPr>
          <w:rFonts w:ascii="Calibri" w:hAnsi="Calibri"/>
          <w:b/>
          <w:color w:val="2D3748"/>
          <w:sz w:val="20"/>
        </w:rPr>
        <w:t xml:space="preserve">• Respuesta (Kevan Parekh): </w:t>
      </w:r>
      <w:r>
        <w:rPr>
          <w:rFonts w:ascii="Calibri" w:hAnsi="Calibri"/>
          <w:i w:val="0"/>
          <w:color w:val="2D3748"/>
          <w:sz w:val="20"/>
        </w:rPr>
        <w:t>El CFO reveló con total precisión que más del 100% de la contracción de 120 bps en junio y de 160 bps proyectada para septiembre se explica únicamente por el encarecimiento de la memoria DRAM, el cual fue parcialmente atenuado por inventarios previos y menores costes en otros componentes.</w:t>
      </w:r>
    </w:p>
    <w:p>
      <w:pPr>
        <w:spacing w:before="0" w:after="80" w:line="276" w:lineRule="auto"/>
      </w:pPr>
      <w:r>
        <w:rPr>
          <w:rFonts w:ascii="Calibri" w:hAnsi="Calibri"/>
          <w:b/>
          <w:color w:val="2D3748"/>
          <w:sz w:val="20"/>
        </w:rPr>
        <w:t xml:space="preserve">• Diagnóstico Fundamental: </w:t>
      </w:r>
      <w:r>
        <w:rPr>
          <w:rFonts w:ascii="Calibri" w:hAnsi="Calibri"/>
          <w:i w:val="0"/>
          <w:color w:val="2D3748"/>
          <w:sz w:val="20"/>
        </w:rPr>
        <w:t>Revelación crítica: el margen bruto de Apple se mantiene en niveles récord a pesar de absorber el peor ciclo inflacionario de memoria de la última década.</w:t>
      </w:r>
    </w:p>
    <w:p>
      <w:pPr>
        <w:keepNext/>
        <w:spacing w:before="240" w:after="80"/>
      </w:pPr>
      <w:r>
        <w:rPr>
          <w:rFonts w:ascii="Calibri" w:hAnsi="Calibri"/>
          <w:b/>
          <w:color w:val="4A5568"/>
          <w:sz w:val="24"/>
        </w:rPr>
        <w:t>BLOQUE B: Análisis Longitudinal y Auditoría de Discurso Directivo (Q3 FY25 a Q3 FY26)</w:t>
      </w:r>
    </w:p>
    <w:p>
      <w:pPr>
        <w:spacing w:before="0" w:after="80" w:line="276" w:lineRule="auto"/>
      </w:pPr>
      <w:r>
        <w:rPr>
          <w:rFonts w:ascii="Calibri" w:hAnsi="Calibri"/>
          <w:i w:val="0"/>
          <w:color w:val="2D3748"/>
          <w:sz w:val="20"/>
        </w:rPr>
        <w:t>A partir del análisis de las transcripciones de cinco trimestres consecutivos disponibles en Google Drive, se audita el Say-Do Ratio (tasa de cumplimiento de promesas) y la consistencia estratégica del equipo gestor: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Central &amp; Promesas del CEO / CFO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 y Riesgos Advertidos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 Registrado en Siguientes Períodos</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b w:val="0"/>
                <w:color w:val="2D3748"/>
                <w:sz w:val="18"/>
              </w:rPr>
              <w:t>Q3 FY25</w:t>
            </w:r>
          </w:p>
        </w:tc>
        <w:tc>
          <w:tcPr>
            <w:tcW w:type="dxa" w:w="2880"/>
            <w:shd w:fill="FFFFFF"/>
            <w:tcMar>
              <w:top w:w="80" w:type="dxa"/>
              <w:bottom w:w="80" w:type="dxa"/>
              <w:left w:w="120" w:type="dxa"/>
              <w:right w:w="120" w:type="dxa"/>
            </w:tcMar>
          </w:tcPr>
          <w:p>
            <w:pPr>
              <w:spacing w:before="0" w:after="0"/>
              <w:jc w:val="left"/>
            </w:pPr>
            <w:r>
              <w:rPr>
                <w:rFonts w:ascii="Calibri" w:hAnsi="Calibri"/>
                <w:b w:val="0"/>
                <w:color w:val="2D3748"/>
                <w:sz w:val="18"/>
              </w:rPr>
              <w:t>Prometieron doble dígito en Servicios y estabilización en China; preparación para Apple Intelligence.</w:t>
            </w:r>
          </w:p>
        </w:tc>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Incertidumbre macro y comparativa dura en iPad.</w:t>
            </w:r>
          </w:p>
        </w:tc>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Ingresos de $94.0B (+10%); Servicios creció al 15% y sentó las bases del nuevo ciclo.</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SUPERADO (Over-delivered)</w:t>
            </w:r>
          </w:p>
        </w:tc>
      </w:tr>
      <w:tr>
        <w:tc>
          <w:tcPr>
            <w:tcW w:type="dxa" w:w="1152"/>
            <w:shd w:fill="F7FAFC"/>
            <w:tcMar>
              <w:top w:w="80" w:type="dxa"/>
              <w:bottom w:w="80" w:type="dxa"/>
              <w:left w:w="120" w:type="dxa"/>
              <w:right w:w="120" w:type="dxa"/>
            </w:tcMar>
          </w:tcPr>
          <w:p>
            <w:pPr>
              <w:spacing w:before="0" w:after="0"/>
              <w:jc w:val="center"/>
            </w:pPr>
            <w:r>
              <w:rPr>
                <w:rFonts w:ascii="Calibri" w:hAnsi="Calibri"/>
                <w:b w:val="0"/>
                <w:color w:val="2D3748"/>
                <w:sz w:val="18"/>
              </w:rPr>
              <w:t>Q4 FY25</w:t>
            </w:r>
          </w:p>
        </w:tc>
        <w:tc>
          <w:tcPr>
            <w:tcW w:type="dxa" w:w="2880"/>
            <w:shd w:fill="F7FAFC"/>
            <w:tcMar>
              <w:top w:w="80" w:type="dxa"/>
              <w:bottom w:w="80" w:type="dxa"/>
              <w:left w:w="120" w:type="dxa"/>
              <w:right w:w="120" w:type="dxa"/>
            </w:tcMar>
          </w:tcPr>
          <w:p>
            <w:pPr>
              <w:spacing w:before="0" w:after="0"/>
              <w:jc w:val="left"/>
            </w:pPr>
            <w:r>
              <w:rPr>
                <w:rFonts w:ascii="Calibri" w:hAnsi="Calibri"/>
                <w:b w:val="0"/>
                <w:color w:val="2D3748"/>
                <w:sz w:val="18"/>
              </w:rPr>
              <w:t>Proyectaron que el iPhone 17 abriría un nuevo estándar y anunciaron récord en base instalada.</w:t>
            </w:r>
          </w:p>
        </w:tc>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Volatilidad cambiaria (FX) y presión regulatoria europea (DMA).</w:t>
            </w:r>
          </w:p>
        </w:tc>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Ingresos récord de $102.5B (+8%); Servicios alcanzó $28.8B y margen bruto subió a 46.5%.</w:t>
            </w:r>
          </w:p>
        </w:tc>
        <w:tc>
          <w:tcPr>
            <w:tcW w:type="dxa" w:w="2016"/>
            <w:shd w:fill="F7FAFC"/>
            <w:tcMar>
              <w:top w:w="80" w:type="dxa"/>
              <w:bottom w:w="80" w:type="dxa"/>
              <w:left w:w="120" w:type="dxa"/>
              <w:right w:w="120" w:type="dxa"/>
            </w:tcMar>
          </w:tcPr>
          <w:p>
            <w:pPr>
              <w:spacing w:before="0" w:after="0"/>
              <w:jc w:val="center"/>
            </w:pPr>
            <w:r>
              <w:rPr>
                <w:rFonts w:ascii="Calibri" w:hAnsi="Calibri"/>
                <w:b w:val="0"/>
                <w:color w:val="2D3748"/>
                <w:sz w:val="18"/>
              </w:rPr>
              <w:t>CUMPLIDO (En línea)</w:t>
            </w:r>
          </w:p>
        </w:tc>
      </w:tr>
      <w:tr>
        <w:tc>
          <w:tcPr>
            <w:tcW w:type="dxa" w:w="1152"/>
            <w:shd w:fill="FFFFFF"/>
            <w:tcMar>
              <w:top w:w="80" w:type="dxa"/>
              <w:bottom w:w="80" w:type="dxa"/>
              <w:left w:w="120" w:type="dxa"/>
              <w:right w:w="120" w:type="dxa"/>
            </w:tcMar>
          </w:tcPr>
          <w:p>
            <w:pPr>
              <w:spacing w:before="0" w:after="0"/>
              <w:jc w:val="center"/>
            </w:pPr>
            <w:r>
              <w:rPr>
                <w:rFonts w:ascii="Calibri" w:hAnsi="Calibri"/>
                <w:b w:val="0"/>
                <w:color w:val="2D3748"/>
                <w:sz w:val="18"/>
              </w:rPr>
              <w:t>Q1 FY26</w:t>
            </w:r>
          </w:p>
        </w:tc>
        <w:tc>
          <w:tcPr>
            <w:tcW w:type="dxa" w:w="2880"/>
            <w:shd w:fill="FFFFFF"/>
            <w:tcMar>
              <w:top w:w="80" w:type="dxa"/>
              <w:bottom w:w="80" w:type="dxa"/>
              <w:left w:w="120" w:type="dxa"/>
              <w:right w:w="120" w:type="dxa"/>
            </w:tcMar>
          </w:tcPr>
          <w:p>
            <w:pPr>
              <w:spacing w:before="0" w:after="0"/>
              <w:jc w:val="left"/>
            </w:pPr>
            <w:r>
              <w:rPr>
                <w:rFonts w:ascii="Calibri" w:hAnsi="Calibri"/>
                <w:b w:val="0"/>
                <w:color w:val="2D3748"/>
                <w:sz w:val="18"/>
              </w:rPr>
              <w:t>Vislumbraron el mejor trimestre de la historia impulsado por temporada navideña y chips M5.</w:t>
            </w:r>
          </w:p>
        </w:tc>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Riesgo de inventarios insuficientes y tiempos de espera en tiendas.</w:t>
            </w:r>
          </w:p>
        </w:tc>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Récord histórico absoluto de $143.8B (+16% YoY), pulverizando previsiones de consenso.</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SUPERADO CON CRECES</w:t>
            </w:r>
          </w:p>
        </w:tc>
      </w:tr>
      <w:tr>
        <w:tc>
          <w:tcPr>
            <w:tcW w:type="dxa" w:w="1152"/>
            <w:shd w:fill="F7FAFC"/>
            <w:tcMar>
              <w:top w:w="80" w:type="dxa"/>
              <w:bottom w:w="80" w:type="dxa"/>
              <w:left w:w="120" w:type="dxa"/>
              <w:right w:w="120" w:type="dxa"/>
            </w:tcMar>
          </w:tcPr>
          <w:p>
            <w:pPr>
              <w:spacing w:before="0" w:after="0"/>
              <w:jc w:val="center"/>
            </w:pPr>
            <w:r>
              <w:rPr>
                <w:rFonts w:ascii="Calibri" w:hAnsi="Calibri"/>
                <w:b w:val="0"/>
                <w:color w:val="2D3748"/>
                <w:sz w:val="18"/>
              </w:rPr>
              <w:t>Q2 FY26</w:t>
            </w:r>
          </w:p>
        </w:tc>
        <w:tc>
          <w:tcPr>
            <w:tcW w:type="dxa" w:w="2880"/>
            <w:shd w:fill="F7FAFC"/>
            <w:tcMar>
              <w:top w:w="80" w:type="dxa"/>
              <w:bottom w:w="80" w:type="dxa"/>
              <w:left w:w="120" w:type="dxa"/>
              <w:right w:w="120" w:type="dxa"/>
            </w:tcMar>
          </w:tcPr>
          <w:p>
            <w:pPr>
              <w:spacing w:before="0" w:after="0"/>
              <w:jc w:val="left"/>
            </w:pPr>
            <w:r>
              <w:rPr>
                <w:rFonts w:ascii="Calibri" w:hAnsi="Calibri"/>
                <w:b w:val="0"/>
                <w:color w:val="2D3748"/>
                <w:sz w:val="18"/>
              </w:rPr>
              <w:t>Anunciaron la transición de Tim Cook a John Ternus; proyectaron resiliencia de margen en ~47%.</w:t>
            </w:r>
          </w:p>
        </w:tc>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Primera alerta seria: encarecimiento de DRAM y tensiones en TSMC.</w:t>
            </w:r>
          </w:p>
        </w:tc>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Ingresos batieron previsiones; margen bruto superó la guía gracias a créditos arancelarios.</w:t>
            </w:r>
          </w:p>
        </w:tc>
        <w:tc>
          <w:tcPr>
            <w:tcW w:type="dxa" w:w="2016"/>
            <w:shd w:fill="F7FAFC"/>
            <w:tcMar>
              <w:top w:w="80" w:type="dxa"/>
              <w:bottom w:w="80" w:type="dxa"/>
              <w:left w:w="120" w:type="dxa"/>
              <w:right w:w="120" w:type="dxa"/>
            </w:tcMar>
          </w:tcPr>
          <w:p>
            <w:pPr>
              <w:spacing w:before="0" w:after="0"/>
              <w:jc w:val="center"/>
            </w:pPr>
            <w:r>
              <w:rPr>
                <w:rFonts w:ascii="Calibri" w:hAnsi="Calibri"/>
                <w:b w:val="0"/>
                <w:color w:val="2D3748"/>
                <w:sz w:val="18"/>
              </w:rPr>
              <w:t>CUMPLIDO (Relevo impecable)</w:t>
            </w:r>
          </w:p>
        </w:tc>
      </w:tr>
      <w:tr>
        <w:tc>
          <w:tcPr>
            <w:tcW w:type="dxa" w:w="1152"/>
            <w:shd w:fill="FFFFFF"/>
            <w:tcMar>
              <w:top w:w="80" w:type="dxa"/>
              <w:bottom w:w="80" w:type="dxa"/>
              <w:left w:w="120" w:type="dxa"/>
              <w:right w:w="120" w:type="dxa"/>
            </w:tcMar>
          </w:tcPr>
          <w:p>
            <w:pPr>
              <w:spacing w:before="0" w:after="0"/>
              <w:jc w:val="center"/>
            </w:pPr>
            <w:r>
              <w:rPr>
                <w:rFonts w:ascii="Calibri" w:hAnsi="Calibri"/>
                <w:b w:val="0"/>
                <w:color w:val="2D3748"/>
                <w:sz w:val="18"/>
              </w:rPr>
              <w:t>Q3 FY26</w:t>
            </w:r>
          </w:p>
        </w:tc>
        <w:tc>
          <w:tcPr>
            <w:tcW w:type="dxa" w:w="2880"/>
            <w:shd w:fill="FFFFFF"/>
            <w:tcMar>
              <w:top w:w="80" w:type="dxa"/>
              <w:bottom w:w="80" w:type="dxa"/>
              <w:left w:w="120" w:type="dxa"/>
              <w:right w:w="120" w:type="dxa"/>
            </w:tcMar>
          </w:tcPr>
          <w:p>
            <w:pPr>
              <w:spacing w:before="0" w:after="0"/>
              <w:jc w:val="left"/>
            </w:pPr>
            <w:r>
              <w:rPr>
                <w:rFonts w:ascii="Calibri" w:hAnsi="Calibri"/>
                <w:b w:val="0"/>
                <w:color w:val="2D3748"/>
                <w:sz w:val="18"/>
              </w:rPr>
              <w:t>Récord de junio con $109.4B (+16.4%) y margen de 50.1%; guidance prudente de 9%-11% para Q4.</w:t>
            </w:r>
          </w:p>
        </w:tc>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Alerta máxima por cuellos de botella en silicio avanzado e inflación de memorias DRAM.</w:t>
            </w:r>
          </w:p>
        </w:tc>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En curso: cartera de pedidos supera la capacidad productiva de los proveedores.</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EN OBSERVACIÓN (Riesgo TSMC/DRAM)</w:t>
            </w:r>
          </w:p>
        </w:tc>
      </w:tr>
    </w:tbl>
    <w:p>
      <w:pPr>
        <w:spacing w:after="120"/>
      </w:pPr>
    </w:p>
    <w:p>
      <w:pPr>
        <w:keepNext/>
        <w:spacing w:before="240" w:after="80"/>
      </w:pPr>
      <w:r>
        <w:rPr>
          <w:rFonts w:ascii="Calibri" w:hAnsi="Calibri"/>
          <w:b/>
          <w:color w:val="4A5568"/>
          <w:sz w:val="24"/>
        </w:rPr>
        <w:t>Cronología y Mutación Dinámica de los Riesgos Operativos (5 Trimestres):</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Q3 FY25</w:t>
            </w:r>
          </w:p>
        </w:tc>
        <w:tc>
          <w:tcPr>
            <w:tcW w:type="dxa" w:w="3168"/>
            <w:shd w:fill="FFFFFF"/>
            <w:tcMar>
              <w:top w:w="80" w:type="dxa"/>
              <w:bottom w:w="80" w:type="dxa"/>
              <w:left w:w="120" w:type="dxa"/>
              <w:right w:w="120" w:type="dxa"/>
            </w:tcMar>
          </w:tcPr>
          <w:p>
            <w:pPr>
              <w:spacing w:before="0" w:after="0"/>
              <w:jc w:val="left"/>
            </w:pPr>
            <w:r>
              <w:rPr>
                <w:rFonts w:ascii="Calibri" w:hAnsi="Calibri"/>
                <w:b w:val="0"/>
                <w:color w:val="2D3748"/>
                <w:sz w:val="18"/>
              </w:rPr>
              <w:t>Demanda en China y Macroeconomía: Dudas de Wall Street sobre pérdida de cuota ante rivales locales.</w:t>
            </w:r>
          </w:p>
        </w:tc>
        <w:tc>
          <w:tcPr>
            <w:tcW w:type="dxa" w:w="1728"/>
            <w:shd w:fill="FFFFFF"/>
            <w:tcMar>
              <w:top w:w="80" w:type="dxa"/>
              <w:bottom w:w="80" w:type="dxa"/>
              <w:left w:w="120" w:type="dxa"/>
              <w:right w:w="120" w:type="dxa"/>
            </w:tcMar>
          </w:tcPr>
          <w:p>
            <w:pPr>
              <w:spacing w:before="0" w:after="0"/>
              <w:jc w:val="center"/>
            </w:pPr>
            <w:r>
              <w:rPr>
                <w:rFonts w:ascii="Calibri" w:hAnsi="Calibri"/>
                <w:b w:val="0"/>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b w:val="0"/>
                <w:color w:val="2D3748"/>
                <w:sz w:val="18"/>
              </w:rPr>
              <w:t>Mitigado exitosamente: Para Q3 FY26, Gran China rebotó con un crecimiento interanual del +22.4%.</w:t>
            </w:r>
          </w:p>
        </w:tc>
      </w:tr>
      <w:tr>
        <w:tc>
          <w:tcPr>
            <w:tcW w:type="dxa" w:w="1440"/>
            <w:shd w:fill="F7FAFC"/>
            <w:tcMar>
              <w:top w:w="80" w:type="dxa"/>
              <w:bottom w:w="80" w:type="dxa"/>
              <w:left w:w="120" w:type="dxa"/>
              <w:right w:w="120" w:type="dxa"/>
            </w:tcMar>
          </w:tcPr>
          <w:p>
            <w:pPr>
              <w:spacing w:before="0" w:after="0"/>
              <w:jc w:val="center"/>
            </w:pPr>
            <w:r>
              <w:rPr>
                <w:rFonts w:ascii="Calibri" w:hAnsi="Calibri"/>
                <w:b w:val="0"/>
                <w:color w:val="2D3748"/>
                <w:sz w:val="18"/>
              </w:rPr>
              <w:t>Q4 FY25</w:t>
            </w:r>
          </w:p>
        </w:tc>
        <w:tc>
          <w:tcPr>
            <w:tcW w:type="dxa" w:w="3168"/>
            <w:shd w:fill="F7FAFC"/>
            <w:tcMar>
              <w:top w:w="80" w:type="dxa"/>
              <w:bottom w:w="80" w:type="dxa"/>
              <w:left w:w="120" w:type="dxa"/>
              <w:right w:w="120" w:type="dxa"/>
            </w:tcMar>
          </w:tcPr>
          <w:p>
            <w:pPr>
              <w:spacing w:before="0" w:after="0"/>
              <w:jc w:val="left"/>
            </w:pPr>
            <w:r>
              <w:rPr>
                <w:rFonts w:ascii="Calibri" w:hAnsi="Calibri"/>
                <w:b w:val="0"/>
                <w:color w:val="2D3748"/>
                <w:sz w:val="18"/>
              </w:rPr>
              <w:t>Cumplimiento DMA en Europa: Restricciones antimonopolio que amenazaban el modelo de la App Store.</w:t>
            </w:r>
          </w:p>
        </w:tc>
        <w:tc>
          <w:tcPr>
            <w:tcW w:type="dxa" w:w="1728"/>
            <w:shd w:fill="F7FAFC"/>
            <w:tcMar>
              <w:top w:w="80" w:type="dxa"/>
              <w:bottom w:w="80" w:type="dxa"/>
              <w:left w:w="120" w:type="dxa"/>
              <w:right w:w="120" w:type="dxa"/>
            </w:tcMar>
          </w:tcPr>
          <w:p>
            <w:pPr>
              <w:spacing w:before="0" w:after="0"/>
              <w:jc w:val="center"/>
            </w:pPr>
            <w:r>
              <w:rPr>
                <w:rFonts w:ascii="Calibri" w:hAnsi="Calibri"/>
                <w:b w:val="0"/>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b w:val="0"/>
                <w:color w:val="2D3748"/>
                <w:sz w:val="18"/>
              </w:rPr>
              <w:t>Adaptación operativa: Apple segmentó distribución de software en la UE; margen global absorbido por EE.UU.</w:t>
            </w:r>
          </w:p>
        </w:tc>
      </w:tr>
      <w:tr>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Q1 FY26</w:t>
            </w:r>
          </w:p>
        </w:tc>
        <w:tc>
          <w:tcPr>
            <w:tcW w:type="dxa" w:w="3168"/>
            <w:shd w:fill="FFFFFF"/>
            <w:tcMar>
              <w:top w:w="80" w:type="dxa"/>
              <w:bottom w:w="80" w:type="dxa"/>
              <w:left w:w="120" w:type="dxa"/>
              <w:right w:w="120" w:type="dxa"/>
            </w:tcMar>
          </w:tcPr>
          <w:p>
            <w:pPr>
              <w:spacing w:before="0" w:after="0"/>
              <w:jc w:val="left"/>
            </w:pPr>
            <w:r>
              <w:rPr>
                <w:rFonts w:ascii="Calibri" w:hAnsi="Calibri"/>
                <w:b w:val="0"/>
                <w:color w:val="2D3748"/>
                <w:sz w:val="18"/>
              </w:rPr>
              <w:t>Riesgo Logístico Navideño: Despachar $143.8B en hardware en un trimestre récord sin rotura de stock.</w:t>
            </w:r>
          </w:p>
        </w:tc>
        <w:tc>
          <w:tcPr>
            <w:tcW w:type="dxa" w:w="1728"/>
            <w:shd w:fill="FFFFFF"/>
            <w:tcMar>
              <w:top w:w="80" w:type="dxa"/>
              <w:bottom w:w="80" w:type="dxa"/>
              <w:left w:w="120" w:type="dxa"/>
              <w:right w:w="120" w:type="dxa"/>
            </w:tcMar>
          </w:tcPr>
          <w:p>
            <w:pPr>
              <w:spacing w:before="0" w:after="0"/>
              <w:jc w:val="center"/>
            </w:pPr>
            <w:r>
              <w:rPr>
                <w:rFonts w:ascii="Calibri" w:hAnsi="Calibri"/>
                <w:b w:val="0"/>
                <w:color w:val="2D3748"/>
                <w:sz w:val="18"/>
              </w:rPr>
              <w:t>Riesgo Controlado</w:t>
            </w:r>
          </w:p>
        </w:tc>
        <w:tc>
          <w:tcPr>
            <w:tcW w:type="dxa" w:w="3456"/>
            <w:shd w:fill="FFFFFF"/>
            <w:tcMar>
              <w:top w:w="80" w:type="dxa"/>
              <w:bottom w:w="80" w:type="dxa"/>
              <w:left w:w="120" w:type="dxa"/>
              <w:right w:w="120" w:type="dxa"/>
            </w:tcMar>
          </w:tcPr>
          <w:p>
            <w:pPr>
              <w:spacing w:before="0" w:after="0"/>
              <w:jc w:val="left"/>
            </w:pPr>
            <w:r>
              <w:rPr>
                <w:rFonts w:ascii="Calibri" w:hAnsi="Calibri"/>
                <w:b w:val="0"/>
                <w:color w:val="2D3748"/>
                <w:sz w:val="18"/>
              </w:rPr>
              <w:t>Ejecución impecable: Mejor trimestre histórico con entregas a tiempo y mínima fricción en retail.</w:t>
            </w:r>
          </w:p>
        </w:tc>
      </w:tr>
      <w:tr>
        <w:tc>
          <w:tcPr>
            <w:tcW w:type="dxa" w:w="1440"/>
            <w:shd w:fill="F7FAFC"/>
            <w:tcMar>
              <w:top w:w="80" w:type="dxa"/>
              <w:bottom w:w="80" w:type="dxa"/>
              <w:left w:w="120" w:type="dxa"/>
              <w:right w:w="120" w:type="dxa"/>
            </w:tcMar>
          </w:tcPr>
          <w:p>
            <w:pPr>
              <w:spacing w:before="0" w:after="0"/>
              <w:jc w:val="center"/>
            </w:pPr>
            <w:r>
              <w:rPr>
                <w:rFonts w:ascii="Calibri" w:hAnsi="Calibri"/>
                <w:b w:val="0"/>
                <w:color w:val="2D3748"/>
                <w:sz w:val="18"/>
              </w:rPr>
              <w:t>Q2 FY26</w:t>
            </w:r>
          </w:p>
        </w:tc>
        <w:tc>
          <w:tcPr>
            <w:tcW w:type="dxa" w:w="3168"/>
            <w:shd w:fill="F7FAFC"/>
            <w:tcMar>
              <w:top w:w="80" w:type="dxa"/>
              <w:bottom w:w="80" w:type="dxa"/>
              <w:left w:w="120" w:type="dxa"/>
              <w:right w:w="120" w:type="dxa"/>
            </w:tcMar>
          </w:tcPr>
          <w:p>
            <w:pPr>
              <w:spacing w:before="0" w:after="0"/>
              <w:jc w:val="left"/>
            </w:pPr>
            <w:r>
              <w:rPr>
                <w:rFonts w:ascii="Calibri" w:hAnsi="Calibri"/>
                <w:b w:val="0"/>
                <w:color w:val="2D3748"/>
                <w:sz w:val="18"/>
              </w:rPr>
              <w:t>Relevo en C-Suite y Costes de DRAM: Salida de Tim Cook y primeros indicios de subida de precios en RAM.</w:t>
            </w:r>
          </w:p>
        </w:tc>
        <w:tc>
          <w:tcPr>
            <w:tcW w:type="dxa" w:w="1728"/>
            <w:shd w:fill="F7FAFC"/>
            <w:tcMar>
              <w:top w:w="80" w:type="dxa"/>
              <w:bottom w:w="80" w:type="dxa"/>
              <w:left w:w="120" w:type="dxa"/>
              <w:right w:w="120" w:type="dxa"/>
            </w:tcMar>
          </w:tcPr>
          <w:p>
            <w:pPr>
              <w:spacing w:before="0" w:after="0"/>
              <w:jc w:val="center"/>
            </w:pPr>
            <w:r>
              <w:rPr>
                <w:rFonts w:ascii="Calibri" w:hAnsi="Calibri"/>
                <w:b w:val="0"/>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b w:val="0"/>
                <w:color w:val="2D3748"/>
                <w:sz w:val="18"/>
              </w:rPr>
              <w:t>Transición fluida: Relevo comunicado sin sobresaltos. Costes mitigados por inventarios estratégicos.</w:t>
            </w:r>
          </w:p>
        </w:tc>
      </w:tr>
      <w:tr>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Q3 FY26</w:t>
            </w:r>
          </w:p>
        </w:tc>
        <w:tc>
          <w:tcPr>
            <w:tcW w:type="dxa" w:w="3168"/>
            <w:shd w:fill="FFFFFF"/>
            <w:tcMar>
              <w:top w:w="80" w:type="dxa"/>
              <w:bottom w:w="80" w:type="dxa"/>
              <w:left w:w="120" w:type="dxa"/>
              <w:right w:w="120" w:type="dxa"/>
            </w:tcMar>
          </w:tcPr>
          <w:p>
            <w:pPr>
              <w:spacing w:before="0" w:after="0"/>
              <w:jc w:val="left"/>
            </w:pPr>
            <w:r>
              <w:rPr>
                <w:rFonts w:ascii="Calibri" w:hAnsi="Calibri"/>
                <w:b w:val="0"/>
                <w:color w:val="2D3748"/>
                <w:sz w:val="18"/>
              </w:rPr>
              <w:t>Cuellos de Botella en Silicio e Inflación de DRAM: TSMC al límite en nodos avanzados y DRAM exponencial.</w:t>
            </w:r>
          </w:p>
        </w:tc>
        <w:tc>
          <w:tcPr>
            <w:tcW w:type="dxa" w:w="1728"/>
            <w:shd w:fill="FFFFFF"/>
            <w:tcMar>
              <w:top w:w="80" w:type="dxa"/>
              <w:bottom w:w="80" w:type="dxa"/>
              <w:left w:w="120" w:type="dxa"/>
              <w:right w:w="120" w:type="dxa"/>
            </w:tcMar>
          </w:tcPr>
          <w:p>
            <w:pPr>
              <w:spacing w:before="0" w:after="0"/>
              <w:jc w:val="center"/>
            </w:pPr>
            <w:r>
              <w:rPr>
                <w:rFonts w:ascii="Calibri" w:hAnsi="Calibri"/>
                <w:b w:val="0"/>
                <w:color w:val="2D3748"/>
                <w:sz w:val="18"/>
              </w:rPr>
              <w:t>Alerta Alta</w:t>
            </w:r>
          </w:p>
        </w:tc>
        <w:tc>
          <w:tcPr>
            <w:tcW w:type="dxa" w:w="3456"/>
            <w:shd w:fill="FFFFFF"/>
            <w:tcMar>
              <w:top w:w="80" w:type="dxa"/>
              <w:bottom w:w="80" w:type="dxa"/>
              <w:left w:w="120" w:type="dxa"/>
              <w:right w:w="120" w:type="dxa"/>
            </w:tcMar>
          </w:tcPr>
          <w:p>
            <w:pPr>
              <w:spacing w:before="0" w:after="0"/>
              <w:jc w:val="left"/>
            </w:pPr>
            <w:r>
              <w:rPr>
                <w:rFonts w:ascii="Calibri" w:hAnsi="Calibri"/>
                <w:b w:val="0"/>
                <w:color w:val="2D3748"/>
                <w:sz w:val="18"/>
              </w:rPr>
              <w:t>Riesgo Activo: Subidas selectivas de precios y advertencia de oferta de hardware restringida en Q4 FY26.</w:t>
            </w:r>
          </w:p>
        </w:tc>
      </w:tr>
    </w:tbl>
    <w:p>
      <w:pPr>
        <w:spacing w:after="120"/>
      </w:pPr>
    </w:p>
    <w:p>
      <w:pPr>
        <w:spacing w:before="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0" w:after="80" w:line="276" w:lineRule="auto"/>
      </w:pPr>
      <w:r>
        <w:rPr>
          <w:rFonts w:ascii="Calibri" w:hAnsi="Calibri"/>
          <w:b/>
          <w:color w:val="2D3748"/>
          <w:sz w:val="20"/>
        </w:rPr>
        <w:t xml:space="preserve">• De la incertidumbre de demanda a la crisis de exceso de demanda: </w:t>
      </w:r>
      <w:r>
        <w:rPr>
          <w:rFonts w:ascii="Calibri" w:hAnsi="Calibri"/>
          <w:i w:val="0"/>
          <w:color w:val="2D3748"/>
          <w:sz w:val="20"/>
        </w:rPr>
        <w:t>En 2025 el mercado dudaba si los clientes renovarían sus dispositivos. En 2026, la demanda fue tan masiva que el problema se transformó en la imposibilidad física de fabricar suficientes microchips para abastecer los pedidos.</w:t>
      </w:r>
    </w:p>
    <w:p>
      <w:pPr>
        <w:spacing w:before="0" w:after="80" w:line="276" w:lineRule="auto"/>
      </w:pPr>
      <w:r>
        <w:rPr>
          <w:rFonts w:ascii="Calibri" w:hAnsi="Calibri"/>
          <w:b/>
          <w:color w:val="2D3748"/>
          <w:sz w:val="20"/>
        </w:rPr>
        <w:t xml:space="preserve">• Poder de fijación de precios frente a la inflación de costes: </w:t>
      </w:r>
      <w:r>
        <w:rPr>
          <w:rFonts w:ascii="Calibri" w:hAnsi="Calibri"/>
          <w:i w:val="0"/>
          <w:color w:val="2D3748"/>
          <w:sz w:val="20"/>
        </w:rPr>
        <w:t>A pesar de que los precios de memoria se dispararon ('crecida de 100 años'), el margen bruto consolidado alcanzó el 50.1%, demostrando que la empresa puede trasladar aumentos de costes sin sacrificar volumen ni cuota de mercado.</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2"/>
              </w:rPr>
              <w:t>📌 CALIFICACIÓN DE CREDIBILIDAD DEL MANAGEMENT: EXCEPCIONAL (TIER 1)</w:t>
              <w:br/>
            </w:r>
          </w:p>
          <w:p>
            <w:pPr>
              <w:spacing w:before="40" w:after="40" w:line="276" w:lineRule="auto"/>
            </w:pPr>
            <w:r>
              <w:rPr>
                <w:rFonts w:ascii="Calibri" w:hAnsi="Calibri"/>
                <w:color w:val="2D3748"/>
                <w:sz w:val="19"/>
              </w:rPr>
              <w:t>• Consistencia Histórica: El equipo directivo ha demostrado un patrón sistemático de fijar guías prudentes para luego superarlas (Under-promise and Over-deliver) en 4 de los últimos 5 trimestres.</w:t>
            </w:r>
          </w:p>
          <w:p>
            <w:pPr>
              <w:spacing w:before="40" w:after="40" w:line="276" w:lineRule="auto"/>
            </w:pPr>
            <w:r>
              <w:rPr>
                <w:rFonts w:ascii="Calibri" w:hAnsi="Calibri"/>
                <w:color w:val="2D3748"/>
                <w:sz w:val="19"/>
              </w:rPr>
              <w:t>• Transparencia en Riesgos: Los directivos alertaron proactivamente sobre el impacto cambiario y los costes de DRAM con dos trimestres de anticipación antes de que golpearan los estados contables.</w:t>
            </w:r>
          </w:p>
          <w:p>
            <w:pPr>
              <w:spacing w:before="40" w:after="40" w:line="276" w:lineRule="auto"/>
            </w:pPr>
            <w:r>
              <w:rPr>
                <w:rFonts w:ascii="Calibri" w:hAnsi="Calibri"/>
                <w:color w:val="2D3748"/>
                <w:sz w:val="19"/>
              </w:rPr>
              <w:t>• Transición Ordenada: La designación de John Ternus asegura la continuidad técnica y aleja el riesgo de desviaciones estratégicas o aventuras destructoras de capital.</w:t>
            </w:r>
          </w:p>
        </w:tc>
      </w:tr>
    </w:tbl>
    <w:p>
      <w:pPr>
        <w:spacing w:after="80"/>
      </w:pPr>
    </w:p>
    <w:p>
      <w:pPr>
        <w:keepNext/>
        <w:spacing w:before="320" w:after="120"/>
      </w:pPr>
      <w:r>
        <w:rPr>
          <w:rFonts w:ascii="Calibri" w:hAnsi="Calibri"/>
          <w:b/>
          <w:color w:val="1B365D"/>
          <w:sz w:val="30"/>
        </w:rPr>
        <w:t>6. Posición Patrimonial, Estructura de Capital y Asignación de Recursos (Capital Allocation)</w:t>
      </w:r>
    </w:p>
    <w:p>
      <w:pPr>
        <w:spacing w:before="0" w:after="80" w:line="276" w:lineRule="auto"/>
      </w:pPr>
      <w:r>
        <w:rPr>
          <w:rFonts w:ascii="Calibri" w:hAnsi="Calibri"/>
          <w:i w:val="0"/>
          <w:color w:val="2D3748"/>
          <w:sz w:val="20"/>
        </w:rPr>
        <w:t>La estructura financiera de Apple Inc. se mantiene en una posición de solidez incuestionable, operando prácticamente como un 'banco de inversión de alta calificación' dentro del sector tecnológico global. La directiva combina una política de apalancamiento conservadora con un programa agresivo de retorno de capital hacia los accionistas, enmarcado dentro de su objetivo formal de alcanzar una posición de Caja Neta Neutral (Net Cash Neutral).</w:t>
      </w:r>
    </w:p>
    <w:p>
      <w:pPr>
        <w:keepNext/>
        <w:spacing w:before="240" w:after="80"/>
      </w:pPr>
      <w:r>
        <w:rPr>
          <w:rFonts w:ascii="Calibri" w:hAnsi="Calibri"/>
          <w:b/>
          <w:color w:val="4A5568"/>
          <w:sz w:val="24"/>
        </w:rPr>
        <w:t>6.1. Cuadro de Mando de Liquidez, Deuda y Posición Neta de Caja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FY26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FY25 ($M)</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de Solvencia y Balance</w:t>
            </w:r>
          </w:p>
        </w:tc>
      </w:tr>
      <w:tr>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Efectivo y Equivalentes Líquidos</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$39,544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$31,850 M</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+24.2%</w:t>
            </w:r>
          </w:p>
        </w:tc>
        <w:tc>
          <w:tcPr>
            <w:tcW w:type="dxa" w:w="2736"/>
            <w:shd w:fill="FFFFFF"/>
            <w:tcMar>
              <w:top w:w="80" w:type="dxa"/>
              <w:bottom w:w="80" w:type="dxa"/>
              <w:left w:w="120" w:type="dxa"/>
              <w:right w:w="120" w:type="dxa"/>
            </w:tcMar>
          </w:tcPr>
          <w:p>
            <w:pPr>
              <w:spacing w:before="0" w:after="0"/>
              <w:jc w:val="left"/>
            </w:pPr>
            <w:r>
              <w:rPr>
                <w:rFonts w:ascii="Calibri" w:hAnsi="Calibri"/>
                <w:b w:val="0"/>
                <w:color w:val="2D3748"/>
                <w:sz w:val="18"/>
              </w:rPr>
              <w:t>Liquidez operativa de disponibilidad inmediata para pagos y tesorería.</w:t>
            </w:r>
          </w:p>
        </w:tc>
      </w:tr>
      <w:tr>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Valores Negociables (Corto Plazo)</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$22,855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$27,410 M</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-16.6%</w:t>
            </w:r>
          </w:p>
        </w:tc>
        <w:tc>
          <w:tcPr>
            <w:tcW w:type="dxa" w:w="2736"/>
            <w:shd w:fill="F7FAFC"/>
            <w:tcMar>
              <w:top w:w="80" w:type="dxa"/>
              <w:bottom w:w="80" w:type="dxa"/>
              <w:left w:w="120" w:type="dxa"/>
              <w:right w:w="120" w:type="dxa"/>
            </w:tcMar>
          </w:tcPr>
          <w:p>
            <w:pPr>
              <w:spacing w:before="0" w:after="0"/>
              <w:jc w:val="left"/>
            </w:pPr>
            <w:r>
              <w:rPr>
                <w:rFonts w:ascii="Calibri" w:hAnsi="Calibri"/>
                <w:b w:val="0"/>
                <w:color w:val="2D3748"/>
                <w:sz w:val="18"/>
              </w:rPr>
              <w:t>Letras del tesoro y pagarés corporativos AAA con vencimiento &lt; 12 meses.</w:t>
            </w:r>
          </w:p>
        </w:tc>
      </w:tr>
      <w:tr>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Valores Negociables (Largo Plazo)</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$84,118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$93,950 M</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-10.5%</w:t>
            </w:r>
          </w:p>
        </w:tc>
        <w:tc>
          <w:tcPr>
            <w:tcW w:type="dxa" w:w="2736"/>
            <w:shd w:fill="FFFFFF"/>
            <w:tcMar>
              <w:top w:w="80" w:type="dxa"/>
              <w:bottom w:w="80" w:type="dxa"/>
              <w:left w:w="120" w:type="dxa"/>
              <w:right w:w="120" w:type="dxa"/>
            </w:tcMar>
          </w:tcPr>
          <w:p>
            <w:pPr>
              <w:spacing w:before="0" w:after="0"/>
              <w:jc w:val="left"/>
            </w:pPr>
            <w:r>
              <w:rPr>
                <w:rFonts w:ascii="Calibri" w:hAnsi="Calibri"/>
                <w:b w:val="0"/>
                <w:color w:val="2D3748"/>
                <w:sz w:val="18"/>
              </w:rPr>
              <w:t>Cartera de bonos soberanos y corporativos líquidos de alto rendimiento.</w:t>
            </w:r>
          </w:p>
        </w:tc>
      </w:tr>
      <w:tr>
        <w:tc>
          <w:tcPr>
            <w:tcW w:type="dxa" w:w="2592"/>
            <w:shd w:fill="F7FAFC"/>
            <w:tcMar>
              <w:top w:w="80" w:type="dxa"/>
              <w:bottom w:w="80" w:type="dxa"/>
              <w:left w:w="120" w:type="dxa"/>
              <w:right w:w="120" w:type="dxa"/>
            </w:tcMar>
          </w:tcPr>
          <w:p>
            <w:pPr>
              <w:spacing w:before="0" w:after="0"/>
              <w:jc w:val="left"/>
            </w:pPr>
            <w:r>
              <w:rPr>
                <w:rFonts w:ascii="Calibri" w:hAnsi="Calibri"/>
                <w:b/>
                <w:color w:val="1B365D"/>
                <w:sz w:val="18"/>
              </w:rPr>
              <w:t>LIQUIDEZ TOTAL DISPONIBLE (Cash &amp; Securities)</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$146,517 M</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$153,210 M</w:t>
            </w:r>
          </w:p>
        </w:tc>
        <w:tc>
          <w:tcPr>
            <w:tcW w:type="dxa" w:w="1584"/>
            <w:shd w:fill="F7FAFC"/>
            <w:tcMar>
              <w:top w:w="80" w:type="dxa"/>
              <w:bottom w:w="80" w:type="dxa"/>
              <w:left w:w="120" w:type="dxa"/>
              <w:right w:w="120" w:type="dxa"/>
            </w:tcMar>
          </w:tcPr>
          <w:p>
            <w:pPr>
              <w:spacing w:before="0" w:after="0"/>
              <w:jc w:val="right"/>
            </w:pPr>
            <w:r>
              <w:rPr>
                <w:rFonts w:ascii="Calibri" w:hAnsi="Calibri"/>
                <w:b/>
                <w:color w:val="1B365D"/>
                <w:sz w:val="18"/>
              </w:rPr>
              <w:t>-4.4%</w:t>
            </w:r>
          </w:p>
        </w:tc>
        <w:tc>
          <w:tcPr>
            <w:tcW w:type="dxa" w:w="2736"/>
            <w:shd w:fill="F7FAFC"/>
            <w:tcMar>
              <w:top w:w="80" w:type="dxa"/>
              <w:bottom w:w="80" w:type="dxa"/>
              <w:left w:w="120" w:type="dxa"/>
              <w:right w:w="120" w:type="dxa"/>
            </w:tcMar>
          </w:tcPr>
          <w:p>
            <w:pPr>
              <w:spacing w:before="0" w:after="0"/>
              <w:jc w:val="left"/>
            </w:pPr>
            <w:r>
              <w:rPr>
                <w:rFonts w:ascii="Calibri" w:hAnsi="Calibri"/>
                <w:b/>
                <w:color w:val="1B365D"/>
                <w:sz w:val="18"/>
              </w:rPr>
              <w:t>Enorme 'caja de guerra' (war chest) que blinda a la empresa ante cualquier crisis.</w:t>
            </w:r>
          </w:p>
        </w:tc>
      </w:tr>
      <w:tr>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Papel Comercial (Commercial Paper)</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$1,997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$3,980 M</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-49.8%</w:t>
            </w:r>
          </w:p>
        </w:tc>
        <w:tc>
          <w:tcPr>
            <w:tcW w:type="dxa" w:w="2736"/>
            <w:shd w:fill="FFFFFF"/>
            <w:tcMar>
              <w:top w:w="80" w:type="dxa"/>
              <w:bottom w:w="80" w:type="dxa"/>
              <w:left w:w="120" w:type="dxa"/>
              <w:right w:w="120" w:type="dxa"/>
            </w:tcMar>
          </w:tcPr>
          <w:p>
            <w:pPr>
              <w:spacing w:before="0" w:after="0"/>
              <w:jc w:val="left"/>
            </w:pPr>
            <w:r>
              <w:rPr>
                <w:rFonts w:ascii="Calibri" w:hAnsi="Calibri"/>
                <w:b w:val="0"/>
                <w:color w:val="2D3748"/>
                <w:sz w:val="18"/>
              </w:rPr>
              <w:t>Financiación circulante de bajísimo coste para sincronizar pagos de corto plazo.</w:t>
            </w:r>
          </w:p>
        </w:tc>
      </w:tr>
      <w:tr>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Deuda Financiera a Corto Plazo</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$11,007 M</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$9,850 M</w:t>
            </w:r>
          </w:p>
        </w:tc>
        <w:tc>
          <w:tcPr>
            <w:tcW w:type="dxa" w:w="1584"/>
            <w:shd w:fill="F7FAFC"/>
            <w:tcMar>
              <w:top w:w="80" w:type="dxa"/>
              <w:bottom w:w="80" w:type="dxa"/>
              <w:left w:w="120" w:type="dxa"/>
              <w:right w:w="120" w:type="dxa"/>
            </w:tcMar>
          </w:tcPr>
          <w:p>
            <w:pPr>
              <w:spacing w:before="0" w:after="0"/>
              <w:jc w:val="right"/>
            </w:pPr>
            <w:r>
              <w:rPr>
                <w:rFonts w:ascii="Calibri" w:hAnsi="Calibri"/>
                <w:b w:val="0"/>
                <w:color w:val="2D3748"/>
                <w:sz w:val="18"/>
              </w:rPr>
              <w:t>+11.7%</w:t>
            </w:r>
          </w:p>
        </w:tc>
        <w:tc>
          <w:tcPr>
            <w:tcW w:type="dxa" w:w="2736"/>
            <w:shd w:fill="F7FAFC"/>
            <w:tcMar>
              <w:top w:w="80" w:type="dxa"/>
              <w:bottom w:w="80" w:type="dxa"/>
              <w:left w:w="120" w:type="dxa"/>
              <w:right w:w="120" w:type="dxa"/>
            </w:tcMar>
          </w:tcPr>
          <w:p>
            <w:pPr>
              <w:spacing w:before="0" w:after="0"/>
              <w:jc w:val="left"/>
            </w:pPr>
            <w:r>
              <w:rPr>
                <w:rFonts w:ascii="Calibri" w:hAnsi="Calibri"/>
                <w:b w:val="0"/>
                <w:color w:val="2D3748"/>
                <w:sz w:val="18"/>
              </w:rPr>
              <w:t>Vencimientos corrientes de bonos que serán refinanciados o amortizados en el año.</w:t>
            </w:r>
          </w:p>
        </w:tc>
      </w:tr>
      <w:tr>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Deuda Financiera a Largo Plazo</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$71,340 M</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$86,450 M</w:t>
            </w:r>
          </w:p>
        </w:tc>
        <w:tc>
          <w:tcPr>
            <w:tcW w:type="dxa" w:w="1584"/>
            <w:shd w:fill="FFFFFF"/>
            <w:tcMar>
              <w:top w:w="80" w:type="dxa"/>
              <w:bottom w:w="80" w:type="dxa"/>
              <w:left w:w="120" w:type="dxa"/>
              <w:right w:w="120" w:type="dxa"/>
            </w:tcMar>
          </w:tcPr>
          <w:p>
            <w:pPr>
              <w:spacing w:before="0" w:after="0"/>
              <w:jc w:val="right"/>
            </w:pPr>
            <w:r>
              <w:rPr>
                <w:rFonts w:ascii="Calibri" w:hAnsi="Calibri"/>
                <w:b w:val="0"/>
                <w:color w:val="2D3748"/>
                <w:sz w:val="18"/>
              </w:rPr>
              <w:t>-17.5%</w:t>
            </w:r>
          </w:p>
        </w:tc>
        <w:tc>
          <w:tcPr>
            <w:tcW w:type="dxa" w:w="2736"/>
            <w:shd w:fill="FFFFFF"/>
            <w:tcMar>
              <w:top w:w="80" w:type="dxa"/>
              <w:bottom w:w="80" w:type="dxa"/>
              <w:left w:w="120" w:type="dxa"/>
              <w:right w:w="120" w:type="dxa"/>
            </w:tcMar>
          </w:tcPr>
          <w:p>
            <w:pPr>
              <w:spacing w:before="0" w:after="0"/>
              <w:jc w:val="left"/>
            </w:pPr>
            <w:r>
              <w:rPr>
                <w:rFonts w:ascii="Calibri" w:hAnsi="Calibri"/>
                <w:b w:val="0"/>
                <w:color w:val="2D3748"/>
                <w:sz w:val="18"/>
              </w:rPr>
              <w:t>Bonos sénior no garantizados emitidos a tipos fijos históricamente bajos (2.5% - 3.5%).</w:t>
            </w:r>
          </w:p>
        </w:tc>
      </w:tr>
      <w:tr>
        <w:tc>
          <w:tcPr>
            <w:tcW w:type="dxa" w:w="2592"/>
            <w:shd w:fill="F7FAFC"/>
            <w:tcMar>
              <w:top w:w="80" w:type="dxa"/>
              <w:bottom w:w="80" w:type="dxa"/>
              <w:left w:w="120" w:type="dxa"/>
              <w:right w:w="120" w:type="dxa"/>
            </w:tcMar>
          </w:tcPr>
          <w:p>
            <w:pPr>
              <w:spacing w:before="0" w:after="0"/>
              <w:jc w:val="left"/>
            </w:pPr>
            <w:r>
              <w:rPr>
                <w:rFonts w:ascii="Calibri" w:hAnsi="Calibri"/>
                <w:b/>
                <w:color w:val="1B365D"/>
                <w:sz w:val="18"/>
              </w:rPr>
              <w:t>DEUDA BRUTA TOTAL</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$84,344 M</w:t>
            </w:r>
          </w:p>
        </w:tc>
        <w:tc>
          <w:tcPr>
            <w:tcW w:type="dxa" w:w="1440"/>
            <w:shd w:fill="F7FAFC"/>
            <w:tcMar>
              <w:top w:w="80" w:type="dxa"/>
              <w:bottom w:w="80" w:type="dxa"/>
              <w:left w:w="120" w:type="dxa"/>
              <w:right w:w="120" w:type="dxa"/>
            </w:tcMar>
          </w:tcPr>
          <w:p>
            <w:pPr>
              <w:spacing w:before="0" w:after="0"/>
              <w:jc w:val="right"/>
            </w:pPr>
            <w:r>
              <w:rPr>
                <w:rFonts w:ascii="Calibri" w:hAnsi="Calibri"/>
                <w:b/>
                <w:color w:val="1B365D"/>
                <w:sz w:val="18"/>
              </w:rPr>
              <w:t>$100,280 M</w:t>
            </w:r>
          </w:p>
        </w:tc>
        <w:tc>
          <w:tcPr>
            <w:tcW w:type="dxa" w:w="1584"/>
            <w:shd w:fill="F7FAFC"/>
            <w:tcMar>
              <w:top w:w="80" w:type="dxa"/>
              <w:bottom w:w="80" w:type="dxa"/>
              <w:left w:w="120" w:type="dxa"/>
              <w:right w:w="120" w:type="dxa"/>
            </w:tcMar>
          </w:tcPr>
          <w:p>
            <w:pPr>
              <w:spacing w:before="0" w:after="0"/>
              <w:jc w:val="right"/>
            </w:pPr>
            <w:r>
              <w:rPr>
                <w:rFonts w:ascii="Calibri" w:hAnsi="Calibri"/>
                <w:b/>
                <w:color w:val="1B365D"/>
                <w:sz w:val="18"/>
              </w:rPr>
              <w:t>-15.9%</w:t>
            </w:r>
          </w:p>
        </w:tc>
        <w:tc>
          <w:tcPr>
            <w:tcW w:type="dxa" w:w="2736"/>
            <w:shd w:fill="F7FAFC"/>
            <w:tcMar>
              <w:top w:w="80" w:type="dxa"/>
              <w:bottom w:w="80" w:type="dxa"/>
              <w:left w:w="120" w:type="dxa"/>
              <w:right w:w="120" w:type="dxa"/>
            </w:tcMar>
          </w:tcPr>
          <w:p>
            <w:pPr>
              <w:spacing w:before="0" w:after="0"/>
              <w:jc w:val="left"/>
            </w:pPr>
            <w:r>
              <w:rPr>
                <w:rFonts w:ascii="Calibri" w:hAnsi="Calibri"/>
                <w:b/>
                <w:color w:val="1B365D"/>
                <w:sz w:val="18"/>
              </w:rPr>
              <w:t>Reducción activa del pasivo financiero total (-$15,936 M amortizados YoY).</w:t>
            </w:r>
          </w:p>
        </w:tc>
      </w:tr>
      <w:tr>
        <w:tc>
          <w:tcPr>
            <w:tcW w:type="dxa" w:w="2592"/>
            <w:shd w:fill="FFFFFF"/>
            <w:tcMar>
              <w:top w:w="80" w:type="dxa"/>
              <w:bottom w:w="80" w:type="dxa"/>
              <w:left w:w="120" w:type="dxa"/>
              <w:right w:w="120" w:type="dxa"/>
            </w:tcMar>
          </w:tcPr>
          <w:p>
            <w:pPr>
              <w:spacing w:before="0" w:after="0"/>
              <w:jc w:val="left"/>
            </w:pPr>
            <w:r>
              <w:rPr>
                <w:rFonts w:ascii="Calibri" w:hAnsi="Calibri"/>
                <w:b/>
                <w:color w:val="1B365D"/>
                <w:sz w:val="18"/>
              </w:rPr>
              <w:t>POSICIÓN NETA DE CAJA (NET CASH)</w:t>
            </w:r>
          </w:p>
        </w:tc>
        <w:tc>
          <w:tcPr>
            <w:tcW w:type="dxa" w:w="1440"/>
            <w:shd w:fill="FFFFFF"/>
            <w:tcMar>
              <w:top w:w="80" w:type="dxa"/>
              <w:bottom w:w="80" w:type="dxa"/>
              <w:left w:w="120" w:type="dxa"/>
              <w:right w:w="120" w:type="dxa"/>
            </w:tcMar>
          </w:tcPr>
          <w:p>
            <w:pPr>
              <w:spacing w:before="0" w:after="0"/>
              <w:jc w:val="right"/>
            </w:pPr>
            <w:r>
              <w:rPr>
                <w:rFonts w:ascii="Calibri" w:hAnsi="Calibri"/>
                <w:b/>
                <w:color w:val="1B365D"/>
                <w:sz w:val="18"/>
              </w:rPr>
              <w:t>+$62,173 M</w:t>
            </w:r>
          </w:p>
        </w:tc>
        <w:tc>
          <w:tcPr>
            <w:tcW w:type="dxa" w:w="1440"/>
            <w:shd w:fill="FFFFFF"/>
            <w:tcMar>
              <w:top w:w="80" w:type="dxa"/>
              <w:bottom w:w="80" w:type="dxa"/>
              <w:left w:w="120" w:type="dxa"/>
              <w:right w:w="120" w:type="dxa"/>
            </w:tcMar>
          </w:tcPr>
          <w:p>
            <w:pPr>
              <w:spacing w:before="0" w:after="0"/>
              <w:jc w:val="right"/>
            </w:pPr>
            <w:r>
              <w:rPr>
                <w:rFonts w:ascii="Calibri" w:hAnsi="Calibri"/>
                <w:b/>
                <w:color w:val="1B365D"/>
                <w:sz w:val="18"/>
              </w:rPr>
              <w:t>+$52,930 M</w:t>
            </w:r>
          </w:p>
        </w:tc>
        <w:tc>
          <w:tcPr>
            <w:tcW w:type="dxa" w:w="1584"/>
            <w:shd w:fill="FFFFFF"/>
            <w:tcMar>
              <w:top w:w="80" w:type="dxa"/>
              <w:bottom w:w="80" w:type="dxa"/>
              <w:left w:w="120" w:type="dxa"/>
              <w:right w:w="120" w:type="dxa"/>
            </w:tcMar>
          </w:tcPr>
          <w:p>
            <w:pPr>
              <w:spacing w:before="0" w:after="0"/>
              <w:jc w:val="right"/>
            </w:pPr>
            <w:r>
              <w:rPr>
                <w:rFonts w:ascii="Calibri" w:hAnsi="Calibri"/>
                <w:b/>
                <w:color w:val="1B365D"/>
                <w:sz w:val="18"/>
              </w:rPr>
              <w:t>+$9,243 M</w:t>
            </w:r>
          </w:p>
        </w:tc>
        <w:tc>
          <w:tcPr>
            <w:tcW w:type="dxa" w:w="2736"/>
            <w:shd w:fill="FFFFFF"/>
            <w:tcMar>
              <w:top w:w="80" w:type="dxa"/>
              <w:bottom w:w="80" w:type="dxa"/>
              <w:left w:w="120" w:type="dxa"/>
              <w:right w:w="120" w:type="dxa"/>
            </w:tcMar>
          </w:tcPr>
          <w:p>
            <w:pPr>
              <w:spacing w:before="0" w:after="0"/>
              <w:jc w:val="left"/>
            </w:pPr>
            <w:r>
              <w:rPr>
                <w:rFonts w:ascii="Calibri" w:hAnsi="Calibri"/>
                <w:b/>
                <w:color w:val="1B365D"/>
                <w:sz w:val="18"/>
              </w:rPr>
              <w:t>Posición de acreedor neto: la liquidez total supera a toda la deuda en más de $62B.</w:t>
            </w:r>
          </w:p>
        </w:tc>
      </w:tr>
    </w:tbl>
    <w:p>
      <w:pPr>
        <w:spacing w:after="120"/>
      </w:pPr>
    </w:p>
    <w:p>
      <w:pPr>
        <w:spacing w:before="0" w:after="80" w:line="276" w:lineRule="auto"/>
      </w:pPr>
      <w:r>
        <w:rPr>
          <w:rFonts w:ascii="Calibri" w:hAnsi="Calibri"/>
          <w:b/>
          <w:color w:val="2D3748"/>
          <w:sz w:val="20"/>
        </w:rPr>
        <w:t xml:space="preserve">• Carry Trade de Deuda Positivo: </w:t>
      </w:r>
      <w:r>
        <w:rPr>
          <w:rFonts w:ascii="Calibri" w:hAnsi="Calibri"/>
          <w:i w:val="0"/>
          <w:color w:val="2D3748"/>
          <w:sz w:val="20"/>
        </w:rPr>
        <w:t>Apple mantiene $84,344 M en deuda emitida a tipos de interés fijos muy reducidos (promedio ~3.0%), mientras que su liquidez de $146,517 M está colocada en bonos del tesoro con rentabilidades superiores al 4.5%, lo que genera ingresos financieros netos positivos (OIE positivo de ~$350 M por trimestre).</w:t>
      </w:r>
    </w:p>
    <w:p>
      <w:pPr>
        <w:keepNext/>
        <w:spacing w:before="240" w:after="80"/>
      </w:pPr>
      <w:r>
        <w:rPr>
          <w:rFonts w:ascii="Calibri" w:hAnsi="Calibri"/>
          <w:b/>
          <w:color w:val="4A5568"/>
          <w:sz w:val="24"/>
        </w:rPr>
        <w:t>6.2. Política de Retorno al Accionista: Recompra de Acciones y Dividendos</w:t>
      </w:r>
    </w:p>
    <w:p>
      <w:pPr>
        <w:spacing w:before="0" w:after="80" w:line="276" w:lineRule="auto"/>
      </w:pPr>
      <w:r>
        <w:rPr>
          <w:rFonts w:ascii="Calibri" w:hAnsi="Calibri"/>
          <w:i w:val="0"/>
          <w:color w:val="2D3748"/>
          <w:sz w:val="20"/>
        </w:rPr>
        <w:t>Apple mantiene el programa de asignación de capital más masivo de la historia corporativa moderna, utilizando su Flujo de Caja Libre para recomprar sus propias acciones y distribuir dividendos crecientes:</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Trimestre Q3 FY26</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Acumulado 9M FY26</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del Accionista</w:t>
            </w:r>
          </w:p>
        </w:tc>
      </w:tr>
      <w:tr>
        <w:tc>
          <w:tcPr>
            <w:tcW w:type="dxa" w:w="3024"/>
            <w:shd w:fill="FFFFFF"/>
            <w:tcMar>
              <w:top w:w="80" w:type="dxa"/>
              <w:bottom w:w="80" w:type="dxa"/>
              <w:left w:w="120" w:type="dxa"/>
              <w:right w:w="120" w:type="dxa"/>
            </w:tcMar>
          </w:tcPr>
          <w:p>
            <w:pPr>
              <w:spacing w:before="0" w:after="0"/>
              <w:jc w:val="left"/>
            </w:pPr>
            <w:r>
              <w:rPr>
                <w:rFonts w:ascii="Calibri" w:hAnsi="Calibri"/>
                <w:b w:val="0"/>
                <w:color w:val="2D3748"/>
                <w:sz w:val="18"/>
              </w:rPr>
              <w:t>Recompra Neta de Acciones Comunes</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$25,800 M</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$62,094 M</w:t>
            </w:r>
          </w:p>
        </w:tc>
        <w:tc>
          <w:tcPr>
            <w:tcW w:type="dxa" w:w="3312"/>
            <w:shd w:fill="FFFFFF"/>
            <w:tcMar>
              <w:top w:w="80" w:type="dxa"/>
              <w:bottom w:w="80" w:type="dxa"/>
              <w:left w:w="120" w:type="dxa"/>
              <w:right w:w="120" w:type="dxa"/>
            </w:tcMar>
          </w:tcPr>
          <w:p>
            <w:pPr>
              <w:spacing w:before="0" w:after="0"/>
              <w:jc w:val="left"/>
            </w:pPr>
            <w:r>
              <w:rPr>
                <w:rFonts w:ascii="Calibri" w:hAnsi="Calibri"/>
                <w:b w:val="0"/>
                <w:color w:val="2D3748"/>
                <w:sz w:val="18"/>
              </w:rPr>
              <w:t>Retiro acelerado de títulos en el mercado abierto bajo el plan autorizado.</w:t>
            </w:r>
          </w:p>
        </w:tc>
      </w:tr>
      <w:tr>
        <w:tc>
          <w:tcPr>
            <w:tcW w:type="dxa" w:w="3024"/>
            <w:shd w:fill="F7FAFC"/>
            <w:tcMar>
              <w:top w:w="80" w:type="dxa"/>
              <w:bottom w:w="80" w:type="dxa"/>
              <w:left w:w="120" w:type="dxa"/>
              <w:right w:w="120" w:type="dxa"/>
            </w:tcMar>
          </w:tcPr>
          <w:p>
            <w:pPr>
              <w:spacing w:before="0" w:after="0"/>
              <w:jc w:val="left"/>
            </w:pPr>
            <w:r>
              <w:rPr>
                <w:rFonts w:ascii="Calibri" w:hAnsi="Calibri"/>
                <w:b w:val="0"/>
                <w:color w:val="2D3748"/>
                <w:sz w:val="18"/>
              </w:rPr>
              <w:t>Dividendos en Efectivo Distribuidos</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$4,000 M</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$11,778 M</w:t>
            </w:r>
          </w:p>
        </w:tc>
        <w:tc>
          <w:tcPr>
            <w:tcW w:type="dxa" w:w="3312"/>
            <w:shd w:fill="F7FAFC"/>
            <w:tcMar>
              <w:top w:w="80" w:type="dxa"/>
              <w:bottom w:w="80" w:type="dxa"/>
              <w:left w:w="120" w:type="dxa"/>
              <w:right w:w="120" w:type="dxa"/>
            </w:tcMar>
          </w:tcPr>
          <w:p>
            <w:pPr>
              <w:spacing w:before="0" w:after="0"/>
              <w:jc w:val="left"/>
            </w:pPr>
            <w:r>
              <w:rPr>
                <w:rFonts w:ascii="Calibri" w:hAnsi="Calibri"/>
                <w:b w:val="0"/>
                <w:color w:val="2D3748"/>
                <w:sz w:val="18"/>
              </w:rPr>
              <w:t>$0.27 por acción declarado en Q3 (payout sostenible de ~13% del FCF).</w:t>
            </w:r>
          </w:p>
        </w:tc>
      </w:tr>
      <w:tr>
        <w:tc>
          <w:tcPr>
            <w:tcW w:type="dxa" w:w="3024"/>
            <w:shd w:fill="FFFFFF"/>
            <w:tcMar>
              <w:top w:w="80" w:type="dxa"/>
              <w:bottom w:w="80" w:type="dxa"/>
              <w:left w:w="120" w:type="dxa"/>
              <w:right w:w="120" w:type="dxa"/>
            </w:tcMar>
          </w:tcPr>
          <w:p>
            <w:pPr>
              <w:spacing w:before="0" w:after="0"/>
              <w:jc w:val="left"/>
            </w:pPr>
            <w:r>
              <w:rPr>
                <w:rFonts w:ascii="Calibri" w:hAnsi="Calibri"/>
                <w:b/>
                <w:color w:val="1B365D"/>
                <w:sz w:val="18"/>
              </w:rPr>
              <w:t>RETORNO TOTAL DE CAPITAL</w:t>
            </w:r>
          </w:p>
        </w:tc>
        <w:tc>
          <w:tcPr>
            <w:tcW w:type="dxa" w:w="1728"/>
            <w:shd w:fill="FFFFFF"/>
            <w:tcMar>
              <w:top w:w="80" w:type="dxa"/>
              <w:bottom w:w="80" w:type="dxa"/>
              <w:left w:w="120" w:type="dxa"/>
              <w:right w:w="120" w:type="dxa"/>
            </w:tcMar>
          </w:tcPr>
          <w:p>
            <w:pPr>
              <w:spacing w:before="0" w:after="0"/>
              <w:jc w:val="right"/>
            </w:pPr>
            <w:r>
              <w:rPr>
                <w:rFonts w:ascii="Calibri" w:hAnsi="Calibri"/>
                <w:b/>
                <w:color w:val="1B365D"/>
                <w:sz w:val="18"/>
              </w:rPr>
              <w:t>$33,000 M</w:t>
            </w:r>
          </w:p>
        </w:tc>
        <w:tc>
          <w:tcPr>
            <w:tcW w:type="dxa" w:w="1728"/>
            <w:shd w:fill="FFFFFF"/>
            <w:tcMar>
              <w:top w:w="80" w:type="dxa"/>
              <w:bottom w:w="80" w:type="dxa"/>
              <w:left w:w="120" w:type="dxa"/>
              <w:right w:w="120" w:type="dxa"/>
            </w:tcMar>
          </w:tcPr>
          <w:p>
            <w:pPr>
              <w:spacing w:before="0" w:after="0"/>
              <w:jc w:val="right"/>
            </w:pPr>
            <w:r>
              <w:rPr>
                <w:rFonts w:ascii="Calibri" w:hAnsi="Calibri"/>
                <w:b/>
                <w:color w:val="1B365D"/>
                <w:sz w:val="18"/>
              </w:rPr>
              <w:t>$73,872 M</w:t>
            </w:r>
          </w:p>
        </w:tc>
        <w:tc>
          <w:tcPr>
            <w:tcW w:type="dxa" w:w="3312"/>
            <w:shd w:fill="FFFFFF"/>
            <w:tcMar>
              <w:top w:w="80" w:type="dxa"/>
              <w:bottom w:w="80" w:type="dxa"/>
              <w:left w:w="120" w:type="dxa"/>
              <w:right w:w="120" w:type="dxa"/>
            </w:tcMar>
          </w:tcPr>
          <w:p>
            <w:pPr>
              <w:spacing w:before="0" w:after="0"/>
              <w:jc w:val="left"/>
            </w:pPr>
            <w:r>
              <w:rPr>
                <w:rFonts w:ascii="Calibri" w:hAnsi="Calibri"/>
                <w:b/>
                <w:color w:val="1B365D"/>
                <w:sz w:val="18"/>
              </w:rPr>
              <w:t>El 104.7% del FCF del trimestre ($31,500 M) se devolvió íntegramente al accionista.</w:t>
            </w:r>
          </w:p>
        </w:tc>
      </w:tr>
      <w:tr>
        <w:tc>
          <w:tcPr>
            <w:tcW w:type="dxa" w:w="3024"/>
            <w:shd w:fill="F7FAFC"/>
            <w:tcMar>
              <w:top w:w="80" w:type="dxa"/>
              <w:bottom w:w="80" w:type="dxa"/>
              <w:left w:w="120" w:type="dxa"/>
              <w:right w:w="120" w:type="dxa"/>
            </w:tcMar>
          </w:tcPr>
          <w:p>
            <w:pPr>
              <w:spacing w:before="0" w:after="0"/>
              <w:jc w:val="left"/>
            </w:pPr>
            <w:r>
              <w:rPr>
                <w:rFonts w:ascii="Calibri" w:hAnsi="Calibri"/>
                <w:b w:val="0"/>
                <w:color w:val="2D3748"/>
                <w:sz w:val="18"/>
              </w:rPr>
              <w:t>Acciones en Circulación (Diluted Float)</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15,266 Millones</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15,499 Millones</w:t>
            </w:r>
          </w:p>
        </w:tc>
        <w:tc>
          <w:tcPr>
            <w:tcW w:type="dxa" w:w="3312"/>
            <w:shd w:fill="F7FAFC"/>
            <w:tcMar>
              <w:top w:w="80" w:type="dxa"/>
              <w:bottom w:w="80" w:type="dxa"/>
              <w:left w:w="120" w:type="dxa"/>
              <w:right w:w="120" w:type="dxa"/>
            </w:tcMar>
          </w:tcPr>
          <w:p>
            <w:pPr>
              <w:spacing w:before="0" w:after="0"/>
              <w:jc w:val="left"/>
            </w:pPr>
            <w:r>
              <w:rPr>
                <w:rFonts w:ascii="Calibri" w:hAnsi="Calibri"/>
                <w:b w:val="0"/>
                <w:color w:val="2D3748"/>
                <w:sz w:val="18"/>
              </w:rPr>
              <w:t>-233.5 Millones de acciones retiradas en los últimos 12 meses (-1.51%).</w:t>
            </w:r>
          </w:p>
        </w:tc>
      </w:tr>
      <w:tr>
        <w:tc>
          <w:tcPr>
            <w:tcW w:type="dxa" w:w="3024"/>
            <w:shd w:fill="FFFFFF"/>
            <w:tcMar>
              <w:top w:w="80" w:type="dxa"/>
              <w:bottom w:w="80" w:type="dxa"/>
              <w:left w:w="120" w:type="dxa"/>
              <w:right w:w="120" w:type="dxa"/>
            </w:tcMar>
          </w:tcPr>
          <w:p>
            <w:pPr>
              <w:spacing w:before="0" w:after="0"/>
              <w:jc w:val="left"/>
            </w:pPr>
            <w:r>
              <w:rPr>
                <w:rFonts w:ascii="Calibri" w:hAnsi="Calibri"/>
                <w:b w:val="0"/>
                <w:color w:val="2D3748"/>
                <w:sz w:val="18"/>
              </w:rPr>
              <w:t>Efecto Turbo en Beneficio por Acción (EPS)</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+28.7% YoY</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vs. +27.1% Net Inc.</w:t>
            </w:r>
          </w:p>
        </w:tc>
        <w:tc>
          <w:tcPr>
            <w:tcW w:type="dxa" w:w="3312"/>
            <w:shd w:fill="FFFFFF"/>
            <w:tcMar>
              <w:top w:w="80" w:type="dxa"/>
              <w:bottom w:w="80" w:type="dxa"/>
              <w:left w:w="120" w:type="dxa"/>
              <w:right w:w="120" w:type="dxa"/>
            </w:tcMar>
          </w:tcPr>
          <w:p>
            <w:pPr>
              <w:spacing w:before="0" w:after="0"/>
              <w:jc w:val="left"/>
            </w:pPr>
            <w:r>
              <w:rPr>
                <w:rFonts w:ascii="Calibri" w:hAnsi="Calibri"/>
                <w:b w:val="0"/>
                <w:color w:val="2D3748"/>
                <w:sz w:val="18"/>
              </w:rPr>
              <w:t>La reducción neta de acciones acelera el crecimiento del EPS en +160 bps adicionales.</w:t>
            </w:r>
          </w:p>
        </w:tc>
      </w:tr>
    </w:tbl>
    <w:p>
      <w:pPr>
        <w:spacing w:after="120"/>
      </w:pPr>
    </w:p>
    <w:p>
      <w:pPr>
        <w:spacing w:before="0" w:after="80" w:line="276" w:lineRule="auto"/>
      </w:pPr>
      <w:r>
        <w:rPr>
          <w:rFonts w:ascii="Calibri" w:hAnsi="Calibri"/>
          <w:b/>
          <w:color w:val="2D3748"/>
          <w:sz w:val="20"/>
        </w:rPr>
        <w:t xml:space="preserve">• Calidad de la Recompra vs. Dilución por SBC: </w:t>
      </w:r>
      <w:r>
        <w:rPr>
          <w:rFonts w:ascii="Calibri" w:hAnsi="Calibri"/>
          <w:i w:val="0"/>
          <w:color w:val="2D3748"/>
          <w:sz w:val="20"/>
        </w:rPr>
        <w:t>Frente a los $25,800 M destinados a recompras, la compensación en acciones a empleados (Stock-Based Compensation) sumó $3,100 M en el trimestre. Por lo tanto, el 88% de la recompra es creación neta de valor real, reduciendo efectivamente el número de acciones en circulación y aumentando la participación patrimonial de cada accionista restante.</w:t>
      </w:r>
    </w:p>
    <w:p>
      <w:pPr>
        <w:keepNext/>
        <w:spacing w:before="240" w:after="80"/>
      </w:pPr>
      <w:r>
        <w:rPr>
          <w:rFonts w:ascii="Calibri" w:hAnsi="Calibri"/>
          <w:b/>
          <w:color w:val="4A5568"/>
          <w:sz w:val="24"/>
        </w:rPr>
        <w:t>6.3. Inversiones Estratégicas, Adquisiciones (M&amp;A) y Expansión Productiva</w:t>
      </w:r>
    </w:p>
    <w:p>
      <w:pPr>
        <w:spacing w:before="0" w:after="80" w:line="276" w:lineRule="auto"/>
      </w:pPr>
      <w:r>
        <w:rPr>
          <w:rFonts w:ascii="Calibri" w:hAnsi="Calibri"/>
          <w:i w:val="0"/>
          <w:color w:val="2D3748"/>
          <w:sz w:val="20"/>
        </w:rPr>
        <w:t>A diferencia de sus competidores tecnológicos que realizan adquisiciones multimillonarias de alto riesgo, la política de asignación de Apple prioriza inversiones industriales de gran escala y adquisiciones selectivas de tecnología (bolt-on / acqui-hires):</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 / Transacción</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 de Operación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 / Compromiso</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¿Qué se busca estratégicamente con ello?</w:t>
            </w:r>
          </w:p>
        </w:tc>
      </w:tr>
      <w:tr>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Acuerdo Plurianual con Broadcom</w:t>
            </w:r>
          </w:p>
        </w:tc>
        <w:tc>
          <w:tcPr>
            <w:tcW w:type="dxa" w:w="1872"/>
            <w:shd w:fill="FFFFFF"/>
            <w:tcMar>
              <w:top w:w="80" w:type="dxa"/>
              <w:bottom w:w="80" w:type="dxa"/>
              <w:left w:w="120" w:type="dxa"/>
              <w:right w:w="120" w:type="dxa"/>
            </w:tcMar>
          </w:tcPr>
          <w:p>
            <w:pPr>
              <w:spacing w:before="0" w:after="0"/>
              <w:jc w:val="left"/>
            </w:pPr>
            <w:r>
              <w:rPr>
                <w:rFonts w:ascii="Calibri" w:hAnsi="Calibri"/>
                <w:b w:val="0"/>
                <w:color w:val="2D3748"/>
                <w:sz w:val="18"/>
              </w:rPr>
              <w:t>Alianza Industrial Estratégica</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&gt; $30,000 M</w:t>
            </w:r>
          </w:p>
        </w:tc>
        <w:tc>
          <w:tcPr>
            <w:tcW w:type="dxa" w:w="3744"/>
            <w:shd w:fill="FFFFFF"/>
            <w:tcMar>
              <w:top w:w="80" w:type="dxa"/>
              <w:bottom w:w="80" w:type="dxa"/>
              <w:left w:w="120" w:type="dxa"/>
              <w:right w:w="120" w:type="dxa"/>
            </w:tcMar>
          </w:tcPr>
          <w:p>
            <w:pPr>
              <w:spacing w:before="0" w:after="0"/>
              <w:jc w:val="left"/>
            </w:pPr>
            <w:r>
              <w:rPr>
                <w:rFonts w:ascii="Calibri" w:hAnsi="Calibri"/>
                <w:b w:val="0"/>
                <w:color w:val="2D3748"/>
                <w:sz w:val="18"/>
              </w:rPr>
              <w:t>Co-desarrollo y suministro garantizado de módulos de radiofrecuencia (FBAR) y conectividad 5G/Wi-Fi en EE.UU., acelerando la integración del módem propietario.</w:t>
            </w:r>
          </w:p>
        </w:tc>
      </w:tr>
      <w:tr>
        <w:tc>
          <w:tcPr>
            <w:tcW w:type="dxa" w:w="2448"/>
            <w:shd w:fill="F7FAFC"/>
            <w:tcMar>
              <w:top w:w="80" w:type="dxa"/>
              <w:bottom w:w="80" w:type="dxa"/>
              <w:left w:w="120" w:type="dxa"/>
              <w:right w:w="120" w:type="dxa"/>
            </w:tcMar>
          </w:tcPr>
          <w:p>
            <w:pPr>
              <w:spacing w:before="0" w:after="0"/>
              <w:jc w:val="left"/>
            </w:pPr>
            <w:r>
              <w:rPr>
                <w:rFonts w:ascii="Calibri" w:hAnsi="Calibri"/>
                <w:b w:val="0"/>
                <w:color w:val="2D3748"/>
                <w:sz w:val="18"/>
              </w:rPr>
              <w:t>Advanced Manufacturing Center (Houston)</w:t>
            </w:r>
          </w:p>
        </w:tc>
        <w:tc>
          <w:tcPr>
            <w:tcW w:type="dxa" w:w="1872"/>
            <w:shd w:fill="F7FAFC"/>
            <w:tcMar>
              <w:top w:w="80" w:type="dxa"/>
              <w:bottom w:w="80" w:type="dxa"/>
              <w:left w:w="120" w:type="dxa"/>
              <w:right w:w="120" w:type="dxa"/>
            </w:tcMar>
          </w:tcPr>
          <w:p>
            <w:pPr>
              <w:spacing w:before="0" w:after="0"/>
              <w:jc w:val="left"/>
            </w:pPr>
            <w:r>
              <w:rPr>
                <w:rFonts w:ascii="Calibri" w:hAnsi="Calibri"/>
                <w:b w:val="0"/>
                <w:color w:val="2D3748"/>
                <w:sz w:val="18"/>
              </w:rPr>
              <w:t>Inversión en CapEx Directo</w:t>
            </w:r>
          </w:p>
        </w:tc>
        <w:tc>
          <w:tcPr>
            <w:tcW w:type="dxa" w:w="1728"/>
            <w:shd w:fill="F7FAFC"/>
            <w:tcMar>
              <w:top w:w="80" w:type="dxa"/>
              <w:bottom w:w="80" w:type="dxa"/>
              <w:left w:w="120" w:type="dxa"/>
              <w:right w:w="120" w:type="dxa"/>
            </w:tcMar>
          </w:tcPr>
          <w:p>
            <w:pPr>
              <w:spacing w:before="0" w:after="0"/>
              <w:jc w:val="right"/>
            </w:pPr>
            <w:r>
              <w:rPr>
                <w:rFonts w:ascii="Calibri" w:hAnsi="Calibri"/>
                <w:b w:val="0"/>
                <w:color w:val="2D3748"/>
                <w:sz w:val="18"/>
              </w:rPr>
              <w:t>Planta Industrial Propia</w:t>
            </w:r>
          </w:p>
        </w:tc>
        <w:tc>
          <w:tcPr>
            <w:tcW w:type="dxa" w:w="3744"/>
            <w:shd w:fill="F7FAFC"/>
            <w:tcMar>
              <w:top w:w="80" w:type="dxa"/>
              <w:bottom w:w="80" w:type="dxa"/>
              <w:left w:w="120" w:type="dxa"/>
              <w:right w:w="120" w:type="dxa"/>
            </w:tcMar>
          </w:tcPr>
          <w:p>
            <w:pPr>
              <w:spacing w:before="0" w:after="0"/>
              <w:jc w:val="left"/>
            </w:pPr>
            <w:r>
              <w:rPr>
                <w:rFonts w:ascii="Calibri" w:hAnsi="Calibri"/>
                <w:b w:val="0"/>
                <w:color w:val="2D3748"/>
                <w:sz w:val="18"/>
              </w:rPr>
              <w:t>Mitigación del riesgo geopolítico y arancelario mediante relocalización productiva (onshoring), asegurando líneas de ensamblaje automatizado y servidores de IA.</w:t>
            </w:r>
          </w:p>
        </w:tc>
      </w:tr>
      <w:tr>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Adquisiciones 'Bolt-on' de IA</w:t>
            </w:r>
          </w:p>
        </w:tc>
        <w:tc>
          <w:tcPr>
            <w:tcW w:type="dxa" w:w="1872"/>
            <w:shd w:fill="FFFFFF"/>
            <w:tcMar>
              <w:top w:w="80" w:type="dxa"/>
              <w:bottom w:w="80" w:type="dxa"/>
              <w:left w:w="120" w:type="dxa"/>
              <w:right w:w="120" w:type="dxa"/>
            </w:tcMar>
          </w:tcPr>
          <w:p>
            <w:pPr>
              <w:spacing w:before="0" w:after="0"/>
              <w:jc w:val="left"/>
            </w:pPr>
            <w:r>
              <w:rPr>
                <w:rFonts w:ascii="Calibri" w:hAnsi="Calibri"/>
                <w:b w:val="0"/>
                <w:color w:val="2D3748"/>
                <w:sz w:val="18"/>
              </w:rPr>
              <w:t>M&amp;A Tecnológico (Startups IA)</w:t>
            </w:r>
          </w:p>
        </w:tc>
        <w:tc>
          <w:tcPr>
            <w:tcW w:type="dxa" w:w="1728"/>
            <w:shd w:fill="FFFFFF"/>
            <w:tcMar>
              <w:top w:w="80" w:type="dxa"/>
              <w:bottom w:w="80" w:type="dxa"/>
              <w:left w:w="120" w:type="dxa"/>
              <w:right w:w="120" w:type="dxa"/>
            </w:tcMar>
          </w:tcPr>
          <w:p>
            <w:pPr>
              <w:spacing w:before="0" w:after="0"/>
              <w:jc w:val="right"/>
            </w:pPr>
            <w:r>
              <w:rPr>
                <w:rFonts w:ascii="Calibri" w:hAnsi="Calibri"/>
                <w:b w:val="0"/>
                <w:color w:val="2D3748"/>
                <w:sz w:val="18"/>
              </w:rPr>
              <w:t>~$50M - $200M c/u</w:t>
            </w:r>
          </w:p>
        </w:tc>
        <w:tc>
          <w:tcPr>
            <w:tcW w:type="dxa" w:w="3744"/>
            <w:shd w:fill="FFFFFF"/>
            <w:tcMar>
              <w:top w:w="80" w:type="dxa"/>
              <w:bottom w:w="80" w:type="dxa"/>
              <w:left w:w="120" w:type="dxa"/>
              <w:right w:w="120" w:type="dxa"/>
            </w:tcMar>
          </w:tcPr>
          <w:p>
            <w:pPr>
              <w:spacing w:before="0" w:after="0"/>
              <w:jc w:val="left"/>
            </w:pPr>
            <w:r>
              <w:rPr>
                <w:rFonts w:ascii="Calibri" w:hAnsi="Calibri"/>
                <w:b w:val="0"/>
                <w:color w:val="2D3748"/>
                <w:sz w:val="18"/>
              </w:rPr>
              <w:t>Compra de equipos y patentes de compresión de modelos de lenguaje (LLM pruning/quantization) para optimizar la ejecución de IA local en NPUs con bajo consumo.</w:t>
            </w:r>
          </w:p>
        </w:tc>
      </w:tr>
    </w:tbl>
    <w:p>
      <w:pPr>
        <w:spacing w:after="120"/>
      </w:pPr>
    </w:p>
    <w:p>
      <w:pPr>
        <w:keepNext/>
        <w:spacing w:before="240" w:after="80"/>
      </w:pPr>
      <w:r>
        <w:rPr>
          <w:rFonts w:ascii="Calibri" w:hAnsi="Calibri"/>
          <w:b/>
          <w:color w:val="4A5568"/>
          <w:sz w:val="24"/>
        </w:rPr>
        <w:t>6.4. CapEx de Vanguardia y Avances Revolucionarios en Hardware y Silicio</w:t>
      </w:r>
    </w:p>
    <w:p>
      <w:pPr>
        <w:spacing w:before="0" w:after="80" w:line="276" w:lineRule="auto"/>
      </w:pPr>
      <w:r>
        <w:rPr>
          <w:rFonts w:ascii="Calibri" w:hAnsi="Calibri"/>
          <w:i w:val="0"/>
          <w:color w:val="2D3748"/>
          <w:sz w:val="20"/>
        </w:rPr>
        <w:t>El gasto de capital (CapEx) trimestral de $2,900 M ($6,800 M acumulado en 9 meses) se enfoca en activos críticos de ingeniería y maquinaria de litografía avanzada:</w:t>
      </w:r>
    </w:p>
    <w:p>
      <w:pPr>
        <w:spacing w:before="0" w:after="80" w:line="276" w:lineRule="auto"/>
      </w:pPr>
      <w:r>
        <w:rPr>
          <w:rFonts w:ascii="Calibri" w:hAnsi="Calibri"/>
          <w:b/>
          <w:color w:val="2D3748"/>
          <w:sz w:val="20"/>
        </w:rPr>
        <w:t xml:space="preserve">• Salto a la Litografía de 2 Nanómetros (2nm): </w:t>
      </w:r>
      <w:r>
        <w:rPr>
          <w:rFonts w:ascii="Calibri" w:hAnsi="Calibri"/>
          <w:i w:val="0"/>
          <w:color w:val="2D3748"/>
          <w:sz w:val="20"/>
        </w:rPr>
        <w:t>En colaboración exclusiva con TSMC, Apple asegura la primera hornada de producción en masa en 2nm para sus procesadores propietarios A19 / A19 Pro (familia iPhone 17) y M5 (línea Mac), garantizando una ventaja competitiva de más de 18 meses frente a competidores de Android y PC x86 en eficiencia energética y densidad de transistores.</w:t>
      </w:r>
    </w:p>
    <w:p>
      <w:pPr>
        <w:spacing w:before="0" w:after="80" w:line="276" w:lineRule="auto"/>
      </w:pPr>
      <w:r>
        <w:rPr>
          <w:rFonts w:ascii="Calibri" w:hAnsi="Calibri"/>
          <w:b/>
          <w:color w:val="2D3748"/>
          <w:sz w:val="20"/>
        </w:rPr>
        <w:t xml:space="preserve">• Inferencia Neural en el Dispositivo (On-Device NPU): </w:t>
      </w:r>
      <w:r>
        <w:rPr>
          <w:rFonts w:ascii="Calibri" w:hAnsi="Calibri"/>
          <w:i w:val="0"/>
          <w:color w:val="2D3748"/>
          <w:sz w:val="20"/>
        </w:rPr>
        <w:t>La arquitectura de silicio propietario ejecuta modelos multimodales localmente en memoria unificada, eliminando los costes de tokens y latencia de servidores cloud.</w:t>
      </w:r>
    </w:p>
    <w:p>
      <w:pPr>
        <w:spacing w:before="0" w:after="80" w:line="276" w:lineRule="auto"/>
      </w:pPr>
      <w:r>
        <w:rPr>
          <w:rFonts w:ascii="Calibri" w:hAnsi="Calibri"/>
          <w:b/>
          <w:color w:val="2D3748"/>
          <w:sz w:val="20"/>
        </w:rPr>
        <w:t xml:space="preserve">• Nuevos Factores de Forma Disruptivos: </w:t>
      </w:r>
      <w:r>
        <w:rPr>
          <w:rFonts w:ascii="Calibri" w:hAnsi="Calibri"/>
          <w:i w:val="0"/>
          <w:color w:val="2D3748"/>
          <w:sz w:val="20"/>
        </w:rPr>
        <w:t>Desarrollo del nuevo MacBook Neo (diseñado para ganar cuota en el segmento educativo/corporativo desplazando a Chromebooks y Windows) y el factor de forma ultradelgado iPhone Air.</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2"/>
              </w:rPr>
              <w:t>📌 GUÍA DE DIAGNÓSTICO FUNDAMENTAL: ¿CÓMO AUDITAR EL BALANCE Y LA ASIGNACIÓN DE CAPITAL?</w:t>
              <w:br/>
            </w:r>
          </w:p>
          <w:p>
            <w:pPr>
              <w:spacing w:before="40" w:after="40" w:line="276" w:lineRule="auto"/>
            </w:pPr>
            <w:r>
              <w:rPr>
                <w:rFonts w:ascii="Calibri" w:hAnsi="Calibri"/>
                <w:color w:val="2D3748"/>
                <w:sz w:val="19"/>
              </w:rPr>
              <w:t>• Caja Neta (Net Cash) vs. Deuda Neta: Se calcula restando la deuda financiera bruta a la liquidez total (efectivo + inversiones líquidas a corto y largo plazo). Una posición positiva certifica que la empresa es solvente aún en el peor de los escenarios macroeconómicos.</w:t>
            </w:r>
          </w:p>
          <w:p>
            <w:pPr>
              <w:spacing w:before="40" w:after="40" w:line="276" w:lineRule="auto"/>
            </w:pPr>
            <w:r>
              <w:rPr>
                <w:rFonts w:ascii="Calibri" w:hAnsi="Calibri"/>
                <w:color w:val="2D3748"/>
                <w:sz w:val="19"/>
              </w:rPr>
              <w:t>• Política Net Cash Neutral: La empresa no acumula efectivo improductivo ni asume deuda excesiva; devuelve sistemáticamente todo el exceso de caja generado para optimizar el coste medio ponderado del capital (WACC).</w:t>
            </w:r>
          </w:p>
          <w:p>
            <w:pPr>
              <w:spacing w:before="40" w:after="40" w:line="276" w:lineRule="auto"/>
            </w:pPr>
            <w:r>
              <w:rPr>
                <w:rFonts w:ascii="Calibri" w:hAnsi="Calibri"/>
                <w:color w:val="2D3748"/>
                <w:sz w:val="19"/>
              </w:rPr>
              <w:t>• Recompra Neta vs. Dilución por SBC: Una recompra solo crea valor si retira más acciones de las que la empresa emite a sus directivos vía Stock-Based Compensation. Si el número de acciones diluidas cae interanualmente, la recompra es genuina y eleva el BPA.</w:t>
            </w:r>
          </w:p>
          <w:p>
            <w:pPr>
              <w:spacing w:before="40" w:after="40" w:line="276" w:lineRule="auto"/>
            </w:pPr>
            <w:r>
              <w:rPr>
                <w:rFonts w:ascii="Calibri" w:hAnsi="Calibri"/>
                <w:color w:val="2D3748"/>
                <w:sz w:val="19"/>
              </w:rPr>
              <w:t>• Racionalidad de M&amp;A y CapEx: Las mejores empresas asignan capital a inversiones con retornos superiores a su WACC (adquisiciones pequeñas y CapEx de alta productividad en silicio), evitando mega-fusiones destructoras de valor.</w:t>
            </w:r>
          </w:p>
        </w:tc>
      </w:tr>
    </w:tbl>
    <w:p>
      <w:pPr>
        <w:spacing w:after="80"/>
      </w:pPr>
    </w:p>
    <w:p>
      <w:pPr>
        <w:keepNext/>
        <w:spacing w:before="320" w:after="120"/>
      </w:pPr>
      <w:r>
        <w:rPr>
          <w:rFonts w:ascii="Calibri" w:hAnsi="Calibri"/>
          <w:b/>
          <w:color w:val="1B365D"/>
          <w:sz w:val="30"/>
        </w:rPr>
        <w:t>7. Estrategia Tecnológica, Fosos Defensivos (Economic Moat) y Ventajas Competitivas</w:t>
      </w:r>
    </w:p>
    <w:p>
      <w:pPr>
        <w:spacing w:before="0" w:after="80" w:line="276" w:lineRule="auto"/>
      </w:pPr>
      <w:r>
        <w:rPr>
          <w:rFonts w:ascii="Calibri" w:hAnsi="Calibri"/>
          <w:i w:val="0"/>
          <w:color w:val="2D3748"/>
          <w:sz w:val="20"/>
        </w:rPr>
        <w:t>Un análisis fundamental riguroso exige determinar si los extraordinarios márgenes de una compañía están protegidos por barreras de entrada duraderas o si corren el riesgo de ser erosionados por la competencia. Apple Inc. ostenta uno de los fosos defensivos más formidables del capitalismo moderno (Wide Moat / Foso Defensivo Amplio), cimentado en la integración simbiótica entre hardware propietario, sistemas operativos exclusivos y una plataforma de servicios cautiva.</w:t>
      </w:r>
    </w:p>
    <w:p>
      <w:pPr>
        <w:keepNext/>
        <w:spacing w:before="240" w:after="80"/>
      </w:pPr>
      <w:r>
        <w:rPr>
          <w:rFonts w:ascii="Calibri" w:hAnsi="Calibri"/>
          <w:b/>
          <w:color w:val="4A5568"/>
          <w:sz w:val="24"/>
        </w:rPr>
        <w:t>7.1. Cuadro de Mando de Fosos Defensivos (Dorsey / Morningstar Framework)</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 Defensivo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 de Protección Económica</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Competitivo</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Costes de Cambio (Switching Costs)</w:t>
            </w:r>
          </w:p>
        </w:tc>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 CRÍTICA</w:t>
            </w:r>
          </w:p>
        </w:tc>
        <w:tc>
          <w:tcPr>
            <w:tcW w:type="dxa" w:w="3312"/>
            <w:shd w:fill="FFFFFF"/>
            <w:tcMar>
              <w:top w:w="80" w:type="dxa"/>
              <w:bottom w:w="80" w:type="dxa"/>
              <w:left w:w="120" w:type="dxa"/>
              <w:right w:w="120" w:type="dxa"/>
            </w:tcMar>
          </w:tcPr>
          <w:p>
            <w:pPr>
              <w:spacing w:before="0" w:after="0"/>
              <w:jc w:val="left"/>
            </w:pPr>
            <w:r>
              <w:rPr>
                <w:rFonts w:ascii="Calibri" w:hAnsi="Calibri"/>
                <w:b w:val="0"/>
                <w:color w:val="2D3748"/>
                <w:sz w:val="18"/>
              </w:rPr>
              <w:t>La retención del usuario en iOS supera el 98%. Abandonar el ecosistema implica perder sincronización con Watch, Mac, contraseñas, iCloud y compras de apps, generando una fricción prohibitiva.</w:t>
            </w:r>
          </w:p>
        </w:tc>
        <w:tc>
          <w:tcPr>
            <w:tcW w:type="dxa" w:w="2736"/>
            <w:shd w:fill="FFFFFF"/>
            <w:tcMar>
              <w:top w:w="80" w:type="dxa"/>
              <w:bottom w:w="80" w:type="dxa"/>
              <w:left w:w="120" w:type="dxa"/>
              <w:right w:w="120" w:type="dxa"/>
            </w:tcMar>
          </w:tcPr>
          <w:p>
            <w:pPr>
              <w:spacing w:before="0" w:after="0"/>
              <w:jc w:val="left"/>
            </w:pPr>
            <w:r>
              <w:rPr>
                <w:rFonts w:ascii="Calibri" w:hAnsi="Calibri"/>
                <w:b w:val="0"/>
                <w:color w:val="2D3748"/>
                <w:sz w:val="18"/>
              </w:rPr>
              <w:t>Los clientes no se van por diferencias marginales de precio; la base instalada cautiva actúa como una anualidad.</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Activos Intangibles y Marca</w:t>
            </w:r>
          </w:p>
        </w:tc>
        <w:tc>
          <w:tcPr>
            <w:tcW w:type="dxa" w:w="1440"/>
            <w:shd w:fill="F7FAFC"/>
            <w:tcMar>
              <w:top w:w="80" w:type="dxa"/>
              <w:bottom w:w="80" w:type="dxa"/>
              <w:left w:w="120" w:type="dxa"/>
              <w:right w:w="120" w:type="dxa"/>
            </w:tcMar>
          </w:tcPr>
          <w:p>
            <w:pPr>
              <w:spacing w:before="0" w:after="0"/>
              <w:jc w:val="center"/>
            </w:pPr>
            <w:r>
              <w:rPr>
                <w:rFonts w:ascii="Calibri" w:hAnsi="Calibri"/>
                <w:b w:val="0"/>
                <w:color w:val="2D3748"/>
                <w:sz w:val="18"/>
              </w:rPr>
              <w:t>🟢 EXCEPCIONAL</w:t>
            </w:r>
          </w:p>
        </w:tc>
        <w:tc>
          <w:tcPr>
            <w:tcW w:type="dxa" w:w="3312"/>
            <w:shd w:fill="F7FAFC"/>
            <w:tcMar>
              <w:top w:w="80" w:type="dxa"/>
              <w:bottom w:w="80" w:type="dxa"/>
              <w:left w:w="120" w:type="dxa"/>
              <w:right w:w="120" w:type="dxa"/>
            </w:tcMar>
          </w:tcPr>
          <w:p>
            <w:pPr>
              <w:spacing w:before="0" w:after="0"/>
              <w:jc w:val="left"/>
            </w:pPr>
            <w:r>
              <w:rPr>
                <w:rFonts w:ascii="Calibri" w:hAnsi="Calibri"/>
                <w:b w:val="0"/>
                <w:color w:val="2D3748"/>
                <w:sz w:val="18"/>
              </w:rPr>
              <w:t>Marca sinónimo de estatus, fiabilidad y privacidad. Otorga un poder de fijación de precios (pricing power) casi inelástico que le permite sostener un margen bruto superior al 50%.</w:t>
            </w:r>
          </w:p>
        </w:tc>
        <w:tc>
          <w:tcPr>
            <w:tcW w:type="dxa" w:w="2736"/>
            <w:shd w:fill="F7FAFC"/>
            <w:tcMar>
              <w:top w:w="80" w:type="dxa"/>
              <w:bottom w:w="80" w:type="dxa"/>
              <w:left w:w="120" w:type="dxa"/>
              <w:right w:w="120" w:type="dxa"/>
            </w:tcMar>
          </w:tcPr>
          <w:p>
            <w:pPr>
              <w:spacing w:before="0" w:after="0"/>
              <w:jc w:val="left"/>
            </w:pPr>
            <w:r>
              <w:rPr>
                <w:rFonts w:ascii="Calibri" w:hAnsi="Calibri"/>
                <w:b w:val="0"/>
                <w:color w:val="2D3748"/>
                <w:sz w:val="18"/>
              </w:rPr>
              <w:t>Capacidad demostrada de aumentar los Precios Medios de Venta (ASP) de hardware sin sacrificar cuota.</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Efectos de Red (Network Effects)</w:t>
            </w:r>
          </w:p>
        </w:tc>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 ROBUSTO</w:t>
            </w:r>
          </w:p>
        </w:tc>
        <w:tc>
          <w:tcPr>
            <w:tcW w:type="dxa" w:w="3312"/>
            <w:shd w:fill="FFFFFF"/>
            <w:tcMar>
              <w:top w:w="80" w:type="dxa"/>
              <w:bottom w:w="80" w:type="dxa"/>
              <w:left w:w="120" w:type="dxa"/>
              <w:right w:w="120" w:type="dxa"/>
            </w:tcMar>
          </w:tcPr>
          <w:p>
            <w:pPr>
              <w:spacing w:before="0" w:after="0"/>
              <w:jc w:val="left"/>
            </w:pPr>
            <w:r>
              <w:rPr>
                <w:rFonts w:ascii="Calibri" w:hAnsi="Calibri"/>
                <w:b w:val="0"/>
                <w:color w:val="2D3748"/>
                <w:sz w:val="18"/>
              </w:rPr>
              <w:t>Con &gt;2,500M de dispositivos activos, la App Store atrae preferentemente a los mejores desarrolladores. La optimización para Metal e iOS crea una experiencia superior que retroalimenta el flywheel.</w:t>
            </w:r>
          </w:p>
        </w:tc>
        <w:tc>
          <w:tcPr>
            <w:tcW w:type="dxa" w:w="2736"/>
            <w:shd w:fill="FFFFFF"/>
            <w:tcMar>
              <w:top w:w="80" w:type="dxa"/>
              <w:bottom w:w="80" w:type="dxa"/>
              <w:left w:w="120" w:type="dxa"/>
              <w:right w:w="120" w:type="dxa"/>
            </w:tcMar>
          </w:tcPr>
          <w:p>
            <w:pPr>
              <w:spacing w:before="0" w:after="0"/>
              <w:jc w:val="left"/>
            </w:pPr>
            <w:r>
              <w:rPr>
                <w:rFonts w:ascii="Calibri" w:hAnsi="Calibri"/>
                <w:b w:val="0"/>
                <w:color w:val="2D3748"/>
                <w:sz w:val="18"/>
              </w:rPr>
              <w:t>Barrera insalvable para sistemas operativos rivales; imposible replicar un catálogo optimizado a esta escala.</w:t>
            </w:r>
          </w:p>
        </w:tc>
      </w:tr>
      <w:tr>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Ventajas de Coste y Silicio</w:t>
            </w:r>
          </w:p>
        </w:tc>
        <w:tc>
          <w:tcPr>
            <w:tcW w:type="dxa" w:w="1440"/>
            <w:shd w:fill="F7FAFC"/>
            <w:tcMar>
              <w:top w:w="80" w:type="dxa"/>
              <w:bottom w:w="80" w:type="dxa"/>
              <w:left w:w="120" w:type="dxa"/>
              <w:right w:w="120" w:type="dxa"/>
            </w:tcMar>
          </w:tcPr>
          <w:p>
            <w:pPr>
              <w:spacing w:before="0" w:after="0"/>
              <w:jc w:val="center"/>
            </w:pPr>
            <w:r>
              <w:rPr>
                <w:rFonts w:ascii="Calibri" w:hAnsi="Calibri"/>
                <w:b w:val="0"/>
                <w:color w:val="2D3748"/>
                <w:sz w:val="18"/>
              </w:rPr>
              <w:t>🟢 ESTRUCTURAL</w:t>
            </w:r>
          </w:p>
        </w:tc>
        <w:tc>
          <w:tcPr>
            <w:tcW w:type="dxa" w:w="3312"/>
            <w:shd w:fill="F7FAFC"/>
            <w:tcMar>
              <w:top w:w="80" w:type="dxa"/>
              <w:bottom w:w="80" w:type="dxa"/>
              <w:left w:w="120" w:type="dxa"/>
              <w:right w:w="120" w:type="dxa"/>
            </w:tcMar>
          </w:tcPr>
          <w:p>
            <w:pPr>
              <w:spacing w:before="0" w:after="0"/>
              <w:jc w:val="left"/>
            </w:pPr>
            <w:r>
              <w:rPr>
                <w:rFonts w:ascii="Calibri" w:hAnsi="Calibri"/>
                <w:b w:val="0"/>
                <w:color w:val="2D3748"/>
                <w:sz w:val="18"/>
              </w:rPr>
              <w:t>El diseño propio de chips (Apple Silicon) ahorra miles de millones al eliminar márgenes de terceros. Además, la inferencia local en A19/M5 reduce a cero el coste marginal por consulta.</w:t>
            </w:r>
          </w:p>
        </w:tc>
        <w:tc>
          <w:tcPr>
            <w:tcW w:type="dxa" w:w="2736"/>
            <w:shd w:fill="F7FAFC"/>
            <w:tcMar>
              <w:top w:w="80" w:type="dxa"/>
              <w:bottom w:w="80" w:type="dxa"/>
              <w:left w:w="120" w:type="dxa"/>
              <w:right w:w="120" w:type="dxa"/>
            </w:tcMar>
          </w:tcPr>
          <w:p>
            <w:pPr>
              <w:spacing w:before="0" w:after="0"/>
              <w:jc w:val="left"/>
            </w:pPr>
            <w:r>
              <w:rPr>
                <w:rFonts w:ascii="Calibri" w:hAnsi="Calibri"/>
                <w:b w:val="0"/>
                <w:color w:val="2D3748"/>
                <w:sz w:val="18"/>
              </w:rPr>
              <w:t>Asimetría: Apple gana dinero vendiendo hardware con IA, mientras sus rivales consumen margen pagando centros de datos.</w:t>
            </w:r>
          </w:p>
        </w:tc>
      </w:tr>
      <w:tr>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Escala Eficiente y Distribución</w:t>
            </w:r>
          </w:p>
        </w:tc>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 ALTA</w:t>
            </w:r>
          </w:p>
        </w:tc>
        <w:tc>
          <w:tcPr>
            <w:tcW w:type="dxa" w:w="3312"/>
            <w:shd w:fill="FFFFFF"/>
            <w:tcMar>
              <w:top w:w="80" w:type="dxa"/>
              <w:bottom w:w="80" w:type="dxa"/>
              <w:left w:w="120" w:type="dxa"/>
              <w:right w:w="120" w:type="dxa"/>
            </w:tcMar>
          </w:tcPr>
          <w:p>
            <w:pPr>
              <w:spacing w:before="0" w:after="0"/>
              <w:jc w:val="left"/>
            </w:pPr>
            <w:r>
              <w:rPr>
                <w:rFonts w:ascii="Calibri" w:hAnsi="Calibri"/>
                <w:b w:val="0"/>
                <w:color w:val="2D3748"/>
                <w:sz w:val="18"/>
              </w:rPr>
              <w:t>Red de &gt;525 tiendas Apple Store en ubicaciones prime globales de máxima facturación/m2, sumada a una relación preferente de volumen exclusivo con TSMC para nodos avanzados (2nm).</w:t>
            </w:r>
          </w:p>
        </w:tc>
        <w:tc>
          <w:tcPr>
            <w:tcW w:type="dxa" w:w="2736"/>
            <w:shd w:fill="FFFFFF"/>
            <w:tcMar>
              <w:top w:w="80" w:type="dxa"/>
              <w:bottom w:w="80" w:type="dxa"/>
              <w:left w:w="120" w:type="dxa"/>
              <w:right w:w="120" w:type="dxa"/>
            </w:tcMar>
          </w:tcPr>
          <w:p>
            <w:pPr>
              <w:spacing w:before="0" w:after="0"/>
              <w:jc w:val="left"/>
            </w:pPr>
            <w:r>
              <w:rPr>
                <w:rFonts w:ascii="Calibri" w:hAnsi="Calibri"/>
                <w:b w:val="0"/>
                <w:color w:val="2D3748"/>
                <w:sz w:val="18"/>
              </w:rPr>
              <w:t>Monopolio de capacidad en litografía extrema que deja a los rivales esperando hasta 18 meses para acceder a tecnología equivalente.</w:t>
            </w:r>
          </w:p>
        </w:tc>
      </w:tr>
    </w:tbl>
    <w:p>
      <w:pPr>
        <w:spacing w:after="120"/>
      </w:pPr>
    </w:p>
    <w:p>
      <w:pPr>
        <w:spacing w:before="0" w:after="80" w:line="276" w:lineRule="auto"/>
      </w:pPr>
      <w:r>
        <w:rPr>
          <w:rFonts w:ascii="Calibri" w:hAnsi="Calibri"/>
          <w:b/>
          <w:color w:val="2D3748"/>
          <w:sz w:val="20"/>
        </w:rPr>
        <w:t xml:space="preserve">• Dictamen Estratégico Global: WIDE MOAT | Tendencia: EN EXPANSIÓN. </w:t>
      </w:r>
      <w:r>
        <w:rPr>
          <w:rFonts w:ascii="Calibri" w:hAnsi="Calibri"/>
          <w:i w:val="0"/>
          <w:color w:val="2D3748"/>
          <w:sz w:val="20"/>
        </w:rPr>
        <w:t>El ensanchamiento de la base instalada a más de 2,500M de dispositivos y la aceleración de suscripciones de pago (&gt;1,500M) refuerzan la impenetrabilidad del ecosistema frente a cualquier disrupción.</w:t>
      </w:r>
    </w:p>
    <w:p>
      <w:pPr>
        <w:keepNext/>
        <w:spacing w:before="240" w:after="80"/>
      </w:pPr>
      <w:r>
        <w:rPr>
          <w:rFonts w:ascii="Calibri" w:hAnsi="Calibri"/>
          <w:b/>
          <w:color w:val="4A5568"/>
          <w:sz w:val="24"/>
        </w:rPr>
        <w:t>7.2. Estrategia de IA: Inferencia en Dispositivo (On-Device) vs. Costes en la Nube</w:t>
      </w:r>
    </w:p>
    <w:p>
      <w:pPr>
        <w:spacing w:before="0" w:after="80" w:line="276" w:lineRule="auto"/>
      </w:pPr>
      <w:r>
        <w:rPr>
          <w:rFonts w:ascii="Calibri" w:hAnsi="Calibri"/>
          <w:b/>
          <w:color w:val="2D3748"/>
          <w:sz w:val="20"/>
        </w:rPr>
        <w:t xml:space="preserve">• Asimetría del Coste Marginal por Petición: </w:t>
      </w:r>
      <w:r>
        <w:rPr>
          <w:rFonts w:ascii="Calibri" w:hAnsi="Calibri"/>
          <w:i w:val="0"/>
          <w:color w:val="2D3748"/>
          <w:sz w:val="20"/>
        </w:rPr>
        <w:t>Mientras gigantes como Microsoft, Google o Meta incurren en enormes gastos operativos en centros de datos para procesar cada consulta en servidores GPU centralizados, Apple delega más del 80% de las tareas de IA directamente a los motores neuronales (NPU) de los procesadores A19 y M5 de sus dispositivos. El coste computacional marginal para Apple es de $0.00 por token.</w:t>
      </w:r>
    </w:p>
    <w:p>
      <w:pPr>
        <w:spacing w:before="0" w:after="80" w:line="276" w:lineRule="auto"/>
      </w:pPr>
      <w:r>
        <w:rPr>
          <w:rFonts w:ascii="Calibri" w:hAnsi="Calibri"/>
          <w:b/>
          <w:color w:val="2D3748"/>
          <w:sz w:val="20"/>
        </w:rPr>
        <w:t xml:space="preserve">• La Privacidad como Activo Estratégico (Private Cloud Compute): </w:t>
      </w:r>
      <w:r>
        <w:rPr>
          <w:rFonts w:ascii="Calibri" w:hAnsi="Calibri"/>
          <w:i w:val="0"/>
          <w:color w:val="2D3748"/>
          <w:sz w:val="20"/>
        </w:rPr>
        <w:t>Para consultas complejas que superan la capacidad local, Apple utiliza servidores propios equipados con Apple Silicon bajo un protocolo criptográfico inviolable. Ningún dato del usuario se almacena ni se indexa, convirtiendo la privacidad en un argumento de venta comercial inaccesible para empresas basadas en la venta de publicidad.</w:t>
      </w:r>
    </w:p>
    <w:p>
      <w:pPr>
        <w:spacing w:before="0" w:after="80" w:line="276" w:lineRule="auto"/>
      </w:pPr>
      <w:r>
        <w:rPr>
          <w:rFonts w:ascii="Calibri" w:hAnsi="Calibri"/>
          <w:b/>
          <w:color w:val="2D3748"/>
          <w:sz w:val="20"/>
        </w:rPr>
        <w:t xml:space="preserve">• Ahorro Operativo para Clientes Corporativos: </w:t>
      </w:r>
      <w:r>
        <w:rPr>
          <w:rFonts w:ascii="Calibri" w:hAnsi="Calibri"/>
          <w:i w:val="0"/>
          <w:color w:val="2D3748"/>
          <w:sz w:val="20"/>
        </w:rPr>
        <w:t>Grandes corporaciones (como Disney y Crédit Agricole) han comenzado a migrar flujos de trabajo de análisis de datos a ordenadores Mac con chips M-series para eliminar las suscripciones y peajes recurrentes de IA en la nube.</w:t>
      </w:r>
    </w:p>
    <w:p>
      <w:pPr>
        <w:keepNext/>
        <w:spacing w:before="240" w:after="80"/>
      </w:pPr>
      <w:r>
        <w:rPr>
          <w:rFonts w:ascii="Calibri" w:hAnsi="Calibri"/>
          <w:b/>
          <w:color w:val="4A5568"/>
          <w:sz w:val="24"/>
        </w:rPr>
        <w:t>7.3. Modelo de Monetización de la Innovación: El Acelerador del Ciclo de Reemplazo</w:t>
      </w:r>
    </w:p>
    <w:p>
      <w:pPr>
        <w:spacing w:before="0" w:after="80" w:line="276" w:lineRule="auto"/>
      </w:pPr>
      <w:r>
        <w:rPr>
          <w:rFonts w:ascii="Calibri" w:hAnsi="Calibri"/>
          <w:i w:val="0"/>
          <w:color w:val="2D3748"/>
          <w:sz w:val="20"/>
        </w:rPr>
        <w:t>En Apple, la tecnología de vanguardia no busca monetizarse como una aplicación aislada de $20 mensuales, sino como el motor de tracción de todo su modelo financiero:</w:t>
      </w:r>
    </w:p>
    <w:p>
      <w:pPr>
        <w:spacing w:before="0" w:after="80" w:line="276" w:lineRule="auto"/>
      </w:pPr>
      <w:r>
        <w:rPr>
          <w:rFonts w:ascii="Calibri" w:hAnsi="Calibri"/>
          <w:b/>
          <w:color w:val="2D3748"/>
          <w:sz w:val="20"/>
        </w:rPr>
        <w:t xml:space="preserve">1. Tracción de Hardware Premium: </w:t>
      </w:r>
      <w:r>
        <w:rPr>
          <w:rFonts w:ascii="Calibri" w:hAnsi="Calibri"/>
          <w:i w:val="0"/>
          <w:color w:val="2D3748"/>
          <w:sz w:val="20"/>
        </w:rPr>
        <w:t>Las funcionalidades avanzadas de IA exigen un mínimo de memoria unificada y potencia de NPU, volviendo obsoletos a terminales antiguos e impulsando el superciclo de renovación hacia gamas Pro y Pro Max de mayor margen.</w:t>
      </w:r>
    </w:p>
    <w:p>
      <w:pPr>
        <w:spacing w:before="0" w:after="80" w:line="276" w:lineRule="auto"/>
      </w:pPr>
      <w:r>
        <w:rPr>
          <w:rFonts w:ascii="Calibri" w:hAnsi="Calibri"/>
          <w:b/>
          <w:color w:val="2D3748"/>
          <w:sz w:val="20"/>
        </w:rPr>
        <w:t xml:space="preserve">2. Peaje en Servicios de Terceros: </w:t>
      </w:r>
      <w:r>
        <w:rPr>
          <w:rFonts w:ascii="Calibri" w:hAnsi="Calibri"/>
          <w:i w:val="0"/>
          <w:color w:val="2D3748"/>
          <w:sz w:val="20"/>
        </w:rPr>
        <w:t>Al integrar modelos fundacionales externos (como ChatGPT o Gemini) dentro de Siri y del sistema operativo, Apple actúa como el guardián de acceso (gatekeeper), cobrando comisiones por compras integradas y suscripciones intermediadas sin asumir el riesgo ni el coste de infraestructura.</w:t>
      </w:r>
    </w:p>
    <w:p>
      <w:pPr>
        <w:keepNext/>
        <w:spacing w:before="240" w:after="80"/>
      </w:pPr>
      <w:r>
        <w:rPr>
          <w:rFonts w:ascii="Calibri" w:hAnsi="Calibri"/>
          <w:b/>
          <w:color w:val="4A5568"/>
          <w:sz w:val="24"/>
        </w:rPr>
        <w:t>7.4. Intensidad de I+D y Productividad de la Innovación</w:t>
      </w:r>
    </w:p>
    <w:p>
      <w:pPr>
        <w:spacing w:before="0" w:after="80" w:line="276" w:lineRule="auto"/>
      </w:pPr>
      <w:r>
        <w:rPr>
          <w:rFonts w:ascii="Calibri" w:hAnsi="Calibri"/>
          <w:b/>
          <w:color w:val="2D3748"/>
          <w:sz w:val="20"/>
        </w:rPr>
        <w:t xml:space="preserve">• Enfoque en Silicio Propietario e Infraestructura: </w:t>
      </w:r>
      <w:r>
        <w:rPr>
          <w:rFonts w:ascii="Calibri" w:hAnsi="Calibri"/>
          <w:i w:val="0"/>
          <w:color w:val="2D3748"/>
          <w:sz w:val="20"/>
        </w:rPr>
        <w:t>El incremento del gasto en I+D no responde a experimentos dispersos, sino a la internalización de componentes clave: el módem de conectividad propio (C1), la arquitectura de litografía en 2nm con TSMC y la optimización de pesos neuronales.</w:t>
      </w:r>
    </w:p>
    <w:p>
      <w:pPr>
        <w:spacing w:before="0" w:after="80" w:line="276" w:lineRule="auto"/>
      </w:pPr>
      <w:r>
        <w:rPr>
          <w:rFonts w:ascii="Calibri" w:hAnsi="Calibri"/>
          <w:b/>
          <w:color w:val="2D3748"/>
          <w:sz w:val="20"/>
        </w:rPr>
        <w:t xml:space="preserve">• Retorno del Capital Invertido en Innovación: </w:t>
      </w:r>
      <w:r>
        <w:rPr>
          <w:rFonts w:ascii="Calibri" w:hAnsi="Calibri"/>
          <w:i w:val="0"/>
          <w:color w:val="2D3748"/>
          <w:sz w:val="20"/>
        </w:rPr>
        <w:t>A diferencia de proyectos especulativos de la industria, cada dólar invertido por Apple en I+D ($8,700 M en Q3 FY26, +32.3% YoY, 8.0% de las ventas) se traduce en patentes aplicadas a productos de consumo masivo con márgenes operativos del 32.6%.</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2"/>
              </w:rPr>
              <w:t>📌 GUÍA DE DIAGNÓSTICO FUNDAMENTAL: ¿CÓMO AUDITAR EL FOSO DEFENSIVO (ECONOMIC MOAT)?</w:t>
              <w:br/>
            </w:r>
          </w:p>
          <w:p>
            <w:pPr>
              <w:spacing w:before="40" w:after="40" w:line="276" w:lineRule="auto"/>
            </w:pPr>
            <w:r>
              <w:rPr>
                <w:rFonts w:ascii="Calibri" w:hAnsi="Calibri"/>
                <w:color w:val="2D3748"/>
                <w:sz w:val="19"/>
              </w:rPr>
              <w:t>• Identificación de un Wide Moat: Una empresa posee un foso amplio cuando puede generar sistemáticamente un retorno sobre el capital invertido (ROIC) superior a su coste de capital (WACC) durante más de 10 o 15 años sin que los competidores consigan arrebatarle cuota ni margen.</w:t>
            </w:r>
          </w:p>
          <w:p>
            <w:pPr>
              <w:spacing w:before="40" w:after="40" w:line="276" w:lineRule="auto"/>
            </w:pPr>
            <w:r>
              <w:rPr>
                <w:rFonts w:ascii="Calibri" w:hAnsi="Calibri"/>
                <w:color w:val="2D3748"/>
                <w:sz w:val="19"/>
              </w:rPr>
              <w:t>• Costes de Cambio vs. Comoditización: Si un cliente puede cambiar de proveedor sin coste ni esfuerzo (como en aerolíneas o textil genérico), la empresa carece de foso. Si el cambio acarrea pérdidas de datos o tiempo, la empresa disfruta de poder de precios.</w:t>
            </w:r>
          </w:p>
          <w:p>
            <w:pPr>
              <w:spacing w:before="40" w:after="40" w:line="276" w:lineRule="auto"/>
            </w:pPr>
            <w:r>
              <w:rPr>
                <w:rFonts w:ascii="Calibri" w:hAnsi="Calibri"/>
                <w:color w:val="2D3748"/>
                <w:sz w:val="19"/>
              </w:rPr>
              <w:t>• Vigilancia de Erosión del Foso (Moat Erosion): Las principales alertas de que un foso se está deteriorando son: caída continuada del margen bruto, incremento desmedido del gasto en marketing para retener clientes, pérdida de precios medios de venta (ASP) o amenazas regulatorias directas a monopolios naturales (e.g. leyes antimonopolio sobre tiendas de aplicaciones).</w:t>
            </w:r>
          </w:p>
        </w:tc>
      </w:tr>
    </w:tbl>
    <w:p>
      <w:pPr>
        <w:spacing w:after="80"/>
      </w:pPr>
    </w:p>
    <w:p>
      <w:pPr>
        <w:keepNext/>
        <w:spacing w:before="320" w:after="120"/>
      </w:pPr>
      <w:r>
        <w:rPr>
          <w:rFonts w:ascii="Calibri" w:hAnsi="Calibri"/>
          <w:b/>
          <w:color w:val="1B365D"/>
          <w:sz w:val="30"/>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2"/>
              </w:rPr>
              <w:t>📌 GUÍA PEDAGÓGICA PARA EL INVERSOR: LA CADENA DE TRAZABILIDAD DE LA SEC</w:t>
              <w:br/>
            </w:r>
          </w:p>
          <w:p>
            <w:pPr>
              <w:spacing w:before="40" w:after="40" w:line="276" w:lineRule="auto"/>
            </w:pPr>
            <w:r>
              <w:rPr>
                <w:rFonts w:ascii="Calibri" w:hAnsi="Calibri"/>
                <w:color w:val="2D3748"/>
                <w:sz w:val="19"/>
              </w:rPr>
              <w:t>• Formulario 8-K (La Empresa Habla): Notifica eventos materiales corporativos en tiempo real (relevo del CEO, cambios de auditor o impagos).</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de Wall Street: Si un directivo vende bajo un Plan Rule 10b5-1, es una venta automática programada meses atrás para diversificación patrimonial o impuestos (cero información privilegiada). Si vende de forma Discrecional, es una toma de beneficios voluntaria y activa.</w:t>
            </w:r>
          </w:p>
        </w:tc>
      </w:tr>
    </w:tbl>
    <w:p>
      <w:pPr>
        <w:spacing w:after="80"/>
      </w:pPr>
    </w:p>
    <w:p>
      <w:pPr>
        <w:keepNext/>
        <w:spacing w:before="240" w:after="80"/>
      </w:pPr>
      <w:r>
        <w:rPr>
          <w:rFonts w:ascii="Calibri" w:hAnsi="Calibri"/>
          <w:b/>
          <w:color w:val="4A5568"/>
          <w:sz w:val="24"/>
        </w:rPr>
        <w:t>8.1. Hechos Relevantes y Alertas Tempranas de la Corporación (Formulario 8-K)</w:t>
      </w:r>
    </w:p>
    <w:p>
      <w:pPr>
        <w:spacing w:before="0" w:after="80" w:line="276" w:lineRule="auto"/>
      </w:pPr>
      <w:r>
        <w:rPr>
          <w:rFonts w:ascii="Calibri" w:hAnsi="Calibri"/>
          <w:i w:val="0"/>
          <w:color w:val="2D3748"/>
          <w:sz w:val="20"/>
        </w:rPr>
        <w:t>El Formulario 8-K constituye el radar de alertas tempranas de la SEC para auditar eventos corporativos de impacto material sin esperar al cierre de trimestre:</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Oficial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Naturaleza del 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 para la Empresa?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Inversor</w:t>
            </w:r>
          </w:p>
        </w:tc>
      </w:tr>
      <w:tr>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2026-09-01</w:t>
            </w:r>
          </w:p>
        </w:tc>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Item 5.02</w:t>
            </w:r>
          </w:p>
        </w:tc>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Sucesión Ejecutiva en el C-Suite</w:t>
            </w:r>
          </w:p>
        </w:tc>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Formalización de la renuncia de Tim Cook como CEO y designación oficial de John Ternus.</w:t>
            </w:r>
          </w:p>
        </w:tc>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 RELEVO PLANIFICADO: Transición técnica ordenada sin vacíos de poder; foco en silicio.</w:t>
            </w:r>
          </w:p>
        </w:tc>
      </w:tr>
      <w:tr>
        <w:tc>
          <w:tcPr>
            <w:tcW w:type="dxa" w:w="1440"/>
            <w:shd w:fill="F7FAFC"/>
            <w:tcMar>
              <w:top w:w="80" w:type="dxa"/>
              <w:bottom w:w="80" w:type="dxa"/>
              <w:left w:w="120" w:type="dxa"/>
              <w:right w:w="120" w:type="dxa"/>
            </w:tcMar>
          </w:tcPr>
          <w:p>
            <w:pPr>
              <w:spacing w:before="0" w:after="0"/>
              <w:jc w:val="center"/>
            </w:pPr>
            <w:r>
              <w:rPr>
                <w:rFonts w:ascii="Calibri" w:hAnsi="Calibri"/>
                <w:b w:val="0"/>
                <w:color w:val="2D3748"/>
                <w:sz w:val="18"/>
              </w:rPr>
              <w:t>2026-07-30</w:t>
            </w:r>
          </w:p>
        </w:tc>
        <w:tc>
          <w:tcPr>
            <w:tcW w:type="dxa" w:w="1440"/>
            <w:shd w:fill="F7FAFC"/>
            <w:tcMar>
              <w:top w:w="80" w:type="dxa"/>
              <w:bottom w:w="80" w:type="dxa"/>
              <w:left w:w="120" w:type="dxa"/>
              <w:right w:w="120" w:type="dxa"/>
            </w:tcMar>
          </w:tcPr>
          <w:p>
            <w:pPr>
              <w:spacing w:before="0" w:after="0"/>
              <w:jc w:val="center"/>
            </w:pPr>
            <w:r>
              <w:rPr>
                <w:rFonts w:ascii="Calibri" w:hAnsi="Calibri"/>
                <w:b w:val="0"/>
                <w:color w:val="2D3748"/>
                <w:sz w:val="18"/>
              </w:rPr>
              <w:t>Item 2.02</w:t>
            </w:r>
          </w:p>
        </w:tc>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Resultados Financieros Trimestrales</w:t>
            </w:r>
          </w:p>
        </w:tc>
        <w:tc>
          <w:tcPr>
            <w:tcW w:type="dxa" w:w="2448"/>
            <w:shd w:fill="F7FAFC"/>
            <w:tcMar>
              <w:top w:w="80" w:type="dxa"/>
              <w:bottom w:w="80" w:type="dxa"/>
              <w:left w:w="120" w:type="dxa"/>
              <w:right w:w="120" w:type="dxa"/>
            </w:tcMar>
          </w:tcPr>
          <w:p>
            <w:pPr>
              <w:spacing w:before="0" w:after="0"/>
              <w:jc w:val="left"/>
            </w:pPr>
            <w:r>
              <w:rPr>
                <w:rFonts w:ascii="Calibri" w:hAnsi="Calibri"/>
                <w:b w:val="0"/>
                <w:color w:val="2D3748"/>
                <w:sz w:val="18"/>
              </w:rPr>
              <w:t>Avance formal de cifras oficiales auditadas correspondientes al trimestre Q3 FY26.</w:t>
            </w:r>
          </w:p>
        </w:tc>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 TRÁMITE ORDINARIO: Cumplimiento regular del calendario financiero ante los mercados.</w:t>
            </w:r>
          </w:p>
        </w:tc>
      </w:tr>
      <w:tr>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2026-04-20</w:t>
            </w:r>
          </w:p>
        </w:tc>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Item 5.02</w:t>
            </w:r>
          </w:p>
        </w:tc>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Acuerdos de Compensación Ejecutiva</w:t>
            </w:r>
          </w:p>
        </w:tc>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Actualización de paquetes de incentivos en acciones restringidas (RSUs) para directores.</w:t>
            </w:r>
          </w:p>
        </w:tc>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 ALINEACIÓN: Remuneración ligada a métricas operativas y de retorno de largo plazo.</w:t>
            </w:r>
          </w:p>
        </w:tc>
      </w:tr>
      <w:tr>
        <w:tc>
          <w:tcPr>
            <w:tcW w:type="dxa" w:w="1440"/>
            <w:shd w:fill="F7FAFC"/>
            <w:tcMar>
              <w:top w:w="80" w:type="dxa"/>
              <w:bottom w:w="80" w:type="dxa"/>
              <w:left w:w="120" w:type="dxa"/>
              <w:right w:w="120" w:type="dxa"/>
            </w:tcMar>
          </w:tcPr>
          <w:p>
            <w:pPr>
              <w:spacing w:before="0" w:after="0"/>
              <w:jc w:val="center"/>
            </w:pPr>
            <w:r>
              <w:rPr>
                <w:rFonts w:ascii="Calibri" w:hAnsi="Calibri"/>
                <w:b w:val="0"/>
                <w:color w:val="2D3748"/>
                <w:sz w:val="18"/>
              </w:rPr>
              <w:t>Últimos 12M</w:t>
            </w:r>
          </w:p>
        </w:tc>
        <w:tc>
          <w:tcPr>
            <w:tcW w:type="dxa" w:w="1440"/>
            <w:shd w:fill="F7FAFC"/>
            <w:tcMar>
              <w:top w:w="80" w:type="dxa"/>
              <w:bottom w:w="80" w:type="dxa"/>
              <w:left w:w="120" w:type="dxa"/>
              <w:right w:w="120" w:type="dxa"/>
            </w:tcMar>
          </w:tcPr>
          <w:p>
            <w:pPr>
              <w:spacing w:before="0" w:after="0"/>
              <w:jc w:val="center"/>
            </w:pPr>
            <w:r>
              <w:rPr>
                <w:rFonts w:ascii="Calibri" w:hAnsi="Calibri"/>
                <w:b w:val="0"/>
                <w:color w:val="2D3748"/>
                <w:sz w:val="18"/>
              </w:rPr>
              <w:t>Item 4.01</w:t>
            </w:r>
          </w:p>
        </w:tc>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Auditoría Externa Independiente</w:t>
            </w:r>
          </w:p>
        </w:tc>
        <w:tc>
          <w:tcPr>
            <w:tcW w:type="dxa" w:w="2448"/>
            <w:shd w:fill="F7FAFC"/>
            <w:tcMar>
              <w:top w:w="80" w:type="dxa"/>
              <w:bottom w:w="80" w:type="dxa"/>
              <w:left w:w="120" w:type="dxa"/>
              <w:right w:w="120" w:type="dxa"/>
            </w:tcMar>
          </w:tcPr>
          <w:p>
            <w:pPr>
              <w:spacing w:before="0" w:after="0"/>
              <w:jc w:val="left"/>
            </w:pPr>
            <w:r>
              <w:rPr>
                <w:rFonts w:ascii="Calibri" w:hAnsi="Calibri"/>
                <w:b w:val="0"/>
                <w:color w:val="2D3748"/>
                <w:sz w:val="18"/>
              </w:rPr>
              <w:t>Sin registros. PricewaterhouseCoopers (PwC) continúa como auditor principal sin discrepancias.</w:t>
            </w:r>
          </w:p>
        </w:tc>
        <w:tc>
          <w:tcPr>
            <w:tcW w:type="dxa" w:w="2304"/>
            <w:shd w:fill="F7FAFC"/>
            <w:tcMar>
              <w:top w:w="80" w:type="dxa"/>
              <w:bottom w:w="80" w:type="dxa"/>
              <w:left w:w="120" w:type="dxa"/>
              <w:right w:w="120" w:type="dxa"/>
            </w:tcMar>
          </w:tcPr>
          <w:p>
            <w:pPr>
              <w:spacing w:before="0" w:after="0"/>
              <w:jc w:val="left"/>
            </w:pPr>
            <w:r>
              <w:rPr>
                <w:rFonts w:ascii="Calibri" w:hAnsi="Calibri"/>
                <w:b w:val="0"/>
                <w:color w:val="2D3748"/>
                <w:sz w:val="18"/>
              </w:rPr>
              <w:t>🟢 MÁXIMA ESTABILIDAD: Cero banderas rojas contables o disputas sobre criterios contables.</w:t>
            </w:r>
          </w:p>
        </w:tc>
      </w:tr>
      <w:tr>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Últimos 12M</w:t>
            </w:r>
          </w:p>
        </w:tc>
        <w:tc>
          <w:tcPr>
            <w:tcW w:type="dxa" w:w="1440"/>
            <w:shd w:fill="FFFFFF"/>
            <w:tcMar>
              <w:top w:w="80" w:type="dxa"/>
              <w:bottom w:w="80" w:type="dxa"/>
              <w:left w:w="120" w:type="dxa"/>
              <w:right w:w="120" w:type="dxa"/>
            </w:tcMar>
          </w:tcPr>
          <w:p>
            <w:pPr>
              <w:spacing w:before="0" w:after="0"/>
              <w:jc w:val="center"/>
            </w:pPr>
            <w:r>
              <w:rPr>
                <w:rFonts w:ascii="Calibri" w:hAnsi="Calibri"/>
                <w:b w:val="0"/>
                <w:color w:val="2D3748"/>
                <w:sz w:val="18"/>
              </w:rPr>
              <w:t>Item 2.04</w:t>
            </w:r>
          </w:p>
        </w:tc>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Eventos de Insolvencia o Impago</w:t>
            </w:r>
          </w:p>
        </w:tc>
        <w:tc>
          <w:tcPr>
            <w:tcW w:type="dxa" w:w="2448"/>
            <w:shd w:fill="FFFFFF"/>
            <w:tcMar>
              <w:top w:w="80" w:type="dxa"/>
              <w:bottom w:w="80" w:type="dxa"/>
              <w:left w:w="120" w:type="dxa"/>
              <w:right w:w="120" w:type="dxa"/>
            </w:tcMar>
          </w:tcPr>
          <w:p>
            <w:pPr>
              <w:spacing w:before="0" w:after="0"/>
              <w:jc w:val="left"/>
            </w:pPr>
            <w:r>
              <w:rPr>
                <w:rFonts w:ascii="Calibri" w:hAnsi="Calibri"/>
                <w:b w:val="0"/>
                <w:color w:val="2D3748"/>
                <w:sz w:val="18"/>
              </w:rPr>
              <w:t>Sin registros. Ninguna aceleración de vencimientos ni cláusulas de penalización de deuda.</w:t>
            </w:r>
          </w:p>
        </w:tc>
        <w:tc>
          <w:tcPr>
            <w:tcW w:type="dxa" w:w="2304"/>
            <w:shd w:fill="FFFFFF"/>
            <w:tcMar>
              <w:top w:w="80" w:type="dxa"/>
              <w:bottom w:w="80" w:type="dxa"/>
              <w:left w:w="120" w:type="dxa"/>
              <w:right w:w="120" w:type="dxa"/>
            </w:tcMar>
          </w:tcPr>
          <w:p>
            <w:pPr>
              <w:spacing w:before="0" w:after="0"/>
              <w:jc w:val="left"/>
            </w:pPr>
            <w:r>
              <w:rPr>
                <w:rFonts w:ascii="Calibri" w:hAnsi="Calibri"/>
                <w:b w:val="0"/>
                <w:color w:val="2D3748"/>
                <w:sz w:val="18"/>
              </w:rPr>
              <w:t>🟢 RIESGO CREDITICIO NULO: Solvencia intacta con posición de caja neta de +$62.2B.</w:t>
            </w:r>
          </w:p>
        </w:tc>
      </w:tr>
    </w:tbl>
    <w:p>
      <w:pPr>
        <w:spacing w:after="120"/>
      </w:pPr>
    </w:p>
    <w:p>
      <w:pPr>
        <w:keepNext/>
        <w:spacing w:before="240" w:after="80"/>
      </w:pPr>
      <w:r>
        <w:rPr>
          <w:rFonts w:ascii="Calibri" w:hAnsi="Calibri"/>
          <w:b/>
          <w:color w:val="4A5568"/>
          <w:sz w:val="24"/>
        </w:rPr>
        <w:t>8.2. Monitor Unificado de Insiders: Del Aviso (Form 144) a la Ejecución (Form 4)</w:t>
      </w:r>
    </w:p>
    <w:p>
      <w:pPr>
        <w:spacing w:before="0" w:after="80" w:line="276" w:lineRule="auto"/>
      </w:pPr>
      <w:r>
        <w:rPr>
          <w:rFonts w:ascii="Calibri" w:hAnsi="Calibri"/>
          <w:i w:val="0"/>
          <w:color w:val="2D3748"/>
          <w:sz w:val="20"/>
        </w:rPr>
        <w:t>Para evitar duplicidades y falsas lecturas de doble venta, la siguiente tabla consolida la cadena completa de transacciones de directivos clave, cruzando la intención preventiva (Form 144) con la liquidación efectiva en mercado (Form 4):</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 Clave</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de Operación y Modalidad SEC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 de Acciones</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 Efectivo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 SEC (144 ➔ 4)</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 de Convicción</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Timothy D. Cook</w:t>
              <w:br/>
              <w:t>(Chief Executive Officer)</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 Venta Automática (Plan 10b5-1)</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-194,912</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-$49,887,921</w:t>
            </w:r>
          </w:p>
        </w:tc>
        <w:tc>
          <w:tcPr>
            <w:tcW w:type="dxa" w:w="1296"/>
            <w:shd w:fill="FFFFFF"/>
            <w:tcMar>
              <w:top w:w="80" w:type="dxa"/>
              <w:bottom w:w="80" w:type="dxa"/>
              <w:left w:w="120" w:type="dxa"/>
              <w:right w:w="120" w:type="dxa"/>
            </w:tcMar>
          </w:tcPr>
          <w:p>
            <w:pPr>
              <w:spacing w:before="0" w:after="0"/>
              <w:jc w:val="center"/>
            </w:pPr>
            <w:r>
              <w:rPr>
                <w:rFonts w:ascii="Calibri" w:hAnsi="Calibri"/>
                <w:b w:val="0"/>
                <w:color w:val="2D3748"/>
                <w:sz w:val="18"/>
              </w:rPr>
              <w:t>Form 4 Liquidado</w:t>
            </w:r>
          </w:p>
        </w:tc>
        <w:tc>
          <w:tcPr>
            <w:tcW w:type="dxa" w:w="1584"/>
            <w:shd w:fill="FFFFFF"/>
            <w:tcMar>
              <w:top w:w="80" w:type="dxa"/>
              <w:bottom w:w="80" w:type="dxa"/>
              <w:left w:w="120" w:type="dxa"/>
              <w:right w:w="120" w:type="dxa"/>
            </w:tcMar>
          </w:tcPr>
          <w:p>
            <w:pPr>
              <w:spacing w:before="0" w:after="0"/>
              <w:jc w:val="left"/>
            </w:pPr>
            <w:r>
              <w:rPr>
                <w:rFonts w:ascii="Calibri" w:hAnsi="Calibri"/>
                <w:b w:val="0"/>
                <w:color w:val="2D3748"/>
                <w:sz w:val="18"/>
              </w:rPr>
              <w:t>Venta programada con 9 meses de antelación; diversificación en su salida.</w:t>
            </w:r>
          </w:p>
        </w:tc>
      </w:tr>
      <w:tr>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John Ternus</w:t>
              <w:br/>
              <w:t>(CEO Entrante)</w:t>
            </w:r>
          </w:p>
        </w:tc>
        <w:tc>
          <w:tcPr>
            <w:tcW w:type="dxa" w:w="2016"/>
            <w:shd w:fill="F7FAFC"/>
            <w:tcMar>
              <w:top w:w="80" w:type="dxa"/>
              <w:bottom w:w="80" w:type="dxa"/>
              <w:left w:w="120" w:type="dxa"/>
              <w:right w:w="120" w:type="dxa"/>
            </w:tcMar>
          </w:tcPr>
          <w:p>
            <w:pPr>
              <w:spacing w:before="0" w:after="0"/>
              <w:jc w:val="center"/>
            </w:pPr>
            <w:r>
              <w:rPr>
                <w:rFonts w:ascii="Calibri" w:hAnsi="Calibri"/>
                <w:b w:val="0"/>
                <w:color w:val="2D3748"/>
                <w:sz w:val="18"/>
              </w:rPr>
              <w:t>⚪ Cero Ventas (Retención Total)</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0</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$0</w:t>
            </w:r>
          </w:p>
        </w:tc>
        <w:tc>
          <w:tcPr>
            <w:tcW w:type="dxa" w:w="1296"/>
            <w:shd w:fill="F7FAFC"/>
            <w:tcMar>
              <w:top w:w="80" w:type="dxa"/>
              <w:bottom w:w="80" w:type="dxa"/>
              <w:left w:w="120" w:type="dxa"/>
              <w:right w:w="120" w:type="dxa"/>
            </w:tcMar>
          </w:tcPr>
          <w:p>
            <w:pPr>
              <w:spacing w:before="0" w:after="0"/>
              <w:jc w:val="center"/>
            </w:pPr>
            <w:r>
              <w:rPr>
                <w:rFonts w:ascii="Calibri" w:hAnsi="Calibri"/>
                <w:b w:val="0"/>
                <w:color w:val="2D3748"/>
                <w:sz w:val="18"/>
              </w:rPr>
              <w:t>Sin avisos 144</w:t>
            </w:r>
          </w:p>
        </w:tc>
        <w:tc>
          <w:tcPr>
            <w:tcW w:type="dxa" w:w="1584"/>
            <w:shd w:fill="F7FAFC"/>
            <w:tcMar>
              <w:top w:w="80" w:type="dxa"/>
              <w:bottom w:w="80" w:type="dxa"/>
              <w:left w:w="120" w:type="dxa"/>
              <w:right w:w="120" w:type="dxa"/>
            </w:tcMar>
          </w:tcPr>
          <w:p>
            <w:pPr>
              <w:spacing w:before="0" w:after="0"/>
              <w:jc w:val="left"/>
            </w:pPr>
            <w:r>
              <w:rPr>
                <w:rFonts w:ascii="Calibri" w:hAnsi="Calibri"/>
                <w:b w:val="0"/>
                <w:color w:val="2D3748"/>
                <w:sz w:val="18"/>
              </w:rPr>
              <w:t>Retención patrimonial íntegra tras su designación como CEO.</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Arthur D. Levinson</w:t>
              <w:br/>
              <w:t>(Presidente del Consejo)</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 Venta Discrecional</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-300,000</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-$86,740,722</w:t>
            </w:r>
          </w:p>
        </w:tc>
        <w:tc>
          <w:tcPr>
            <w:tcW w:type="dxa" w:w="1296"/>
            <w:shd w:fill="FFFFFF"/>
            <w:tcMar>
              <w:top w:w="80" w:type="dxa"/>
              <w:bottom w:w="80" w:type="dxa"/>
              <w:left w:w="120" w:type="dxa"/>
              <w:right w:w="120" w:type="dxa"/>
            </w:tcMar>
          </w:tcPr>
          <w:p>
            <w:pPr>
              <w:spacing w:before="0" w:after="0"/>
              <w:jc w:val="center"/>
            </w:pPr>
            <w:r>
              <w:rPr>
                <w:rFonts w:ascii="Calibri" w:hAnsi="Calibri"/>
                <w:b w:val="0"/>
                <w:color w:val="2D3748"/>
                <w:sz w:val="18"/>
              </w:rPr>
              <w:t>Form 144 (May) ➔ Form 4</w:t>
            </w:r>
          </w:p>
        </w:tc>
        <w:tc>
          <w:tcPr>
            <w:tcW w:type="dxa" w:w="1584"/>
            <w:shd w:fill="FFFFFF"/>
            <w:tcMar>
              <w:top w:w="80" w:type="dxa"/>
              <w:bottom w:w="80" w:type="dxa"/>
              <w:left w:w="120" w:type="dxa"/>
              <w:right w:w="120" w:type="dxa"/>
            </w:tcMar>
          </w:tcPr>
          <w:p>
            <w:pPr>
              <w:spacing w:before="0" w:after="0"/>
              <w:jc w:val="left"/>
            </w:pPr>
            <w:r>
              <w:rPr>
                <w:rFonts w:ascii="Calibri" w:hAnsi="Calibri"/>
                <w:b w:val="0"/>
                <w:color w:val="2D3748"/>
                <w:sz w:val="18"/>
              </w:rPr>
              <w:t>Toma de beneficios voluntaria en máximos históricos. No utilizó plan 10b5-1.</w:t>
            </w:r>
          </w:p>
        </w:tc>
      </w:tr>
      <w:tr>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Deirdre O'Brien</w:t>
              <w:br/>
              <w:t>(Senior Vice President)</w:t>
            </w:r>
          </w:p>
        </w:tc>
        <w:tc>
          <w:tcPr>
            <w:tcW w:type="dxa" w:w="2016"/>
            <w:shd w:fill="F7FAFC"/>
            <w:tcMar>
              <w:top w:w="80" w:type="dxa"/>
              <w:bottom w:w="80" w:type="dxa"/>
              <w:left w:w="120" w:type="dxa"/>
              <w:right w:w="120" w:type="dxa"/>
            </w:tcMar>
          </w:tcPr>
          <w:p>
            <w:pPr>
              <w:spacing w:before="0" w:after="0"/>
              <w:jc w:val="center"/>
            </w:pPr>
            <w:r>
              <w:rPr>
                <w:rFonts w:ascii="Calibri" w:hAnsi="Calibri"/>
                <w:b w:val="0"/>
                <w:color w:val="2D3748"/>
                <w:sz w:val="18"/>
              </w:rPr>
              <w:t>🟢 Venta Automática (Plan 10b5-1)</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-73,015</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-$18,731,954</w:t>
            </w:r>
          </w:p>
        </w:tc>
        <w:tc>
          <w:tcPr>
            <w:tcW w:type="dxa" w:w="1296"/>
            <w:shd w:fill="F7FAFC"/>
            <w:tcMar>
              <w:top w:w="80" w:type="dxa"/>
              <w:bottom w:w="80" w:type="dxa"/>
              <w:left w:w="120" w:type="dxa"/>
              <w:right w:w="120" w:type="dxa"/>
            </w:tcMar>
          </w:tcPr>
          <w:p>
            <w:pPr>
              <w:spacing w:before="0" w:after="0"/>
              <w:jc w:val="center"/>
            </w:pPr>
            <w:r>
              <w:rPr>
                <w:rFonts w:ascii="Calibri" w:hAnsi="Calibri"/>
                <w:b w:val="0"/>
                <w:color w:val="2D3748"/>
                <w:sz w:val="18"/>
              </w:rPr>
              <w:t>Form 144 (Abr) ➔ Form 4</w:t>
            </w:r>
          </w:p>
        </w:tc>
        <w:tc>
          <w:tcPr>
            <w:tcW w:type="dxa" w:w="1584"/>
            <w:shd w:fill="F7FAFC"/>
            <w:tcMar>
              <w:top w:w="80" w:type="dxa"/>
              <w:bottom w:w="80" w:type="dxa"/>
              <w:left w:w="120" w:type="dxa"/>
              <w:right w:w="120" w:type="dxa"/>
            </w:tcMar>
          </w:tcPr>
          <w:p>
            <w:pPr>
              <w:spacing w:before="0" w:after="0"/>
              <w:jc w:val="left"/>
            </w:pPr>
            <w:r>
              <w:rPr>
                <w:rFonts w:ascii="Calibri" w:hAnsi="Calibri"/>
                <w:b w:val="0"/>
                <w:color w:val="2D3748"/>
                <w:sz w:val="18"/>
              </w:rPr>
              <w:t>Venta 100% ciega y programada; ejecución rutinaria de opciones sobre acciones.</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Katherine L. Adams</w:t>
              <w:br/>
              <w:t>(SVP &amp; General Counsel)</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 Venta Mixta / Retención</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-47,125</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-$12,101,154</w:t>
            </w:r>
          </w:p>
        </w:tc>
        <w:tc>
          <w:tcPr>
            <w:tcW w:type="dxa" w:w="1296"/>
            <w:shd w:fill="FFFFFF"/>
            <w:tcMar>
              <w:top w:w="80" w:type="dxa"/>
              <w:bottom w:w="80" w:type="dxa"/>
              <w:left w:w="120" w:type="dxa"/>
              <w:right w:w="120" w:type="dxa"/>
            </w:tcMar>
          </w:tcPr>
          <w:p>
            <w:pPr>
              <w:spacing w:before="0" w:after="0"/>
              <w:jc w:val="center"/>
            </w:pPr>
            <w:r>
              <w:rPr>
                <w:rFonts w:ascii="Calibri" w:hAnsi="Calibri"/>
                <w:b w:val="0"/>
                <w:color w:val="2D3748"/>
                <w:sz w:val="18"/>
              </w:rPr>
              <w:t>Form 144 (May) ➔ Form 4</w:t>
            </w:r>
          </w:p>
        </w:tc>
        <w:tc>
          <w:tcPr>
            <w:tcW w:type="dxa" w:w="1584"/>
            <w:shd w:fill="FFFFFF"/>
            <w:tcMar>
              <w:top w:w="80" w:type="dxa"/>
              <w:bottom w:w="80" w:type="dxa"/>
              <w:left w:w="120" w:type="dxa"/>
              <w:right w:w="120" w:type="dxa"/>
            </w:tcMar>
          </w:tcPr>
          <w:p>
            <w:pPr>
              <w:spacing w:before="0" w:after="0"/>
              <w:jc w:val="left"/>
            </w:pPr>
            <w:r>
              <w:rPr>
                <w:rFonts w:ascii="Calibri" w:hAnsi="Calibri"/>
                <w:b w:val="0"/>
                <w:color w:val="2D3748"/>
                <w:sz w:val="18"/>
              </w:rPr>
              <w:t>Desinversión parcial tras vencimiento de RSUs y cobertura fiscal.</w:t>
            </w:r>
          </w:p>
        </w:tc>
      </w:tr>
      <w:tr>
        <w:tc>
          <w:tcPr>
            <w:tcW w:type="dxa" w:w="2160"/>
            <w:shd w:fill="F7FAFC"/>
            <w:tcMar>
              <w:top w:w="80" w:type="dxa"/>
              <w:bottom w:w="80" w:type="dxa"/>
              <w:left w:w="120" w:type="dxa"/>
              <w:right w:w="120" w:type="dxa"/>
            </w:tcMar>
          </w:tcPr>
          <w:p>
            <w:pPr>
              <w:spacing w:before="0" w:after="0"/>
              <w:jc w:val="left"/>
            </w:pPr>
            <w:r>
              <w:rPr>
                <w:rFonts w:ascii="Calibri" w:hAnsi="Calibri"/>
                <w:b w:val="0"/>
                <w:color w:val="2D3748"/>
                <w:sz w:val="18"/>
              </w:rPr>
              <w:t>Jennifer Newstead</w:t>
              <w:br/>
              <w:t>(SVP Government Affairs)</w:t>
            </w:r>
          </w:p>
        </w:tc>
        <w:tc>
          <w:tcPr>
            <w:tcW w:type="dxa" w:w="2016"/>
            <w:shd w:fill="F7FAFC"/>
            <w:tcMar>
              <w:top w:w="80" w:type="dxa"/>
              <w:bottom w:w="80" w:type="dxa"/>
              <w:left w:w="120" w:type="dxa"/>
              <w:right w:w="120" w:type="dxa"/>
            </w:tcMar>
          </w:tcPr>
          <w:p>
            <w:pPr>
              <w:spacing w:before="0" w:after="0"/>
              <w:jc w:val="center"/>
            </w:pPr>
            <w:r>
              <w:rPr>
                <w:rFonts w:ascii="Calibri" w:hAnsi="Calibri"/>
                <w:b w:val="0"/>
                <w:color w:val="2D3748"/>
                <w:sz w:val="18"/>
              </w:rPr>
              <w:t>🟢 Venta Automática (Plan 10b5-1)</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-7,194</w:t>
            </w:r>
          </w:p>
        </w:tc>
        <w:tc>
          <w:tcPr>
            <w:tcW w:type="dxa" w:w="1440"/>
            <w:shd w:fill="F7FAFC"/>
            <w:tcMar>
              <w:top w:w="80" w:type="dxa"/>
              <w:bottom w:w="80" w:type="dxa"/>
              <w:left w:w="120" w:type="dxa"/>
              <w:right w:w="120" w:type="dxa"/>
            </w:tcMar>
          </w:tcPr>
          <w:p>
            <w:pPr>
              <w:spacing w:before="0" w:after="0"/>
              <w:jc w:val="right"/>
            </w:pPr>
            <w:r>
              <w:rPr>
                <w:rFonts w:ascii="Calibri" w:hAnsi="Calibri"/>
                <w:b w:val="0"/>
                <w:color w:val="2D3748"/>
                <w:sz w:val="18"/>
              </w:rPr>
              <w:t>-$2,245,142</w:t>
            </w:r>
          </w:p>
        </w:tc>
        <w:tc>
          <w:tcPr>
            <w:tcW w:type="dxa" w:w="1296"/>
            <w:shd w:fill="F7FAFC"/>
            <w:tcMar>
              <w:top w:w="80" w:type="dxa"/>
              <w:bottom w:w="80" w:type="dxa"/>
              <w:left w:w="120" w:type="dxa"/>
              <w:right w:w="120" w:type="dxa"/>
            </w:tcMar>
          </w:tcPr>
          <w:p>
            <w:pPr>
              <w:spacing w:before="0" w:after="0"/>
              <w:jc w:val="center"/>
            </w:pPr>
            <w:r>
              <w:rPr>
                <w:rFonts w:ascii="Calibri" w:hAnsi="Calibri"/>
                <w:b w:val="0"/>
                <w:color w:val="2D3748"/>
                <w:sz w:val="18"/>
              </w:rPr>
              <w:t>Form 144 (Ago) ➔ Form 4</w:t>
            </w:r>
          </w:p>
        </w:tc>
        <w:tc>
          <w:tcPr>
            <w:tcW w:type="dxa" w:w="1584"/>
            <w:shd w:fill="F7FAFC"/>
            <w:tcMar>
              <w:top w:w="80" w:type="dxa"/>
              <w:bottom w:w="80" w:type="dxa"/>
              <w:left w:w="120" w:type="dxa"/>
              <w:right w:w="120" w:type="dxa"/>
            </w:tcMar>
          </w:tcPr>
          <w:p>
            <w:pPr>
              <w:spacing w:before="0" w:after="0"/>
              <w:jc w:val="left"/>
            </w:pPr>
            <w:r>
              <w:rPr>
                <w:rFonts w:ascii="Calibri" w:hAnsi="Calibri"/>
                <w:b w:val="0"/>
                <w:color w:val="2D3748"/>
                <w:sz w:val="18"/>
              </w:rPr>
              <w:t>Venta menor rutinaria y programada bajo plan preestablecido.</w:t>
            </w:r>
          </w:p>
        </w:tc>
      </w:tr>
      <w:tr>
        <w:tc>
          <w:tcPr>
            <w:tcW w:type="dxa" w:w="2160"/>
            <w:shd w:fill="FFFFFF"/>
            <w:tcMar>
              <w:top w:w="80" w:type="dxa"/>
              <w:bottom w:w="80" w:type="dxa"/>
              <w:left w:w="120" w:type="dxa"/>
              <w:right w:w="120" w:type="dxa"/>
            </w:tcMar>
          </w:tcPr>
          <w:p>
            <w:pPr>
              <w:spacing w:before="0" w:after="0"/>
              <w:jc w:val="left"/>
            </w:pPr>
            <w:r>
              <w:rPr>
                <w:rFonts w:ascii="Calibri" w:hAnsi="Calibri"/>
                <w:b w:val="0"/>
                <w:color w:val="2D3748"/>
                <w:sz w:val="18"/>
              </w:rPr>
              <w:t>Kevan Parekh</w:t>
              <w:br/>
              <w:t>(Senior VP &amp; CFO)</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 Venta Automática (Plan 10b5-1)</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-5,733</w:t>
            </w:r>
          </w:p>
        </w:tc>
        <w:tc>
          <w:tcPr>
            <w:tcW w:type="dxa" w:w="1440"/>
            <w:shd w:fill="FFFFFF"/>
            <w:tcMar>
              <w:top w:w="80" w:type="dxa"/>
              <w:bottom w:w="80" w:type="dxa"/>
              <w:left w:w="120" w:type="dxa"/>
              <w:right w:w="120" w:type="dxa"/>
            </w:tcMar>
          </w:tcPr>
          <w:p>
            <w:pPr>
              <w:spacing w:before="0" w:after="0"/>
              <w:jc w:val="right"/>
            </w:pPr>
            <w:r>
              <w:rPr>
                <w:rFonts w:ascii="Calibri" w:hAnsi="Calibri"/>
                <w:b w:val="0"/>
                <w:color w:val="2D3748"/>
                <w:sz w:val="18"/>
              </w:rPr>
              <w:t>-$1,460,637</w:t>
            </w:r>
          </w:p>
        </w:tc>
        <w:tc>
          <w:tcPr>
            <w:tcW w:type="dxa" w:w="1296"/>
            <w:shd w:fill="FFFFFF"/>
            <w:tcMar>
              <w:top w:w="80" w:type="dxa"/>
              <w:bottom w:w="80" w:type="dxa"/>
              <w:left w:w="120" w:type="dxa"/>
              <w:right w:w="120" w:type="dxa"/>
            </w:tcMar>
          </w:tcPr>
          <w:p>
            <w:pPr>
              <w:spacing w:before="0" w:after="0"/>
              <w:jc w:val="center"/>
            </w:pPr>
            <w:r>
              <w:rPr>
                <w:rFonts w:ascii="Calibri" w:hAnsi="Calibri"/>
                <w:b w:val="0"/>
                <w:color w:val="2D3748"/>
                <w:sz w:val="18"/>
              </w:rPr>
              <w:t>Form 144 (Abr) ➔ Form 4</w:t>
            </w:r>
          </w:p>
        </w:tc>
        <w:tc>
          <w:tcPr>
            <w:tcW w:type="dxa" w:w="1584"/>
            <w:shd w:fill="FFFFFF"/>
            <w:tcMar>
              <w:top w:w="80" w:type="dxa"/>
              <w:bottom w:w="80" w:type="dxa"/>
              <w:left w:w="120" w:type="dxa"/>
              <w:right w:w="120" w:type="dxa"/>
            </w:tcMar>
          </w:tcPr>
          <w:p>
            <w:pPr>
              <w:spacing w:before="0" w:after="0"/>
              <w:jc w:val="left"/>
            </w:pPr>
            <w:r>
              <w:rPr>
                <w:rFonts w:ascii="Calibri" w:hAnsi="Calibri"/>
                <w:b w:val="0"/>
                <w:color w:val="2D3748"/>
                <w:sz w:val="18"/>
              </w:rPr>
              <w:t>Venta menor de diversificación personal del nuevo director financiero.</w:t>
            </w:r>
          </w:p>
        </w:tc>
      </w:tr>
    </w:tbl>
    <w:p>
      <w:pPr>
        <w:spacing w:after="120"/>
      </w:pPr>
    </w:p>
    <w:p>
      <w:pPr>
        <w:spacing w:before="0" w:after="80" w:line="276" w:lineRule="auto"/>
      </w:pPr>
      <w:r>
        <w:rPr>
          <w:rFonts w:ascii="Calibri" w:hAnsi="Calibri"/>
          <w:b/>
          <w:color w:val="2D3748"/>
          <w:sz w:val="20"/>
        </w:rPr>
        <w:t xml:space="preserve">• Dictamen de Convicción Interna: </w:t>
      </w:r>
      <w:r>
        <w:rPr>
          <w:rFonts w:ascii="Calibri" w:hAnsi="Calibri"/>
          <w:i w:val="0"/>
          <w:color w:val="2D3748"/>
          <w:sz w:val="20"/>
        </w:rPr>
        <w:t>El equipo operativo directo (CEO, CFO y Vicepresidentes Sénior) opera con una disciplina institucional del 100% bajo planes preprogramados Rule 10b5-1, descartando cualquier arbitraje con información no pública. La única presión vendedora discrecional provino del Presidente del Consejo (Arthur Levinson), con $86.7M en toma de beneficios de acciones acumuladas históricamente.</w:t>
      </w:r>
    </w:p>
    <w:p>
      <w:pPr>
        <w:keepNext/>
        <w:spacing w:before="240" w:after="80"/>
      </w:pPr>
      <w:r>
        <w:rPr>
          <w:rFonts w:ascii="Calibri" w:hAnsi="Calibri"/>
          <w:b/>
          <w:color w:val="4A5568"/>
          <w:sz w:val="24"/>
        </w:rPr>
        <w:t>8.3. Cuadro de Mando y Calificación Global de Gobernanza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 de Gobernanza</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 Detectado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 / Semáforo</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Accionista</w:t>
            </w:r>
          </w:p>
        </w:tc>
      </w:tr>
      <w:tr>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Puntuación Global de Gobernanza</w:t>
            </w:r>
          </w:p>
        </w:tc>
        <w:tc>
          <w:tcPr>
            <w:tcW w:type="dxa" w:w="2016"/>
            <w:shd w:fill="FFFFFF"/>
            <w:tcMar>
              <w:top w:w="80" w:type="dxa"/>
              <w:bottom w:w="80" w:type="dxa"/>
              <w:left w:w="120" w:type="dxa"/>
              <w:right w:w="120" w:type="dxa"/>
            </w:tcMar>
          </w:tcPr>
          <w:p>
            <w:pPr>
              <w:spacing w:before="0" w:after="0"/>
              <w:jc w:val="left"/>
            </w:pPr>
            <w:r>
              <w:rPr>
                <w:rFonts w:ascii="Calibri" w:hAnsi="Calibri"/>
                <w:b w:val="0"/>
                <w:color w:val="2D3748"/>
                <w:sz w:val="18"/>
              </w:rPr>
              <w:t>SÓLIDA / BAJO RIESGO</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b w:val="0"/>
                <w:color w:val="2D3748"/>
                <w:sz w:val="18"/>
              </w:rPr>
              <w:t>Controles contables limpios, sucesión ordenada y alta transparencia informativa.</w:t>
            </w:r>
          </w:p>
        </w:tc>
      </w:tr>
      <w:tr>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Auditoría Externa (PwC)</w:t>
            </w:r>
          </w:p>
        </w:tc>
        <w:tc>
          <w:tcPr>
            <w:tcW w:type="dxa" w:w="2016"/>
            <w:shd w:fill="F7FAFC"/>
            <w:tcMar>
              <w:top w:w="80" w:type="dxa"/>
              <w:bottom w:w="80" w:type="dxa"/>
              <w:left w:w="120" w:type="dxa"/>
              <w:right w:w="120" w:type="dxa"/>
            </w:tcMar>
          </w:tcPr>
          <w:p>
            <w:pPr>
              <w:spacing w:before="0" w:after="0"/>
              <w:jc w:val="left"/>
            </w:pPr>
            <w:r>
              <w:rPr>
                <w:rFonts w:ascii="Calibri" w:hAnsi="Calibri"/>
                <w:b w:val="0"/>
                <w:color w:val="2D3748"/>
                <w:sz w:val="18"/>
              </w:rPr>
              <w:t>Más de 20 años de continuidad</w:t>
            </w:r>
          </w:p>
        </w:tc>
        <w:tc>
          <w:tcPr>
            <w:tcW w:type="dxa" w:w="2016"/>
            <w:shd w:fill="F7FAFC"/>
            <w:tcMar>
              <w:top w:w="80" w:type="dxa"/>
              <w:bottom w:w="80" w:type="dxa"/>
              <w:left w:w="120" w:type="dxa"/>
              <w:right w:w="120" w:type="dxa"/>
            </w:tcMar>
          </w:tcPr>
          <w:p>
            <w:pPr>
              <w:spacing w:before="0" w:after="0"/>
              <w:jc w:val="center"/>
            </w:pPr>
            <w:r>
              <w:rPr>
                <w:rFonts w:ascii="Calibri" w:hAnsi="Calibri"/>
                <w:b w:val="0"/>
                <w:color w:val="2D3748"/>
                <w:sz w:val="18"/>
              </w:rPr>
              <w:t>🟢 ESTABILIDAD TOTAL</w:t>
            </w:r>
          </w:p>
        </w:tc>
        <w:tc>
          <w:tcPr>
            <w:tcW w:type="dxa" w:w="3168"/>
            <w:shd w:fill="F7FAFC"/>
            <w:tcMar>
              <w:top w:w="80" w:type="dxa"/>
              <w:bottom w:w="80" w:type="dxa"/>
              <w:left w:w="120" w:type="dxa"/>
              <w:right w:w="120" w:type="dxa"/>
            </w:tcMar>
          </w:tcPr>
          <w:p>
            <w:pPr>
              <w:spacing w:before="0" w:after="0"/>
              <w:jc w:val="left"/>
            </w:pPr>
            <w:r>
              <w:rPr>
                <w:rFonts w:ascii="Calibri" w:hAnsi="Calibri"/>
                <w:b w:val="0"/>
                <w:color w:val="2D3748"/>
                <w:sz w:val="18"/>
              </w:rPr>
              <w:t>Sin salvedades ni discrepancias contables en informes históricos ante la SEC.</w:t>
            </w:r>
          </w:p>
        </w:tc>
      </w:tr>
      <w:tr>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Estructura del Consejo y Sucesión</w:t>
            </w:r>
          </w:p>
        </w:tc>
        <w:tc>
          <w:tcPr>
            <w:tcW w:type="dxa" w:w="2016"/>
            <w:shd w:fill="FFFFFF"/>
            <w:tcMar>
              <w:top w:w="80" w:type="dxa"/>
              <w:bottom w:w="80" w:type="dxa"/>
              <w:left w:w="120" w:type="dxa"/>
              <w:right w:w="120" w:type="dxa"/>
            </w:tcMar>
          </w:tcPr>
          <w:p>
            <w:pPr>
              <w:spacing w:before="0" w:after="0"/>
              <w:jc w:val="left"/>
            </w:pPr>
            <w:r>
              <w:rPr>
                <w:rFonts w:ascii="Calibri" w:hAnsi="Calibri"/>
                <w:b w:val="0"/>
                <w:color w:val="2D3748"/>
                <w:sz w:val="18"/>
              </w:rPr>
              <w:t>Relevo formalizado en Form 8-K</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 CONTINUIDAD PROBADA</w:t>
            </w:r>
          </w:p>
        </w:tc>
        <w:tc>
          <w:tcPr>
            <w:tcW w:type="dxa" w:w="3168"/>
            <w:shd w:fill="FFFFFF"/>
            <w:tcMar>
              <w:top w:w="80" w:type="dxa"/>
              <w:bottom w:w="80" w:type="dxa"/>
              <w:left w:w="120" w:type="dxa"/>
              <w:right w:w="120" w:type="dxa"/>
            </w:tcMar>
          </w:tcPr>
          <w:p>
            <w:pPr>
              <w:spacing w:before="0" w:after="0"/>
              <w:jc w:val="left"/>
            </w:pPr>
            <w:r>
              <w:rPr>
                <w:rFonts w:ascii="Calibri" w:hAnsi="Calibri"/>
                <w:b w:val="0"/>
                <w:color w:val="2D3748"/>
                <w:sz w:val="18"/>
              </w:rPr>
              <w:t>Transición interna que mitiga el riesgo de choque cultural o giros estratégicos erráticos.</w:t>
            </w:r>
          </w:p>
        </w:tc>
      </w:tr>
      <w:tr>
        <w:tc>
          <w:tcPr>
            <w:tcW w:type="dxa" w:w="2592"/>
            <w:shd w:fill="F7FAFC"/>
            <w:tcMar>
              <w:top w:w="80" w:type="dxa"/>
              <w:bottom w:w="80" w:type="dxa"/>
              <w:left w:w="120" w:type="dxa"/>
              <w:right w:w="120" w:type="dxa"/>
            </w:tcMar>
          </w:tcPr>
          <w:p>
            <w:pPr>
              <w:spacing w:before="0" w:after="0"/>
              <w:jc w:val="left"/>
            </w:pPr>
            <w:r>
              <w:rPr>
                <w:rFonts w:ascii="Calibri" w:hAnsi="Calibri"/>
                <w:b w:val="0"/>
                <w:color w:val="2D3748"/>
                <w:sz w:val="18"/>
              </w:rPr>
              <w:t>Disciplina en Ventas de Insiders</w:t>
            </w:r>
          </w:p>
        </w:tc>
        <w:tc>
          <w:tcPr>
            <w:tcW w:type="dxa" w:w="2016"/>
            <w:shd w:fill="F7FAFC"/>
            <w:tcMar>
              <w:top w:w="80" w:type="dxa"/>
              <w:bottom w:w="80" w:type="dxa"/>
              <w:left w:w="120" w:type="dxa"/>
              <w:right w:w="120" w:type="dxa"/>
            </w:tcMar>
          </w:tcPr>
          <w:p>
            <w:pPr>
              <w:spacing w:before="0" w:after="0"/>
              <w:jc w:val="left"/>
            </w:pPr>
            <w:r>
              <w:rPr>
                <w:rFonts w:ascii="Calibri" w:hAnsi="Calibri"/>
                <w:b w:val="0"/>
                <w:color w:val="2D3748"/>
                <w:sz w:val="18"/>
              </w:rPr>
              <w:t>100% C-Suite en Planes 10b5-1</w:t>
            </w:r>
          </w:p>
        </w:tc>
        <w:tc>
          <w:tcPr>
            <w:tcW w:type="dxa" w:w="2016"/>
            <w:shd w:fill="F7FAFC"/>
            <w:tcMar>
              <w:top w:w="80" w:type="dxa"/>
              <w:bottom w:w="80" w:type="dxa"/>
              <w:left w:w="120" w:type="dxa"/>
              <w:right w:w="120" w:type="dxa"/>
            </w:tcMar>
          </w:tcPr>
          <w:p>
            <w:pPr>
              <w:spacing w:before="0" w:after="0"/>
              <w:jc w:val="center"/>
            </w:pPr>
            <w:r>
              <w:rPr>
                <w:rFonts w:ascii="Calibri" w:hAnsi="Calibri"/>
                <w:b w:val="0"/>
                <w:color w:val="2D3748"/>
                <w:sz w:val="18"/>
              </w:rPr>
              <w:t>🟢 ALTA PROTECCIÓN</w:t>
            </w:r>
          </w:p>
        </w:tc>
        <w:tc>
          <w:tcPr>
            <w:tcW w:type="dxa" w:w="3168"/>
            <w:shd w:fill="F7FAFC"/>
            <w:tcMar>
              <w:top w:w="80" w:type="dxa"/>
              <w:bottom w:w="80" w:type="dxa"/>
              <w:left w:w="120" w:type="dxa"/>
              <w:right w:w="120" w:type="dxa"/>
            </w:tcMar>
          </w:tcPr>
          <w:p>
            <w:pPr>
              <w:spacing w:before="0" w:after="0"/>
              <w:jc w:val="left"/>
            </w:pPr>
            <w:r>
              <w:rPr>
                <w:rFonts w:ascii="Calibri" w:hAnsi="Calibri"/>
                <w:b w:val="0"/>
                <w:color w:val="2D3748"/>
                <w:sz w:val="18"/>
              </w:rPr>
              <w:t>Prácticas impecables de cumplimiento normativo frente a acusaciones de insider trading.</w:t>
            </w:r>
          </w:p>
        </w:tc>
      </w:tr>
      <w:tr>
        <w:tc>
          <w:tcPr>
            <w:tcW w:type="dxa" w:w="2592"/>
            <w:shd w:fill="FFFFFF"/>
            <w:tcMar>
              <w:top w:w="80" w:type="dxa"/>
              <w:bottom w:w="80" w:type="dxa"/>
              <w:left w:w="120" w:type="dxa"/>
              <w:right w:w="120" w:type="dxa"/>
            </w:tcMar>
          </w:tcPr>
          <w:p>
            <w:pPr>
              <w:spacing w:before="0" w:after="0"/>
              <w:jc w:val="left"/>
            </w:pPr>
            <w:r>
              <w:rPr>
                <w:rFonts w:ascii="Calibri" w:hAnsi="Calibri"/>
                <w:b w:val="0"/>
                <w:color w:val="2D3748"/>
                <w:sz w:val="18"/>
              </w:rPr>
              <w:t>Compras en Mercado Abierto (Cod. P)</w:t>
            </w:r>
          </w:p>
        </w:tc>
        <w:tc>
          <w:tcPr>
            <w:tcW w:type="dxa" w:w="2016"/>
            <w:shd w:fill="FFFFFF"/>
            <w:tcMar>
              <w:top w:w="80" w:type="dxa"/>
              <w:bottom w:w="80" w:type="dxa"/>
              <w:left w:w="120" w:type="dxa"/>
              <w:right w:w="120" w:type="dxa"/>
            </w:tcMar>
          </w:tcPr>
          <w:p>
            <w:pPr>
              <w:spacing w:before="0" w:after="0"/>
              <w:jc w:val="left"/>
            </w:pPr>
            <w:r>
              <w:rPr>
                <w:rFonts w:ascii="Calibri" w:hAnsi="Calibri"/>
                <w:b w:val="0"/>
                <w:color w:val="2D3748"/>
                <w:sz w:val="18"/>
              </w:rPr>
              <w:t>$0.0 M con fondos propios</w:t>
            </w:r>
          </w:p>
        </w:tc>
        <w:tc>
          <w:tcPr>
            <w:tcW w:type="dxa" w:w="2016"/>
            <w:shd w:fill="FFFFFF"/>
            <w:tcMar>
              <w:top w:w="80" w:type="dxa"/>
              <w:bottom w:w="80" w:type="dxa"/>
              <w:left w:w="120" w:type="dxa"/>
              <w:right w:w="120" w:type="dxa"/>
            </w:tcMar>
          </w:tcPr>
          <w:p>
            <w:pPr>
              <w:spacing w:before="0" w:after="0"/>
              <w:jc w:val="center"/>
            </w:pPr>
            <w:r>
              <w:rPr>
                <w:rFonts w:ascii="Calibri" w:hAnsi="Calibri"/>
                <w:b w:val="0"/>
                <w:color w:val="2D3748"/>
                <w:sz w:val="18"/>
              </w:rPr>
              <w:t>⚪ NEUTRAL TÍPICO</w:t>
            </w:r>
          </w:p>
        </w:tc>
        <w:tc>
          <w:tcPr>
            <w:tcW w:type="dxa" w:w="3168"/>
            <w:shd w:fill="FFFFFF"/>
            <w:tcMar>
              <w:top w:w="80" w:type="dxa"/>
              <w:bottom w:w="80" w:type="dxa"/>
              <w:left w:w="120" w:type="dxa"/>
              <w:right w:w="120" w:type="dxa"/>
            </w:tcMar>
          </w:tcPr>
          <w:p>
            <w:pPr>
              <w:spacing w:before="0" w:after="0"/>
              <w:jc w:val="left"/>
            </w:pPr>
            <w:r>
              <w:rPr>
                <w:rFonts w:ascii="Calibri" w:hAnsi="Calibri"/>
                <w:b w:val="0"/>
                <w:color w:val="2D3748"/>
                <w:sz w:val="18"/>
              </w:rPr>
              <w:t>Estándar en mega-caps donde la remuneración directiva se realiza vía incentivos en acciones (RSUs).</w:t>
            </w:r>
          </w:p>
        </w:tc>
      </w:tr>
    </w:tbl>
    <w:p>
      <w:pPr>
        <w:spacing w:after="120"/>
      </w:pPr>
    </w:p>
    <w:p>
      <w:pPr>
        <w:keepNext/>
        <w:spacing w:before="320" w:after="120"/>
      </w:pPr>
      <w:r>
        <w:rPr>
          <w:rFonts w:ascii="Calibri" w:hAnsi="Calibri"/>
          <w:b/>
          <w:color w:val="1B365D"/>
          <w:sz w:val="30"/>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2"/>
              </w:rPr>
              <w:t>📌 CLASIFICACIÓN ESTRATÉGICA EN MATRIZ FUNDAMENTAL</w:t>
              <w:br/>
            </w:r>
          </w:p>
          <w:p>
            <w:pPr>
              <w:spacing w:before="40" w:after="40" w:line="276" w:lineRule="auto"/>
            </w:pPr>
            <w:r>
              <w:rPr>
                <w:rFonts w:ascii="Calibri" w:hAnsi="Calibri"/>
                <w:color w:val="2D3748"/>
                <w:sz w:val="19"/>
              </w:rPr>
              <w:t>Posición Cuantitativa: 💎 COMPOUNDER DE ÉLITE</w:t>
            </w:r>
          </w:p>
          <w:p>
            <w:pPr>
              <w:spacing w:before="40" w:after="40" w:line="276" w:lineRule="auto"/>
            </w:pPr>
            <w:r>
              <w:rPr>
                <w:rFonts w:ascii="Calibri" w:hAnsi="Calibri"/>
                <w:color w:val="2D3748"/>
                <w:sz w:val="19"/>
              </w:rPr>
              <w:t>Piotroski F-Score (Solvencia Interna): 9 / 9 Puntos (LTM) | 8 / 9 Puntos (FY25) ➔ SALUD FINANCIERA EXCEPCIONAL</w:t>
            </w:r>
          </w:p>
          <w:p>
            <w:pPr>
              <w:spacing w:before="40" w:after="40" w:line="276" w:lineRule="auto"/>
            </w:pPr>
            <w:r>
              <w:rPr>
                <w:rFonts w:ascii="Calibri" w:hAnsi="Calibri"/>
                <w:color w:val="2D3748"/>
                <w:sz w:val="19"/>
              </w:rPr>
              <w:t>Mohanram G-Score (Ventaja Sectorial):  7 / 8 Puntos (CRECIMIENTO DE ÉLITE)</w:t>
            </w:r>
          </w:p>
          <w:p>
            <w:pPr>
              <w:spacing w:before="40" w:after="40" w:line="276" w:lineRule="auto"/>
            </w:pPr>
            <w:r>
              <w:rPr>
                <w:rFonts w:ascii="Calibri" w:hAnsi="Calibri"/>
                <w:color w:val="2D3748"/>
                <w:sz w:val="19"/>
              </w:rPr>
              <w:t>Tesis Cuantitativa: Apple Inc. combina una salud financiera interna intachable (máxima conversión de caja a FCF, desendeudamiento integral y recompras netas de acciones básicas) con una clara superioridad competitiva sectorial, invirtiendo más en I+D que la mediana de la industria de hardware y expandiendo márgenes brutos hacia el 50%.</w:t>
            </w:r>
          </w:p>
        </w:tc>
      </w:tr>
    </w:tbl>
    <w:p>
      <w:pPr>
        <w:spacing w:after="80"/>
      </w:pPr>
    </w:p>
    <w:p>
      <w:pPr>
        <w:keepNext/>
        <w:spacing w:before="240" w:after="80"/>
      </w:pPr>
      <w:r>
        <w:rPr>
          <w:rFonts w:ascii="Calibri" w:hAnsi="Calibri"/>
          <w:b/>
          <w:color w:val="4A5568"/>
          <w:sz w:val="24"/>
        </w:rPr>
        <w:t>9.1. Piotroski F-Score: Salud Financiera y Calidad Contable Interna</w:t>
      </w:r>
    </w:p>
    <w:p>
      <w:pPr>
        <w:spacing w:before="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0" w:after="80" w:line="276" w:lineRule="auto"/>
      </w:pPr>
      <w:r>
        <w:rPr>
          <w:rFonts w:ascii="Calibri" w:hAnsi="Calibri"/>
          <w:b/>
          <w:color w:val="2D3748"/>
          <w:sz w:val="20"/>
        </w:rPr>
        <w:t>• Puntaje Obtenido:</w:t>
      </w:r>
      <w:r>
        <w:rPr>
          <w:rFonts w:ascii="Calibri" w:hAnsi="Calibri"/>
          <w:i w:val="0"/>
          <w:color w:val="2D3748"/>
          <w:sz w:val="20"/>
        </w:rPr>
        <w:t xml:space="preserve"> 9 / 9 Puntos en LTM (Puntuación Perfecta) (8 / 9 en FY2025).</w:t>
      </w:r>
    </w:p>
    <w:p>
      <w:pPr>
        <w:spacing w:before="0" w:after="80" w:line="276" w:lineRule="auto"/>
      </w:pPr>
      <w:r>
        <w:rPr>
          <w:rFonts w:ascii="Calibri" w:hAnsi="Calibri"/>
          <w:b/>
          <w:color w:val="2D3748"/>
          <w:sz w:val="20"/>
        </w:rPr>
        <w:t>• ¿Qué significa este puntaje para el Inversor?</w:t>
      </w:r>
      <w:r>
        <w:rPr>
          <w:rFonts w:ascii="Calibri" w:hAnsi="Calibri"/>
          <w:i w:val="0"/>
          <w:color w:val="2D3748"/>
          <w:sz w:val="20"/>
        </w:rPr>
        <w:t xml:space="preserve"> Una calificación de 9/9 sitúa a Apple en el percentil superior del mercado global. Certifica que la compañía:</w:t>
      </w:r>
    </w:p>
    <w:p>
      <w:pPr>
        <w:spacing w:before="0" w:after="80" w:line="276" w:lineRule="auto"/>
      </w:pPr>
      <w:r>
        <w:rPr>
          <w:rFonts w:ascii="Calibri" w:hAnsi="Calibri"/>
          <w:b/>
          <w:color w:val="2D3748"/>
          <w:sz w:val="20"/>
        </w:rPr>
        <w:t xml:space="preserve">  1.</w:t>
      </w:r>
      <w:r>
        <w:rPr>
          <w:rFonts w:ascii="Calibri" w:hAnsi="Calibri"/>
          <w:i w:val="0"/>
          <w:color w:val="2D3748"/>
          <w:sz w:val="20"/>
        </w:rPr>
        <w:t xml:space="preserve"> Genera beneficios 100% respaldados por caja líquida: La caja operativa ($146.7B en LTM) supera ampliamente al beneficio neto contable ($101.5B), descartando manipulación de inventarios o ventas a crédito ficticias.</w:t>
      </w:r>
    </w:p>
    <w:p>
      <w:pPr>
        <w:spacing w:before="0" w:after="80" w:line="276" w:lineRule="auto"/>
      </w:pPr>
      <w:r>
        <w:rPr>
          <w:rFonts w:ascii="Calibri" w:hAnsi="Calibri"/>
          <w:b/>
          <w:color w:val="2D3748"/>
          <w:sz w:val="20"/>
        </w:rPr>
        <w:t xml:space="preserve">  2.</w:t>
      </w:r>
      <w:r>
        <w:rPr>
          <w:rFonts w:ascii="Calibri" w:hAnsi="Calibri"/>
          <w:i w:val="0"/>
          <w:color w:val="2D3748"/>
          <w:sz w:val="20"/>
        </w:rPr>
        <w:t xml:space="preserve"> Reduce su apalancamiento financiero real: Ha disminuido tanto su deuda financiera de corto como de largo plazo (-5.1% interanual).</w:t>
      </w:r>
    </w:p>
    <w:p>
      <w:pPr>
        <w:spacing w:before="0" w:after="80" w:line="276" w:lineRule="auto"/>
      </w:pPr>
      <w:r>
        <w:rPr>
          <w:rFonts w:ascii="Calibri" w:hAnsi="Calibri"/>
          <w:b/>
          <w:color w:val="2D3748"/>
          <w:sz w:val="20"/>
        </w:rPr>
        <w:t xml:space="preserve">  3.</w:t>
      </w:r>
      <w:r>
        <w:rPr>
          <w:rFonts w:ascii="Calibri" w:hAnsi="Calibri"/>
          <w:i w:val="0"/>
          <w:color w:val="2D3748"/>
          <w:sz w:val="20"/>
        </w:rPr>
        <w:t xml:space="preserve"> Protege al accionista minoritario: No financia sus operaciones emitiendo nuevas acciones, sino que retira sistemáticamente títulos en circulación (-432M de acciones básicas en el último año).</w:t>
      </w:r>
    </w:p>
    <w:p>
      <w:pPr>
        <w:spacing w:before="0" w:after="80" w:line="276" w:lineRule="auto"/>
      </w:pPr>
      <w:r>
        <w:rPr>
          <w:rFonts w:ascii="Calibri" w:hAnsi="Calibri"/>
          <w:b/>
          <w:color w:val="2D3748"/>
          <w:sz w:val="20"/>
        </w:rPr>
        <w:t xml:space="preserve">  4.</w:t>
      </w:r>
      <w:r>
        <w:rPr>
          <w:rFonts w:ascii="Calibri" w:hAnsi="Calibri"/>
          <w:i w:val="0"/>
          <w:color w:val="2D3748"/>
          <w:sz w:val="20"/>
        </w:rPr>
        <w:t xml:space="preserve"> Expande su eficiencia: Eleva tanto el poder de precios (margen bruto consolidado al 50.1%) como la productividad de sus activos instalados (+0.17x en rotación).</w:t>
      </w:r>
    </w:p>
    <w:p>
      <w:pPr>
        <w:keepNext/>
        <w:spacing w:before="240" w:after="80"/>
      </w:pPr>
      <w:r>
        <w:rPr>
          <w:rFonts w:ascii="Calibri" w:hAnsi="Calibri"/>
          <w:b/>
          <w:color w:val="4A5568"/>
          <w:sz w:val="24"/>
        </w:rPr>
        <w:t>9.2. Mohanram G-Score: Calidad de Crecimiento frente a la Industria (SIC 3571)</w:t>
      </w:r>
    </w:p>
    <w:p>
      <w:pPr>
        <w:spacing w:before="0" w:after="80" w:line="276" w:lineRule="auto"/>
      </w:pPr>
      <w:r>
        <w:rPr>
          <w:rFonts w:ascii="Calibri" w:hAnsi="Calibri"/>
          <w:i w:val="0"/>
          <w:color w:val="2D3748"/>
          <w:sz w:val="20"/>
        </w:rPr>
        <w:t>Desarrollado por el profesor Partha Mohanram (Universidad de Columbia), este modelo está diseñado específicamente para empresas de crecimiento y tecnología. A diferencia del F-Score (que compara a la empresa contra su propio pasado), el G-Score evalúa a la empresa frente a la mediana de su grupo de competidores directos (Hardware y Periféricos SIC 3571) en tres pilares: Rentabilidad Superior (ROA y CFROA por encima de la mediana sectorial), Estabilidad y Consistencia (baja varianza en retornos y ventas) e Inversión en Intangibles y Futuro (gasto en I+D y reinversión total sobre activos superiores a la industria, con disciplina en gastos generales).</w:t>
      </w:r>
    </w:p>
    <w:p>
      <w:pPr>
        <w:spacing w:before="0" w:after="80" w:line="276" w:lineRule="auto"/>
      </w:pPr>
      <w:r>
        <w:rPr>
          <w:rFonts w:ascii="Calibri" w:hAnsi="Calibri"/>
          <w:b/>
          <w:color w:val="2D3748"/>
          <w:sz w:val="20"/>
        </w:rPr>
        <w:t>• Puntaje Obtenido:</w:t>
      </w:r>
      <w:r>
        <w:rPr>
          <w:rFonts w:ascii="Calibri" w:hAnsi="Calibri"/>
          <w:i w:val="0"/>
          <w:color w:val="2D3748"/>
          <w:sz w:val="20"/>
        </w:rPr>
        <w:t xml:space="preserve"> 7 / 8 Puntos en LTM (6 / 8 en FY2025).</w:t>
      </w:r>
    </w:p>
    <w:p>
      <w:pPr>
        <w:spacing w:before="0" w:after="80" w:line="276" w:lineRule="auto"/>
      </w:pPr>
      <w:r>
        <w:rPr>
          <w:rFonts w:ascii="Calibri" w:hAnsi="Calibri"/>
          <w:b/>
          <w:color w:val="2D3748"/>
          <w:sz w:val="20"/>
        </w:rPr>
        <w:t>• ¿Qué significa este puntaje para el Inversor?</w:t>
      </w:r>
      <w:r>
        <w:rPr>
          <w:rFonts w:ascii="Calibri" w:hAnsi="Calibri"/>
          <w:i w:val="0"/>
          <w:color w:val="2D3748"/>
          <w:sz w:val="20"/>
        </w:rPr>
        <w:t xml:space="preserve"> Una puntuación de 7/8 acredita que Apple es un líder indiscutido de su industria que no sacrifica rentabilidad para crecer:</w:t>
      </w:r>
    </w:p>
    <w:p>
      <w:pPr>
        <w:spacing w:before="0" w:after="80" w:line="276" w:lineRule="auto"/>
      </w:pPr>
      <w:r>
        <w:rPr>
          <w:rFonts w:ascii="Calibri" w:hAnsi="Calibri"/>
          <w:b/>
          <w:color w:val="2D3748"/>
          <w:sz w:val="20"/>
        </w:rPr>
        <w:t xml:space="preserve">  1.</w:t>
      </w:r>
      <w:r>
        <w:rPr>
          <w:rFonts w:ascii="Calibri" w:hAnsi="Calibri"/>
          <w:i w:val="0"/>
          <w:color w:val="2D3748"/>
          <w:sz w:val="20"/>
        </w:rPr>
        <w:t xml:space="preserve"> Rentabilidad que quintuplica al sector: Su ROA (35.3%) y CFROA (40.2%) pulverizan las medianas de la industria (6.4% y 12.6% respectivamente).</w:t>
      </w:r>
    </w:p>
    <w:p>
      <w:pPr>
        <w:spacing w:before="0" w:after="80" w:line="276" w:lineRule="auto"/>
      </w:pPr>
      <w:r>
        <w:rPr>
          <w:rFonts w:ascii="Calibri" w:hAnsi="Calibri"/>
          <w:b/>
          <w:color w:val="2D3748"/>
          <w:sz w:val="20"/>
        </w:rPr>
        <w:t xml:space="preserve">  2.</w:t>
      </w:r>
      <w:r>
        <w:rPr>
          <w:rFonts w:ascii="Calibri" w:hAnsi="Calibri"/>
          <w:i w:val="0"/>
          <w:color w:val="2D3748"/>
          <w:sz w:val="20"/>
        </w:rPr>
        <w:t xml:space="preserve"> Persistencia en el Percentil Líder: Su rendimiento sobre activos se sitúa de forma persistente dentro del Percentil 75 superior de la industria, asegurando una estabilidad anticíclica.</w:t>
      </w:r>
    </w:p>
    <w:p>
      <w:pPr>
        <w:spacing w:before="0" w:after="80" w:line="276" w:lineRule="auto"/>
      </w:pPr>
      <w:r>
        <w:rPr>
          <w:rFonts w:ascii="Calibri" w:hAnsi="Calibri"/>
          <w:b/>
          <w:color w:val="2D3748"/>
          <w:sz w:val="20"/>
        </w:rPr>
        <w:t xml:space="preserve">  3.</w:t>
      </w:r>
      <w:r>
        <w:rPr>
          <w:rFonts w:ascii="Calibri" w:hAnsi="Calibri"/>
          <w:i w:val="0"/>
          <w:color w:val="2D3748"/>
          <w:sz w:val="20"/>
        </w:rPr>
        <w:t xml:space="preserve"> Blindaje del Foso Defensivo (Moat): Destina un 8.5% de sus activos a I+D (frente al 6.0% de la mediana) y mantiene una reinversión de capital ligero (Asset-Light) del 11.8% de sus activos, asegurando su liderazgo en silicio de 2nm e IA local.</w:t>
      </w:r>
    </w:p>
    <w:p>
      <w:pPr>
        <w:spacing w:before="0" w:after="80" w:line="276" w:lineRule="auto"/>
      </w:pPr>
      <w:r>
        <w:rPr>
          <w:rFonts w:ascii="Calibri" w:hAnsi="Calibri"/>
          <w:b/>
          <w:color w:val="2D3748"/>
          <w:sz w:val="20"/>
        </w:rPr>
        <w:t xml:space="preserve">  • Único punto no obtenido (Señal G8):</w:t>
      </w:r>
      <w:r>
        <w:rPr>
          <w:rFonts w:ascii="Calibri" w:hAnsi="Calibri"/>
          <w:i/>
          <w:color w:val="2D3748"/>
          <w:sz w:val="20"/>
        </w:rPr>
        <w:t xml:space="preserve"> Los gastos comerciales (SG&amp;A) crecieron levemente por encima de las ventas debido al despliegue global de marketing y soporte para Apple Intelligence.</w:t>
      </w:r>
    </w:p>
    <w:p>
      <w:pPr>
        <w:keepNext/>
        <w:spacing w:before="240" w:after="80"/>
      </w:pPr>
      <w:r>
        <w:rPr>
          <w:rFonts w:ascii="Calibri" w:hAnsi="Calibri"/>
          <w:b/>
          <w:color w:val="4A5568"/>
          <w:sz w:val="24"/>
        </w:rPr>
        <w:t>9.3. Benchmarking Competitivo del Sector Hardware (SIC 3571) &amp; Medianas Oficiales</w:t>
      </w:r>
    </w:p>
    <w:p>
      <w:pPr>
        <w:spacing w:before="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crecimiento:</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224"/>
        <w:gridCol w:w="1224"/>
        <w:gridCol w:w="1224"/>
        <w:gridCol w:w="1224"/>
        <w:gridCol w:w="1224"/>
        <w:gridCol w:w="1224"/>
        <w:gridCol w:w="1224"/>
        <w:gridCol w:w="1224"/>
      </w:tblGrid>
      <w:tr>
        <w:tc>
          <w:tcPr>
            <w:tcW w:type="dxa" w:w="1152"/>
            <w:shd w:fill="1B365D"/>
            <w:tcMar>
              <w:top w:w="100" w:type="dxa"/>
              <w:bottom w:w="100" w:type="dxa"/>
              <w:left w:w="120" w:type="dxa"/>
              <w:right w:w="120" w:type="dxa"/>
            </w:tcMar>
          </w:tcPr>
          <w:p>
            <w:pPr>
              <w:spacing w:before="0" w:after="0"/>
              <w:jc w:val="left"/>
            </w:pPr>
            <w:r>
              <w:rPr>
                <w:rFonts w:ascii="Calibri" w:hAnsi="Calibri"/>
                <w:b/>
                <w:color w:val="FFFFFF"/>
                <w:sz w:val="19"/>
              </w:rPr>
              <w:t>Ticker</w:t>
            </w:r>
          </w:p>
        </w:tc>
        <w:tc>
          <w:tcPr>
            <w:tcW w:type="dxa" w:w="2304"/>
            <w:shd w:fill="1B365D"/>
            <w:tcMar>
              <w:top w:w="100" w:type="dxa"/>
              <w:bottom w:w="100" w:type="dxa"/>
              <w:left w:w="120" w:type="dxa"/>
              <w:right w:w="120" w:type="dxa"/>
            </w:tcMar>
          </w:tcPr>
          <w:p>
            <w:pPr>
              <w:spacing w:before="0" w:after="0"/>
              <w:jc w:val="right"/>
            </w:pPr>
            <w:r>
              <w:rPr>
                <w:rFonts w:ascii="Calibri" w:hAnsi="Calibri"/>
                <w:b/>
                <w:color w:val="FFFFFF"/>
                <w:sz w:val="19"/>
              </w:rPr>
              <w:t>Empresa Competidora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Gasto I+D ($M)</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Intensidad I+D</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Inversión Total</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ROA (%)</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CFROA (%)</w:t>
            </w:r>
          </w:p>
        </w:tc>
      </w:tr>
      <w:tr>
        <w:tc>
          <w:tcPr>
            <w:tcW w:type="dxa" w:w="1152"/>
            <w:shd w:fill="FFFFFF"/>
            <w:tcMar>
              <w:top w:w="80" w:type="dxa"/>
              <w:bottom w:w="80" w:type="dxa"/>
              <w:left w:w="120" w:type="dxa"/>
              <w:right w:w="120" w:type="dxa"/>
            </w:tcMar>
          </w:tcPr>
          <w:p>
            <w:pPr>
              <w:spacing w:before="0" w:after="0"/>
              <w:jc w:val="left"/>
            </w:pPr>
            <w:r>
              <w:rPr>
                <w:rFonts w:ascii="Calibri" w:hAnsi="Calibri"/>
                <w:b w:val="0"/>
                <w:color w:val="2D3748"/>
                <w:sz w:val="18"/>
              </w:rPr>
              <w:t>AAPL</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Apple Inc.</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$466,823</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$42,901</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11.19%</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15.21%</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33.64%</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38.28%</w:t>
            </w:r>
          </w:p>
        </w:tc>
      </w:tr>
      <w:tr>
        <w:tc>
          <w:tcPr>
            <w:tcW w:type="dxa" w:w="1152"/>
            <w:shd w:fill="F7FAFC"/>
            <w:tcMar>
              <w:top w:w="80" w:type="dxa"/>
              <w:bottom w:w="80" w:type="dxa"/>
              <w:left w:w="120" w:type="dxa"/>
              <w:right w:w="120" w:type="dxa"/>
            </w:tcMar>
          </w:tcPr>
          <w:p>
            <w:pPr>
              <w:spacing w:before="0" w:after="0"/>
              <w:jc w:val="left"/>
            </w:pPr>
            <w:r>
              <w:rPr>
                <w:rFonts w:ascii="Calibri" w:hAnsi="Calibri"/>
                <w:b w:val="0"/>
                <w:color w:val="2D3748"/>
                <w:sz w:val="18"/>
              </w:rPr>
              <w:t>DELL</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Dell Technologies Inc.</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$151,197</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$3,641</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2.86%</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5.68%</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8.93%</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9.54%</w:t>
            </w:r>
          </w:p>
        </w:tc>
      </w:tr>
      <w:tr>
        <w:tc>
          <w:tcPr>
            <w:tcW w:type="dxa" w:w="1152"/>
            <w:shd w:fill="FFFFFF"/>
            <w:tcMar>
              <w:top w:w="80" w:type="dxa"/>
              <w:bottom w:w="80" w:type="dxa"/>
              <w:left w:w="120" w:type="dxa"/>
              <w:right w:w="120" w:type="dxa"/>
            </w:tcMar>
          </w:tcPr>
          <w:p>
            <w:pPr>
              <w:spacing w:before="0" w:after="0"/>
              <w:jc w:val="left"/>
            </w:pPr>
            <w:r>
              <w:rPr>
                <w:rFonts w:ascii="Calibri" w:hAnsi="Calibri"/>
                <w:b w:val="0"/>
                <w:color w:val="2D3748"/>
                <w:sz w:val="18"/>
              </w:rPr>
              <w:t>HPQ</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HP Inc.</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$59,162</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$1,611</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3.53%</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5.25%</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5.36%</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10.21%</w:t>
            </w:r>
          </w:p>
        </w:tc>
      </w:tr>
      <w:tr>
        <w:tc>
          <w:tcPr>
            <w:tcW w:type="dxa" w:w="1152"/>
            <w:shd w:fill="F7FAFC"/>
            <w:tcMar>
              <w:top w:w="80" w:type="dxa"/>
              <w:bottom w:w="80" w:type="dxa"/>
              <w:left w:w="120" w:type="dxa"/>
              <w:right w:w="120" w:type="dxa"/>
            </w:tcMar>
          </w:tcPr>
          <w:p>
            <w:pPr>
              <w:spacing w:before="0" w:after="0"/>
              <w:jc w:val="left"/>
            </w:pPr>
            <w:r>
              <w:rPr>
                <w:rFonts w:ascii="Calibri" w:hAnsi="Calibri"/>
                <w:b w:val="0"/>
                <w:color w:val="2D3748"/>
                <w:sz w:val="18"/>
              </w:rPr>
              <w:t>HPE</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Hewlett Packard Enterprise Co.</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$41,871</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$3,705</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4.43%</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7.47%</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3.34%</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8.01%</w:t>
            </w:r>
          </w:p>
        </w:tc>
      </w:tr>
      <w:tr>
        <w:tc>
          <w:tcPr>
            <w:tcW w:type="dxa" w:w="1152"/>
            <w:shd w:fill="FFFFFF"/>
            <w:tcMar>
              <w:top w:w="80" w:type="dxa"/>
              <w:bottom w:w="80" w:type="dxa"/>
              <w:left w:w="120" w:type="dxa"/>
              <w:right w:w="120" w:type="dxa"/>
            </w:tcMar>
          </w:tcPr>
          <w:p>
            <w:pPr>
              <w:spacing w:before="0" w:after="0"/>
              <w:jc w:val="left"/>
            </w:pPr>
            <w:r>
              <w:rPr>
                <w:rFonts w:ascii="Calibri" w:hAnsi="Calibri"/>
                <w:b w:val="0"/>
                <w:color w:val="2D3748"/>
                <w:sz w:val="18"/>
              </w:rPr>
              <w:t>SMCI</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Super Micro Computer Inc.</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$39,063</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$771</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2.58%</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3.12%</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7.45%</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-22.74%</w:t>
            </w:r>
          </w:p>
        </w:tc>
      </w:tr>
      <w:tr>
        <w:tc>
          <w:tcPr>
            <w:tcW w:type="dxa" w:w="1152"/>
            <w:shd w:fill="F7FAFC"/>
            <w:tcMar>
              <w:top w:w="80" w:type="dxa"/>
              <w:bottom w:w="80" w:type="dxa"/>
              <w:left w:w="120" w:type="dxa"/>
              <w:right w:w="120" w:type="dxa"/>
            </w:tcMar>
          </w:tcPr>
          <w:p>
            <w:pPr>
              <w:spacing w:before="0" w:after="0"/>
              <w:jc w:val="left"/>
            </w:pPr>
            <w:r>
              <w:rPr>
                <w:rFonts w:ascii="Calibri" w:hAnsi="Calibri"/>
                <w:b w:val="0"/>
                <w:color w:val="2D3748"/>
                <w:sz w:val="18"/>
              </w:rPr>
              <w:t>WDC</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Western Digital Corp.</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$12,919</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$1,161</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8.38%</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11.39%</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67.99%</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28.35%</w:t>
            </w:r>
          </w:p>
        </w:tc>
      </w:tr>
      <w:tr>
        <w:tc>
          <w:tcPr>
            <w:tcW w:type="dxa" w:w="1152"/>
            <w:shd w:fill="FFFFFF"/>
            <w:tcMar>
              <w:top w:w="80" w:type="dxa"/>
              <w:bottom w:w="80" w:type="dxa"/>
              <w:left w:w="120" w:type="dxa"/>
              <w:right w:w="120" w:type="dxa"/>
            </w:tcMar>
          </w:tcPr>
          <w:p>
            <w:pPr>
              <w:spacing w:before="0" w:after="0"/>
              <w:jc w:val="left"/>
            </w:pPr>
            <w:r>
              <w:rPr>
                <w:rFonts w:ascii="Calibri" w:hAnsi="Calibri"/>
                <w:b w:val="0"/>
                <w:color w:val="2D3748"/>
                <w:sz w:val="18"/>
              </w:rPr>
              <w:t>STX</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Seagate Technology Holdings plc</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$12,195</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$755</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7.57%</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13.28%</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31.93%</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36.84%</w:t>
            </w:r>
          </w:p>
        </w:tc>
      </w:tr>
      <w:tr>
        <w:tc>
          <w:tcPr>
            <w:tcW w:type="dxa" w:w="1152"/>
            <w:shd w:fill="F7FAFC"/>
            <w:tcMar>
              <w:top w:w="80" w:type="dxa"/>
              <w:bottom w:w="80" w:type="dxa"/>
              <w:left w:w="120" w:type="dxa"/>
              <w:right w:w="120" w:type="dxa"/>
            </w:tcMar>
          </w:tcPr>
          <w:p>
            <w:pPr>
              <w:spacing w:before="0" w:after="0"/>
              <w:jc w:val="left"/>
            </w:pPr>
            <w:r>
              <w:rPr>
                <w:rFonts w:ascii="Calibri" w:hAnsi="Calibri"/>
                <w:b w:val="0"/>
                <w:color w:val="2D3748"/>
                <w:sz w:val="18"/>
              </w:rPr>
              <w:t>NTAP</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NetApp Inc.</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$7,391</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$1,023</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9.34%</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11.59%</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12.94%</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17.32%</w:t>
            </w:r>
          </w:p>
        </w:tc>
      </w:tr>
      <w:tr>
        <w:tc>
          <w:tcPr>
            <w:tcW w:type="dxa" w:w="1152"/>
            <w:shd w:fill="FFFFFF"/>
            <w:tcMar>
              <w:top w:w="80" w:type="dxa"/>
              <w:bottom w:w="80" w:type="dxa"/>
              <w:left w:w="120" w:type="dxa"/>
              <w:right w:w="120" w:type="dxa"/>
            </w:tcMar>
          </w:tcPr>
          <w:p>
            <w:pPr>
              <w:spacing w:before="0" w:after="0"/>
              <w:jc w:val="left"/>
            </w:pPr>
            <w:r>
              <w:rPr>
                <w:rFonts w:ascii="Calibri" w:hAnsi="Calibri"/>
                <w:b w:val="0"/>
                <w:color w:val="2D3748"/>
                <w:sz w:val="18"/>
              </w:rPr>
              <w:t>MEDIANA</w:t>
            </w:r>
          </w:p>
        </w:tc>
        <w:tc>
          <w:tcPr>
            <w:tcW w:type="dxa" w:w="2304"/>
            <w:shd w:fill="FFFFFF"/>
            <w:tcMar>
              <w:top w:w="80" w:type="dxa"/>
              <w:bottom w:w="80" w:type="dxa"/>
              <w:left w:w="120" w:type="dxa"/>
              <w:right w:w="120" w:type="dxa"/>
            </w:tcMar>
          </w:tcPr>
          <w:p>
            <w:pPr>
              <w:spacing w:before="0" w:after="0"/>
              <w:jc w:val="right"/>
            </w:pPr>
            <w:r>
              <w:rPr>
                <w:rFonts w:ascii="Calibri" w:hAnsi="Calibri"/>
                <w:b w:val="0"/>
                <w:color w:val="2D3748"/>
                <w:sz w:val="18"/>
              </w:rPr>
              <w:t>Mediana Sector (G-Score)</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6.00%</w:t>
            </w:r>
          </w:p>
        </w:tc>
        <w:tc>
          <w:tcPr>
            <w:tcW w:type="dxa" w:w="1296"/>
            <w:shd w:fill="FFFFFF"/>
            <w:tcMar>
              <w:top w:w="80" w:type="dxa"/>
              <w:bottom w:w="80" w:type="dxa"/>
              <w:left w:w="120" w:type="dxa"/>
              <w:right w:w="120" w:type="dxa"/>
            </w:tcMar>
          </w:tcPr>
          <w:p>
            <w:pPr>
              <w:spacing w:before="0" w:after="0"/>
              <w:jc w:val="right"/>
            </w:pPr>
            <w:r>
              <w:rPr>
                <w:rFonts w:ascii="Calibri" w:hAnsi="Calibri"/>
                <w:b w:val="0"/>
                <w:color w:val="2D3748"/>
                <w:sz w:val="18"/>
              </w:rPr>
              <w:t>9.43%</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10.94%</w:t>
            </w:r>
          </w:p>
        </w:tc>
        <w:tc>
          <w:tcPr>
            <w:tcW w:type="dxa" w:w="1152"/>
            <w:shd w:fill="FFFFFF"/>
            <w:tcMar>
              <w:top w:w="80" w:type="dxa"/>
              <w:bottom w:w="80" w:type="dxa"/>
              <w:left w:w="120" w:type="dxa"/>
              <w:right w:w="120" w:type="dxa"/>
            </w:tcMar>
          </w:tcPr>
          <w:p>
            <w:pPr>
              <w:spacing w:before="0" w:after="0"/>
              <w:jc w:val="right"/>
            </w:pPr>
            <w:r>
              <w:rPr>
                <w:rFonts w:ascii="Calibri" w:hAnsi="Calibri"/>
                <w:b w:val="0"/>
                <w:color w:val="2D3748"/>
                <w:sz w:val="18"/>
              </w:rPr>
              <w:t>13.77%</w:t>
            </w:r>
          </w:p>
        </w:tc>
      </w:tr>
      <w:tr>
        <w:tc>
          <w:tcPr>
            <w:tcW w:type="dxa" w:w="1152"/>
            <w:shd w:fill="F7FAFC"/>
            <w:tcMar>
              <w:top w:w="80" w:type="dxa"/>
              <w:bottom w:w="80" w:type="dxa"/>
              <w:left w:w="120" w:type="dxa"/>
              <w:right w:w="120" w:type="dxa"/>
            </w:tcMar>
          </w:tcPr>
          <w:p>
            <w:pPr>
              <w:spacing w:before="0" w:after="0"/>
              <w:jc w:val="left"/>
            </w:pPr>
            <w:r>
              <w:rPr>
                <w:rFonts w:ascii="Calibri" w:hAnsi="Calibri"/>
                <w:b w:val="0"/>
                <w:color w:val="2D3748"/>
                <w:sz w:val="18"/>
              </w:rPr>
              <w:t>P75 LÍDER</w:t>
            </w:r>
          </w:p>
        </w:tc>
        <w:tc>
          <w:tcPr>
            <w:tcW w:type="dxa" w:w="2304"/>
            <w:shd w:fill="F7FAFC"/>
            <w:tcMar>
              <w:top w:w="80" w:type="dxa"/>
              <w:bottom w:w="80" w:type="dxa"/>
              <w:left w:w="120" w:type="dxa"/>
              <w:right w:w="120" w:type="dxa"/>
            </w:tcMar>
          </w:tcPr>
          <w:p>
            <w:pPr>
              <w:spacing w:before="0" w:after="0"/>
              <w:jc w:val="right"/>
            </w:pPr>
            <w:r>
              <w:rPr>
                <w:rFonts w:ascii="Calibri" w:hAnsi="Calibri"/>
                <w:b w:val="0"/>
                <w:color w:val="2D3748"/>
                <w:sz w:val="18"/>
              </w:rPr>
              <w:t>Percentil 75 (Cláusula G4)</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w:t>
            </w:r>
          </w:p>
        </w:tc>
        <w:tc>
          <w:tcPr>
            <w:tcW w:type="dxa" w:w="1296"/>
            <w:shd w:fill="F7FAFC"/>
            <w:tcMar>
              <w:top w:w="80" w:type="dxa"/>
              <w:bottom w:w="80" w:type="dxa"/>
              <w:left w:w="120" w:type="dxa"/>
              <w:right w:w="120" w:type="dxa"/>
            </w:tcMar>
          </w:tcPr>
          <w:p>
            <w:pPr>
              <w:spacing w:before="0" w:after="0"/>
              <w:jc w:val="right"/>
            </w:pPr>
            <w:r>
              <w:rPr>
                <w:rFonts w:ascii="Calibri" w:hAnsi="Calibri"/>
                <w:b w:val="0"/>
                <w:color w:val="2D3748"/>
                <w:sz w:val="18"/>
              </w:rPr>
              <w:t>-</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32.36%</w:t>
            </w:r>
          </w:p>
        </w:tc>
        <w:tc>
          <w:tcPr>
            <w:tcW w:type="dxa" w:w="1152"/>
            <w:shd w:fill="F7FAFC"/>
            <w:tcMar>
              <w:top w:w="80" w:type="dxa"/>
              <w:bottom w:w="80" w:type="dxa"/>
              <w:left w:w="120" w:type="dxa"/>
              <w:right w:w="120" w:type="dxa"/>
            </w:tcMar>
          </w:tcPr>
          <w:p>
            <w:pPr>
              <w:spacing w:before="0" w:after="0"/>
              <w:jc w:val="right"/>
            </w:pPr>
            <w:r>
              <w:rPr>
                <w:rFonts w:ascii="Calibri" w:hAnsi="Calibri"/>
                <w:b w:val="0"/>
                <w:color w:val="2D3748"/>
                <w:sz w:val="18"/>
              </w:rPr>
              <w:t>-</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2"/>
              </w:rPr>
              <w:t>📌 GUÍA PEDAGÓGICA: ¿CÓMO INTERPRETAR LAS ESCALAS DE SCORING CUANTITATIVO?</w:t>
              <w:br/>
            </w:r>
          </w:p>
          <w:p>
            <w:pPr>
              <w:spacing w:before="40" w:after="40" w:line="276" w:lineRule="auto"/>
            </w:pPr>
            <w:r>
              <w:rPr>
                <w:rFonts w:ascii="Calibri" w:hAnsi="Calibri"/>
                <w:color w:val="2D3748"/>
                <w:sz w:val="19"/>
              </w:rPr>
              <w:t>Escala Piotroski F-Score (0 a 9 Puntos):</w:t>
            </w:r>
          </w:p>
          <w:p>
            <w:pPr>
              <w:spacing w:before="40" w:after="40" w:line="276" w:lineRule="auto"/>
            </w:pPr>
            <w:r>
              <w:rPr>
                <w:rFonts w:ascii="Calibri" w:hAnsi="Calibri"/>
                <w:color w:val="2D3748"/>
                <w:sz w:val="19"/>
              </w:rPr>
              <w:t xml:space="preserve">  • 8 a 9 Puntos (Salud Excepcional): Empresas financieramente blindadas, con alta rentabilidad, excelente conversión de caja y nulo riesgo de quiebra.</w:t>
            </w:r>
          </w:p>
          <w:p>
            <w:pPr>
              <w:spacing w:before="40" w:after="40" w:line="276" w:lineRule="auto"/>
            </w:pPr>
            <w:r>
              <w:rPr>
                <w:rFonts w:ascii="Calibri" w:hAnsi="Calibri"/>
                <w:color w:val="2D3748"/>
                <w:sz w:val="19"/>
              </w:rPr>
              <w:t xml:space="preserve">  • 5 a 7 Puntos (Situación Estable): Solvencia adecuada pero con ciertas tensiones en márgenes, inventarios o apalancamiento operativo.</w:t>
            </w:r>
          </w:p>
          <w:p>
            <w:pPr>
              <w:spacing w:before="40" w:after="40" w:line="276" w:lineRule="auto"/>
            </w:pPr>
            <w:r>
              <w:rPr>
                <w:rFonts w:ascii="Calibri" w:hAnsi="Calibri"/>
                <w:color w:val="2D3748"/>
                <w:sz w:val="19"/>
              </w:rPr>
              <w:t xml:space="preserve">  • 0 a 4 Puntos (Alerta Financiera / Value Trap): Alto riesgo de estrés financiero, posible dilución de acciones o deterioro estructural del negocio.</w:t>
            </w:r>
          </w:p>
          <w:p>
            <w:pPr>
              <w:spacing w:before="40" w:after="40" w:line="276" w:lineRule="auto"/>
            </w:pPr>
            <w:r>
              <w:rPr>
                <w:rFonts w:ascii="Calibri" w:hAnsi="Calibri"/>
                <w:color w:val="2D3748"/>
                <w:sz w:val="19"/>
              </w:rPr>
              <w:t>Escala Mohanram G-Score (0 a 8 Puntos):</w:t>
            </w:r>
          </w:p>
          <w:p>
            <w:pPr>
              <w:spacing w:before="40" w:after="40" w:line="276" w:lineRule="auto"/>
            </w:pPr>
            <w:r>
              <w:rPr>
                <w:rFonts w:ascii="Calibri" w:hAnsi="Calibri"/>
                <w:color w:val="2D3748"/>
                <w:sz w:val="19"/>
              </w:rPr>
              <w:t xml:space="preserve">  • 6 a 8 Puntos (Crecimiento de Élite): Empresas que superan ampliamente a sus competidores en rentabilidad y que reinvierten en su foso defensivo sin descuidar la caja.</w:t>
            </w:r>
          </w:p>
          <w:p>
            <w:pPr>
              <w:spacing w:before="40" w:after="40" w:line="276" w:lineRule="auto"/>
            </w:pPr>
            <w:r>
              <w:rPr>
                <w:rFonts w:ascii="Calibri" w:hAnsi="Calibri"/>
                <w:color w:val="2D3748"/>
                <w:sz w:val="19"/>
              </w:rPr>
              <w:t xml:space="preserve">  • 4 a 5 Puntos (Crecimiento Promedio): Crecimiento alineado con el sector sin ventajas competitivas evidentes.</w:t>
            </w:r>
          </w:p>
          <w:p>
            <w:pPr>
              <w:spacing w:before="40" w:after="40" w:line="276" w:lineRule="auto"/>
            </w:pPr>
            <w:r>
              <w:rPr>
                <w:rFonts w:ascii="Calibri" w:hAnsi="Calibri"/>
                <w:color w:val="2D3748"/>
                <w:sz w:val="19"/>
              </w:rPr>
              <w:t xml:space="preserve">  • 0 a 3 Puntos (Crecimiento Destructor de Capital): Empresas que queman efectivo, pagan exceso de costes y pierden terreno frente a la mediana de su industria.</w:t>
            </w:r>
          </w:p>
        </w:tc>
      </w:tr>
    </w:tbl>
    <w:p>
      <w:pPr>
        <w:spacing w:after="8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EXCEPCIONAL (TOP 5% DE LA INDUSTRIA)</w:t>
              <w:br/>
            </w:r>
          </w:p>
          <w:p>
            <w:pPr>
              <w:spacing w:before="40" w:after="40" w:line="276" w:lineRule="auto"/>
            </w:pPr>
            <w:r>
              <w:rPr>
                <w:rFonts w:ascii="Calibri" w:hAnsi="Calibri"/>
                <w:color w:val="2D3748"/>
                <w:sz w:val="19"/>
              </w:rPr>
              <w:t>• Gross Profitability Total (LTM): 59.26% de los Activos Totales (vs. Mediana Sector: 25.69%).</w:t>
            </w:r>
          </w:p>
          <w:p>
            <w:pPr>
              <w:spacing w:before="40" w:after="40" w:line="276" w:lineRule="auto"/>
            </w:pPr>
            <w:r>
              <w:rPr>
                <w:rFonts w:ascii="Calibri" w:hAnsi="Calibri"/>
                <w:color w:val="2D3748"/>
                <w:sz w:val="19"/>
              </w:rPr>
              <w:t>• Gross Profitability Operativa Ex-Caja (LTM): 66.08% de los Activos Operativos (vs. Mediana Sector: 28.00%).</w:t>
            </w:r>
          </w:p>
          <w:p>
            <w:pPr>
              <w:spacing w:before="40" w:after="40" w:line="276" w:lineRule="auto"/>
            </w:pPr>
            <w:r>
              <w:rPr>
                <w:rFonts w:ascii="Calibri" w:hAnsi="Calibri"/>
                <w:color w:val="2D3748"/>
                <w:sz w:val="19"/>
              </w:rPr>
              <w:t>• Efecto Arrastre de Caja (Cash Drag): +6.82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+33.57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Top 5% de la Industria?: Significa que la rentabilidad de capital de AAPL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59.26%?: Por cada $1.00 de activo total en su balance general, la empresa produce $0.59 de utilidad bruta pura al año, antes de deducciones operativas, intereses e impuestos.</w:t>
            </w:r>
          </w:p>
          <w:p>
            <w:pPr>
              <w:spacing w:before="40" w:after="40" w:line="276" w:lineRule="auto"/>
            </w:pPr>
            <w:r>
              <w:rPr>
                <w:rFonts w:ascii="Calibri" w:hAnsi="Calibri"/>
                <w:color w:val="2D3748"/>
                <w:sz w:val="19"/>
              </w:rPr>
              <w:t>3. ¿Qué significa Ex-Caja (66.08%)?: Al excluir el efectivo y valores negociables líquidos (capital ocioso en caja que no produce bienes), el negocio puramente operativo rinde $0.66 por cada dólar en activos operativos en funcionamiento.</w:t>
            </w:r>
          </w:p>
          <w:p>
            <w:pPr>
              <w:spacing w:before="40" w:after="40" w:line="276" w:lineRule="auto"/>
            </w:pPr>
            <w:r>
              <w:rPr>
                <w:rFonts w:ascii="Calibri" w:hAnsi="Calibri"/>
                <w:color w:val="2D3748"/>
                <w:sz w:val="19"/>
              </w:rPr>
              <w:t>4. ¿Qué revela el Cash Drag (+6.82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54.34%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25.69%</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Top 5% de la Industria</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$0.59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66.08%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60.38%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28.00%</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$0.66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+6.82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+6.04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+2.31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+33.57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+28.65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+33.57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COMPOUNDER DE ÉLITE (MARGEN + VELOCIDAD)</w:t>
              <w:br/>
            </w:r>
          </w:p>
          <w:p>
            <w:pPr>
              <w:spacing w:before="40" w:after="40" w:line="276" w:lineRule="auto"/>
            </w:pPr>
            <w:r>
              <w:rPr>
                <w:rFonts w:ascii="Calibri" w:hAnsi="Calibri"/>
                <w:color w:val="2D3748"/>
                <w:sz w:val="19"/>
              </w:rPr>
              <w:t>Excelente perfil competitivo: combina un margen bruto por encima de la mediana sectorial (48.7% vs 23.0%) con una rotación de activos superior a sus competidores (1.22x vs 1.20x). La empresa ejerce simultáneamente poder de marca/precios y alta velocidad de conversión de capital.</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(48.65%) × Rotación de Activos (1.218x) = 59.26% (Concilia al 100.0% con GP/A de 59.26%).</w:t>
            </w:r>
          </w:p>
          <w:p>
            <w:pPr>
              <w:spacing w:before="40" w:after="40" w:line="276" w:lineRule="auto"/>
            </w:pPr>
            <w:r>
              <w:rPr>
                <w:rFonts w:ascii="Calibri" w:hAnsi="Calibri"/>
                <w:color w:val="2D3748"/>
                <w:sz w:val="19"/>
              </w:rPr>
              <w:t>• Identidad Operativa Ex-Caja: Margen Bruto (48.65%) × Rotación Ex-Caja (1.358x) = 66.08% (concilia con 66.08%).</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48.65%</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46.91%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22.96%</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+25.70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1.218x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1.158x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1.202x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+0.02x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1.358x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1.287x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1.323x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54.34%</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25.69%</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+33.57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+11.29 puntos porcentuales.</w:t>
            </w:r>
          </w:p>
          <w:p>
            <w:pPr>
              <w:spacing w:before="40" w:after="40" w:line="276" w:lineRule="auto"/>
            </w:pPr>
            <w:r>
              <w:rPr>
                <w:rFonts w:ascii="Calibri" w:hAnsi="Calibri"/>
                <w:color w:val="2D3748"/>
                <w:sz w:val="19"/>
              </w:rPr>
              <w:t>• Expansión a 5 Años (vs. FY2021): +15.72 puntos porcentuales.</w:t>
            </w:r>
          </w:p>
          <w:p>
            <w:pPr>
              <w:spacing w:before="40" w:after="40" w:line="276" w:lineRule="auto"/>
            </w:pPr>
            <w:r>
              <w:rPr>
                <w:rFonts w:ascii="Calibri" w:hAnsi="Calibri"/>
                <w:color w:val="2D3748"/>
                <w:sz w:val="19"/>
              </w:rPr>
              <w:t>• Coeficiente de Variación (CV GP/A): 0.079 (indica una trayectoria predecible y baja volatilidad operativa).</w:t>
            </w:r>
          </w:p>
          <w:p>
            <w:pPr>
              <w:spacing w:before="40" w:after="40" w:line="276" w:lineRule="auto"/>
            </w:pPr>
            <w:r>
              <w:rPr>
                <w:rFonts w:ascii="Calibri" w:hAnsi="Calibri"/>
                <w:color w:val="2D3748"/>
                <w:sz w:val="19"/>
              </w:rPr>
              <w:t>• Conclusión de Tendencia: Expansión estructural acelerada (+15.72 p.p. en 5 años); aumento continuo de la productividad pura de capital.</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66.08%</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+6.82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48.65%</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1.218x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54.34%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60.38%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+6.04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46.91%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1.158x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49.50%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53.93%</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+4.42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46.21%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1.071x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47.97%</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52.43%</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+4.46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44.13%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1.087x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48.41%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51.89%</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+3.48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43.31%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1.118x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43.54%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48.36%</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+4.81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41.78%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1.042x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32.41%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36.71%</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+4.31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38.23%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0.848x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29.07%</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33.97%</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+4.90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37.82%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0.769x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AAPL</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Apple Inc.</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 (Q3 FY26 Móvil)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66.08%</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48.65%</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1.22x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+33.57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NTAP</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NetApp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(Q1 FY27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47.90%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67.66%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70.99%</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0.67x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+22.20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HPQ</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HP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(Q3 FY26 Móvil)</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29.13%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31.32%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22.50%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1.29x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+3.43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#4</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DELL</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Dell Technologies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(Q2 FY27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27.79%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29.48%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23.41%</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1.19x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+2.10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#5</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STX</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Seagate Technology Hol</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(FY26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23.60%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26.52%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19.29%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1.22x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-2.10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#6</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HPE</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Hewlett Packard Enterp</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(Q3 FY26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18.38%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19.09%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36.70%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0.50x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-7.31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#7</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WDC</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Western Digital Corp.</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(FY26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16.87%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19.38%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18.10%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0.93x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-8.82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#8</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SMCI</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Super Micro Computer I</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(FY26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14.61%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15.71%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11.20%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1.30x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-11.08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25.69%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28.00%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22.96%</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1.20x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33.82%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+8.13 pp</w:t>
            </w:r>
          </w:p>
        </w:tc>
      </w:tr>
    </w:tbl>
    <w:p>
      <w:pPr>
        <w:spacing w:after="120"/>
      </w:pPr>
    </w:p>
    <w:p>
      <w:pPr>
        <w:spacing w:before="0" w:after="80" w:line="276" w:lineRule="auto"/>
      </w:pPr>
      <w:r>
        <w:rPr>
          <w:rFonts w:ascii="Calibri" w:hAnsi="Calibri"/>
          <w:i w:val="0"/>
          <w:color w:val="2D3748"/>
          <w:sz w:val="20"/>
        </w:rPr>
        <w:t>Conclusión Analítica: AAPL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Apple Inc. (AAPL)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WIDE MOAT / COMPOUNDING MACHINE (SPREAD +42.73 p.p.)</w:t>
              <w:br/>
            </w:r>
          </w:p>
          <w:p>
            <w:pPr>
              <w:spacing w:before="40" w:after="40" w:line="276" w:lineRule="auto"/>
            </w:pPr>
            <w:r>
              <w:rPr>
                <w:rFonts w:ascii="Calibri" w:hAnsi="Calibri"/>
                <w:color w:val="2D3748"/>
                <w:sz w:val="19"/>
              </w:rPr>
              <w:t>• ROC Greenblatt Tangible (LTM): 305.85% (Productividad operativa pura pre-tax sobre capital de trabajo y PP&amp;E físico instalado).</w:t>
            </w:r>
          </w:p>
          <w:p>
            <w:pPr>
              <w:spacing w:before="40" w:after="40" w:line="276" w:lineRule="auto"/>
            </w:pPr>
            <w:r>
              <w:rPr>
                <w:rFonts w:ascii="Calibri" w:hAnsi="Calibri"/>
                <w:color w:val="2D3748"/>
                <w:sz w:val="19"/>
              </w:rPr>
              <w:t>• ROIC Ajustado por Intangibles (LTM): 52.72% frente a un ROIC contable tradicional de 68.22%.</w:t>
            </w:r>
          </w:p>
          <w:p>
            <w:pPr>
              <w:spacing w:before="40" w:after="40" w:line="276" w:lineRule="auto"/>
            </w:pPr>
            <w:r>
              <w:rPr>
                <w:rFonts w:ascii="Calibri" w:hAnsi="Calibri"/>
                <w:color w:val="2D3748"/>
                <w:sz w:val="19"/>
              </w:rPr>
              <w:t>• Costo Promedio Ponderado de Capital (WACC): 9.98% (Costo del Equity Ke: 10.08%, Deuda Neta Kd: 4.10%).</w:t>
            </w:r>
          </w:p>
          <w:p>
            <w:pPr>
              <w:spacing w:before="40" w:after="40" w:line="276" w:lineRule="auto"/>
            </w:pPr>
            <w:r>
              <w:rPr>
                <w:rFonts w:ascii="Calibri" w:hAnsi="Calibri"/>
                <w:color w:val="2D3748"/>
                <w:sz w:val="19"/>
              </w:rPr>
              <w:t>• Spread Económico Neto: +42.73 p.p. de rendimiento por encima del costo de capital exigido por el mercado.</w:t>
            </w:r>
          </w:p>
          <w:p>
            <w:pPr>
              <w:spacing w:before="40" w:after="40" w:line="276" w:lineRule="auto"/>
            </w:pPr>
            <w:r>
              <w:rPr>
                <w:rFonts w:ascii="Calibri" w:hAnsi="Calibri"/>
                <w:color w:val="2D3748"/>
                <w:sz w:val="19"/>
              </w:rPr>
              <w:t>• Stock de Intangibles Fuera de Balance: $79,597.8M capitalizados en innovación y amortizados económicamente a 4 años.</w:t>
            </w:r>
          </w:p>
          <w:p>
            <w:pPr>
              <w:spacing w:before="40" w:after="40" w:line="276" w:lineRule="auto"/>
            </w:pPr>
            <w:r>
              <w:rPr>
                <w:rFonts w:ascii="Calibri" w:hAnsi="Calibri"/>
                <w:color w:val="2D3748"/>
                <w:sz w:val="19"/>
              </w:rPr>
              <w:t>• Tesis de Foso Defensivo: El negocio genera un retorno ajustado (52.72%) que supera a su costo de capital (9.98%) por más de 42.73 puntos porcentuales. Por cada $100 de capital empleado, crea más de $15 anuales de valor neto por encima de lo que exigen accionistas y bancos. Posee ventajas competitivas profundas y duraderas.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$334.36</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$4,931,911.0M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4.96%</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1.08</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Apple Inc., el ROC de 305.85% refleja un modelo extraordinariamente Asset-Light, donde los proveedores financian el circulante (NWC negativo) y la manufactura es subcontratada, rindiendo más de $3.00 de beneficio por dólar instalado.</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FY2025</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$154,859.0M</w:t>
            </w:r>
          </w:p>
        </w:tc>
        <w:tc>
          <w:tcPr>
            <w:tcW w:type="dxa" w:w="1958"/>
            <w:tcMar>
              <w:top w:w="60" w:type="dxa"/>
              <w:bottom w:w="60" w:type="dxa"/>
              <w:left w:w="100" w:type="dxa"/>
              <w:right w:w="100" w:type="dxa"/>
            </w:tcMar>
          </w:tcPr>
          <w:p>
            <w:r>
              <w:rPr>
                <w:sz w:val="17"/>
              </w:rPr>
              <w:t>$133,050.0M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$110,274.0M</w:t>
            </w:r>
          </w:p>
        </w:tc>
        <w:tc>
          <w:tcPr>
            <w:tcW w:type="dxa" w:w="1958"/>
            <w:tcMar>
              <w:top w:w="60" w:type="dxa"/>
              <w:bottom w:w="60" w:type="dxa"/>
              <w:left w:w="100" w:type="dxa"/>
              <w:right w:w="100" w:type="dxa"/>
            </w:tcMar>
            <w:shd w:fill="F7FAFC"/>
          </w:tcPr>
          <w:p>
            <w:r>
              <w:rPr>
                <w:sz w:val="17"/>
              </w:rPr>
              <w:t>$112,023.0M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$138,319.0M</w:t>
            </w:r>
          </w:p>
        </w:tc>
        <w:tc>
          <w:tcPr>
            <w:tcW w:type="dxa" w:w="1958"/>
            <w:tcMar>
              <w:top w:w="60" w:type="dxa"/>
              <w:bottom w:w="60" w:type="dxa"/>
              <w:left w:w="100" w:type="dxa"/>
              <w:right w:w="100" w:type="dxa"/>
            </w:tcMar>
          </w:tcPr>
          <w:p>
            <w:r>
              <w:rPr>
                <w:sz w:val="17"/>
              </w:rPr>
              <w:t>$153,281.0M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-$28,045.0M</w:t>
            </w:r>
          </w:p>
        </w:tc>
        <w:tc>
          <w:tcPr>
            <w:tcW w:type="dxa" w:w="1958"/>
            <w:tcMar>
              <w:top w:w="60" w:type="dxa"/>
              <w:bottom w:w="60" w:type="dxa"/>
              <w:left w:w="100" w:type="dxa"/>
              <w:right w:w="100" w:type="dxa"/>
            </w:tcMar>
            <w:shd w:fill="F7FAFC"/>
          </w:tcPr>
          <w:p>
            <w:r>
              <w:rPr>
                <w:sz w:val="17"/>
              </w:rPr>
              <w:t>-$41,258.0M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$51,431.0M</w:t>
            </w:r>
          </w:p>
        </w:tc>
        <w:tc>
          <w:tcPr>
            <w:tcW w:type="dxa" w:w="1958"/>
            <w:tcMar>
              <w:top w:w="60" w:type="dxa"/>
              <w:bottom w:w="60" w:type="dxa"/>
              <w:left w:w="100" w:type="dxa"/>
              <w:right w:w="100" w:type="dxa"/>
            </w:tcMar>
          </w:tcPr>
          <w:p>
            <w:r>
              <w:rPr>
                <w:sz w:val="17"/>
              </w:rPr>
              <w:t>$49,834.0M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$51,431.0M</w:t>
            </w:r>
          </w:p>
        </w:tc>
        <w:tc>
          <w:tcPr>
            <w:tcW w:type="dxa" w:w="1958"/>
            <w:tcMar>
              <w:top w:w="60" w:type="dxa"/>
              <w:bottom w:w="60" w:type="dxa"/>
              <w:left w:w="100" w:type="dxa"/>
              <w:right w:w="100" w:type="dxa"/>
            </w:tcMar>
            <w:shd w:fill="F7FAFC"/>
          </w:tcPr>
          <w:p>
            <w:r>
              <w:rPr>
                <w:sz w:val="17"/>
              </w:rPr>
              <w:t>$49,834.0M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$50,632.5M</w:t>
            </w:r>
          </w:p>
        </w:tc>
        <w:tc>
          <w:tcPr>
            <w:tcW w:type="dxa" w:w="1958"/>
            <w:tcMar>
              <w:top w:w="60" w:type="dxa"/>
              <w:bottom w:w="60" w:type="dxa"/>
              <w:left w:w="100" w:type="dxa"/>
              <w:right w:w="100" w:type="dxa"/>
            </w:tcMar>
          </w:tcPr>
          <w:p>
            <w:r>
              <w:rPr>
                <w:sz w:val="17"/>
              </w:rPr>
              <w:t>$47,757.0M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305.85%</w:t>
            </w:r>
          </w:p>
        </w:tc>
        <w:tc>
          <w:tcPr>
            <w:tcW w:type="dxa" w:w="1958"/>
            <w:tcMar>
              <w:top w:w="60" w:type="dxa"/>
              <w:bottom w:w="60" w:type="dxa"/>
              <w:left w:w="100" w:type="dxa"/>
              <w:right w:w="100" w:type="dxa"/>
            </w:tcMar>
            <w:shd w:fill="F7FAFC"/>
            <w:shd w:fill="E2EFDA"/>
          </w:tcPr>
          <w:p>
            <w:r>
              <w:rPr>
                <w:b/>
                <w:sz w:val="17"/>
              </w:rPr>
              <w:t>278.60%</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(68.22%) sobrestima el retorno al mandar el I+D a gasto inmediato. La metodología Damodaran capitaliza la innovación a 4 años, reconociendo $79,597.8M de intangibles fuera de balance. El ROIC Ajustado resultante de 52.72% refleja el verdadero retorno económico sobre el capital total invertido ($267,312.2M).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FY2021</w:t>
            </w:r>
          </w:p>
        </w:tc>
        <w:tc>
          <w:tcPr>
            <w:tcW w:type="dxa" w:w="1399"/>
            <w:tcMar>
              <w:top w:w="60" w:type="dxa"/>
              <w:bottom w:w="60" w:type="dxa"/>
              <w:left w:w="100" w:type="dxa"/>
              <w:right w:w="100" w:type="dxa"/>
            </w:tcMar>
          </w:tcPr>
          <w:p>
            <w:r>
              <w:rPr>
                <w:b/>
                <w:sz w:val="17"/>
              </w:rPr>
              <w:t>255.50%</w:t>
            </w:r>
          </w:p>
        </w:tc>
        <w:tc>
          <w:tcPr>
            <w:tcW w:type="dxa" w:w="1399"/>
            <w:tcMar>
              <w:top w:w="60" w:type="dxa"/>
              <w:bottom w:w="60" w:type="dxa"/>
              <w:left w:w="100" w:type="dxa"/>
              <w:right w:w="100" w:type="dxa"/>
            </w:tcMar>
          </w:tcPr>
          <w:p>
            <w:r>
              <w:rPr>
                <w:b/>
                <w:sz w:val="17"/>
              </w:rPr>
              <w:t>48.51%</w:t>
            </w:r>
          </w:p>
        </w:tc>
        <w:tc>
          <w:tcPr>
            <w:tcW w:type="dxa" w:w="1399"/>
            <w:tcMar>
              <w:top w:w="60" w:type="dxa"/>
              <w:bottom w:w="60" w:type="dxa"/>
              <w:left w:w="100" w:type="dxa"/>
              <w:right w:w="100" w:type="dxa"/>
            </w:tcMar>
          </w:tcPr>
          <w:p>
            <w:r>
              <w:rPr>
                <w:b/>
                <w:sz w:val="17"/>
              </w:rPr>
              <w:t>41.96%</w:t>
            </w:r>
          </w:p>
        </w:tc>
        <w:tc>
          <w:tcPr>
            <w:tcW w:type="dxa" w:w="1399"/>
            <w:tcMar>
              <w:top w:w="60" w:type="dxa"/>
              <w:bottom w:w="60" w:type="dxa"/>
              <w:left w:w="100" w:type="dxa"/>
              <w:right w:w="100" w:type="dxa"/>
            </w:tcMar>
          </w:tcPr>
          <w:p>
            <w:r>
              <w:rPr>
                <w:sz w:val="17"/>
              </w:rPr>
              <w:t>$47,645.5M</w:t>
            </w:r>
          </w:p>
        </w:tc>
        <w:tc>
          <w:tcPr>
            <w:tcW w:type="dxa" w:w="1399"/>
            <w:tcMar>
              <w:top w:w="60" w:type="dxa"/>
              <w:bottom w:w="60" w:type="dxa"/>
              <w:left w:w="100" w:type="dxa"/>
              <w:right w:w="100" w:type="dxa"/>
            </w:tcMar>
          </w:tcPr>
          <w:p>
            <w:r>
              <w:rPr>
                <w:sz w:val="17"/>
              </w:rPr>
              <w:t>$239,010.2M</w:t>
            </w:r>
          </w:p>
        </w:tc>
        <w:tc>
          <w:tcPr>
            <w:tcW w:type="dxa" w:w="1399"/>
            <w:tcMar>
              <w:top w:w="60" w:type="dxa"/>
              <w:bottom w:w="60" w:type="dxa"/>
              <w:left w:w="100" w:type="dxa"/>
              <w:right w:w="100" w:type="dxa"/>
            </w:tcMar>
          </w:tcPr>
          <w:p>
            <w:r>
              <w:rPr>
                <w:b/>
                <w:sz w:val="17"/>
              </w:rPr>
              <w:t>+31.97 p.p.</w:t>
            </w:r>
          </w:p>
        </w:tc>
      </w:tr>
      <w:tr>
        <w:tc>
          <w:tcPr>
            <w:tcW w:type="dxa" w:w="1399"/>
            <w:tcMar>
              <w:top w:w="60" w:type="dxa"/>
              <w:bottom w:w="60" w:type="dxa"/>
              <w:left w:w="100" w:type="dxa"/>
              <w:right w:w="100" w:type="dxa"/>
            </w:tcMar>
            <w:shd w:fill="F7FAFC"/>
          </w:tcPr>
          <w:p>
            <w:r>
              <w:rPr>
                <w:sz w:val="17"/>
              </w:rPr>
              <w:t>FY2022</w:t>
            </w:r>
          </w:p>
        </w:tc>
        <w:tc>
          <w:tcPr>
            <w:tcW w:type="dxa" w:w="1399"/>
            <w:tcMar>
              <w:top w:w="60" w:type="dxa"/>
              <w:bottom w:w="60" w:type="dxa"/>
              <w:left w:w="100" w:type="dxa"/>
              <w:right w:w="100" w:type="dxa"/>
            </w:tcMar>
            <w:shd w:fill="F7FAFC"/>
          </w:tcPr>
          <w:p>
            <w:r>
              <w:rPr>
                <w:b/>
                <w:sz w:val="17"/>
              </w:rPr>
              <w:t>292.89%</w:t>
            </w:r>
          </w:p>
        </w:tc>
        <w:tc>
          <w:tcPr>
            <w:tcW w:type="dxa" w:w="1399"/>
            <w:tcMar>
              <w:top w:w="60" w:type="dxa"/>
              <w:bottom w:w="60" w:type="dxa"/>
              <w:left w:w="100" w:type="dxa"/>
              <w:right w:w="100" w:type="dxa"/>
            </w:tcMar>
            <w:shd w:fill="F7FAFC"/>
          </w:tcPr>
          <w:p>
            <w:r>
              <w:rPr>
                <w:b/>
                <w:sz w:val="17"/>
              </w:rPr>
              <w:t>51.80%</w:t>
            </w:r>
          </w:p>
        </w:tc>
        <w:tc>
          <w:tcPr>
            <w:tcW w:type="dxa" w:w="1399"/>
            <w:tcMar>
              <w:top w:w="60" w:type="dxa"/>
              <w:bottom w:w="60" w:type="dxa"/>
              <w:left w:w="100" w:type="dxa"/>
              <w:right w:w="100" w:type="dxa"/>
            </w:tcMar>
            <w:shd w:fill="F7FAFC"/>
          </w:tcPr>
          <w:p>
            <w:r>
              <w:rPr>
                <w:b/>
                <w:sz w:val="17"/>
              </w:rPr>
              <w:t>43.73%</w:t>
            </w:r>
          </w:p>
        </w:tc>
        <w:tc>
          <w:tcPr>
            <w:tcW w:type="dxa" w:w="1399"/>
            <w:tcMar>
              <w:top w:w="60" w:type="dxa"/>
              <w:bottom w:w="60" w:type="dxa"/>
              <w:left w:w="100" w:type="dxa"/>
              <w:right w:w="100" w:type="dxa"/>
            </w:tcMar>
            <w:shd w:fill="F7FAFC"/>
          </w:tcPr>
          <w:p>
            <w:r>
              <w:rPr>
                <w:sz w:val="17"/>
              </w:rPr>
              <w:t>$56,116.8M</w:t>
            </w:r>
          </w:p>
        </w:tc>
        <w:tc>
          <w:tcPr>
            <w:tcW w:type="dxa" w:w="1399"/>
            <w:tcMar>
              <w:top w:w="60" w:type="dxa"/>
              <w:bottom w:w="60" w:type="dxa"/>
              <w:left w:w="100" w:type="dxa"/>
              <w:right w:w="100" w:type="dxa"/>
            </w:tcMar>
            <w:shd w:fill="F7FAFC"/>
          </w:tcPr>
          <w:p>
            <w:r>
              <w:rPr>
                <w:sz w:val="17"/>
              </w:rPr>
              <w:t>$245,105.6M</w:t>
            </w:r>
          </w:p>
        </w:tc>
        <w:tc>
          <w:tcPr>
            <w:tcW w:type="dxa" w:w="1399"/>
            <w:tcMar>
              <w:top w:w="60" w:type="dxa"/>
              <w:bottom w:w="60" w:type="dxa"/>
              <w:left w:w="100" w:type="dxa"/>
              <w:right w:w="100" w:type="dxa"/>
            </w:tcMar>
            <w:shd w:fill="F7FAFC"/>
          </w:tcPr>
          <w:p>
            <w:r>
              <w:rPr>
                <w:b/>
                <w:sz w:val="17"/>
              </w:rPr>
              <w:t>+33.75 p.p.</w:t>
            </w:r>
          </w:p>
        </w:tc>
      </w:tr>
      <w:tr>
        <w:tc>
          <w:tcPr>
            <w:tcW w:type="dxa" w:w="1399"/>
            <w:tcMar>
              <w:top w:w="60" w:type="dxa"/>
              <w:bottom w:w="60" w:type="dxa"/>
              <w:left w:w="100" w:type="dxa"/>
              <w:right w:w="100" w:type="dxa"/>
            </w:tcMar>
          </w:tcPr>
          <w:p>
            <w:r>
              <w:rPr>
                <w:sz w:val="17"/>
              </w:rPr>
              <w:t>FY2023</w:t>
            </w:r>
          </w:p>
        </w:tc>
        <w:tc>
          <w:tcPr>
            <w:tcW w:type="dxa" w:w="1399"/>
            <w:tcMar>
              <w:top w:w="60" w:type="dxa"/>
              <w:bottom w:w="60" w:type="dxa"/>
              <w:left w:w="100" w:type="dxa"/>
              <w:right w:w="100" w:type="dxa"/>
            </w:tcMar>
          </w:tcPr>
          <w:p>
            <w:r>
              <w:rPr>
                <w:b/>
                <w:sz w:val="17"/>
              </w:rPr>
              <w:t>266.34%</w:t>
            </w:r>
          </w:p>
        </w:tc>
        <w:tc>
          <w:tcPr>
            <w:tcW w:type="dxa" w:w="1399"/>
            <w:tcMar>
              <w:top w:w="60" w:type="dxa"/>
              <w:bottom w:w="60" w:type="dxa"/>
              <w:left w:w="100" w:type="dxa"/>
              <w:right w:w="100" w:type="dxa"/>
            </w:tcMar>
          </w:tcPr>
          <w:p>
            <w:r>
              <w:rPr>
                <w:b/>
                <w:sz w:val="17"/>
              </w:rPr>
              <w:t>52.21%</w:t>
            </w:r>
          </w:p>
        </w:tc>
        <w:tc>
          <w:tcPr>
            <w:tcW w:type="dxa" w:w="1399"/>
            <w:tcMar>
              <w:top w:w="60" w:type="dxa"/>
              <w:bottom w:w="60" w:type="dxa"/>
              <w:left w:w="100" w:type="dxa"/>
              <w:right w:w="100" w:type="dxa"/>
            </w:tcMar>
          </w:tcPr>
          <w:p>
            <w:r>
              <w:rPr>
                <w:b/>
                <w:sz w:val="17"/>
              </w:rPr>
              <w:t>42.55%</w:t>
            </w:r>
          </w:p>
        </w:tc>
        <w:tc>
          <w:tcPr>
            <w:tcW w:type="dxa" w:w="1399"/>
            <w:tcMar>
              <w:top w:w="60" w:type="dxa"/>
              <w:bottom w:w="60" w:type="dxa"/>
              <w:left w:w="100" w:type="dxa"/>
              <w:right w:w="100" w:type="dxa"/>
            </w:tcMar>
          </w:tcPr>
          <w:p>
            <w:r>
              <w:rPr>
                <w:sz w:val="17"/>
              </w:rPr>
              <w:t>$65,248.2M</w:t>
            </w:r>
          </w:p>
        </w:tc>
        <w:tc>
          <w:tcPr>
            <w:tcW w:type="dxa" w:w="1399"/>
            <w:tcMar>
              <w:top w:w="60" w:type="dxa"/>
              <w:bottom w:w="60" w:type="dxa"/>
              <w:left w:w="100" w:type="dxa"/>
              <w:right w:w="100" w:type="dxa"/>
            </w:tcMar>
          </w:tcPr>
          <w:p>
            <w:r>
              <w:rPr>
                <w:sz w:val="17"/>
              </w:rPr>
              <w:t>$247,376.0M</w:t>
            </w:r>
          </w:p>
        </w:tc>
        <w:tc>
          <w:tcPr>
            <w:tcW w:type="dxa" w:w="1399"/>
            <w:tcMar>
              <w:top w:w="60" w:type="dxa"/>
              <w:bottom w:w="60" w:type="dxa"/>
              <w:left w:w="100" w:type="dxa"/>
              <w:right w:w="100" w:type="dxa"/>
            </w:tcMar>
          </w:tcPr>
          <w:p>
            <w:r>
              <w:rPr>
                <w:b/>
                <w:sz w:val="17"/>
              </w:rPr>
              <w:t>+32.57 p.p.</w:t>
            </w:r>
          </w:p>
        </w:tc>
      </w:tr>
      <w:tr>
        <w:tc>
          <w:tcPr>
            <w:tcW w:type="dxa" w:w="1399"/>
            <w:tcMar>
              <w:top w:w="60" w:type="dxa"/>
              <w:bottom w:w="60" w:type="dxa"/>
              <w:left w:w="100" w:type="dxa"/>
              <w:right w:w="100" w:type="dxa"/>
            </w:tcMar>
            <w:shd w:fill="F7FAFC"/>
          </w:tcPr>
          <w:p>
            <w:r>
              <w:rPr>
                <w:sz w:val="17"/>
              </w:rPr>
              <w:t>FY2024</w:t>
            </w:r>
          </w:p>
        </w:tc>
        <w:tc>
          <w:tcPr>
            <w:tcW w:type="dxa" w:w="1399"/>
            <w:tcMar>
              <w:top w:w="60" w:type="dxa"/>
              <w:bottom w:w="60" w:type="dxa"/>
              <w:left w:w="100" w:type="dxa"/>
              <w:right w:w="100" w:type="dxa"/>
            </w:tcMar>
            <w:shd w:fill="F7FAFC"/>
          </w:tcPr>
          <w:p>
            <w:r>
              <w:rPr>
                <w:b/>
                <w:sz w:val="17"/>
              </w:rPr>
              <w:t>275.67%</w:t>
            </w:r>
          </w:p>
        </w:tc>
        <w:tc>
          <w:tcPr>
            <w:tcW w:type="dxa" w:w="1399"/>
            <w:tcMar>
              <w:top w:w="60" w:type="dxa"/>
              <w:bottom w:w="60" w:type="dxa"/>
              <w:left w:w="100" w:type="dxa"/>
              <w:right w:w="100" w:type="dxa"/>
            </w:tcMar>
            <w:shd w:fill="F7FAFC"/>
          </w:tcPr>
          <w:p>
            <w:r>
              <w:rPr>
                <w:b/>
                <w:sz w:val="17"/>
              </w:rPr>
              <w:t>52.44%</w:t>
            </w:r>
          </w:p>
        </w:tc>
        <w:tc>
          <w:tcPr>
            <w:tcW w:type="dxa" w:w="1399"/>
            <w:tcMar>
              <w:top w:w="60" w:type="dxa"/>
              <w:bottom w:w="60" w:type="dxa"/>
              <w:left w:w="100" w:type="dxa"/>
              <w:right w:w="100" w:type="dxa"/>
            </w:tcMar>
            <w:shd w:fill="F7FAFC"/>
          </w:tcPr>
          <w:p>
            <w:r>
              <w:rPr>
                <w:b/>
                <w:sz w:val="17"/>
              </w:rPr>
              <w:t>40.04%</w:t>
            </w:r>
          </w:p>
        </w:tc>
        <w:tc>
          <w:tcPr>
            <w:tcW w:type="dxa" w:w="1399"/>
            <w:tcMar>
              <w:top w:w="60" w:type="dxa"/>
              <w:bottom w:w="60" w:type="dxa"/>
              <w:left w:w="100" w:type="dxa"/>
              <w:right w:w="100" w:type="dxa"/>
            </w:tcMar>
            <w:shd w:fill="F7FAFC"/>
          </w:tcPr>
          <w:p>
            <w:r>
              <w:rPr>
                <w:sz w:val="17"/>
              </w:rPr>
              <w:t>$72,410.2M</w:t>
            </w:r>
          </w:p>
        </w:tc>
        <w:tc>
          <w:tcPr>
            <w:tcW w:type="dxa" w:w="1399"/>
            <w:tcMar>
              <w:top w:w="60" w:type="dxa"/>
              <w:bottom w:w="60" w:type="dxa"/>
              <w:left w:w="100" w:type="dxa"/>
              <w:right w:w="100" w:type="dxa"/>
            </w:tcMar>
            <w:shd w:fill="F7FAFC"/>
          </w:tcPr>
          <w:p>
            <w:r>
              <w:rPr>
                <w:sz w:val="17"/>
              </w:rPr>
              <w:t>$247,173.8M</w:t>
            </w:r>
          </w:p>
        </w:tc>
        <w:tc>
          <w:tcPr>
            <w:tcW w:type="dxa" w:w="1399"/>
            <w:tcMar>
              <w:top w:w="60" w:type="dxa"/>
              <w:bottom w:w="60" w:type="dxa"/>
              <w:left w:w="100" w:type="dxa"/>
              <w:right w:w="100" w:type="dxa"/>
            </w:tcMar>
            <w:shd w:fill="F7FAFC"/>
          </w:tcPr>
          <w:p>
            <w:r>
              <w:rPr>
                <w:b/>
                <w:sz w:val="17"/>
              </w:rPr>
              <w:t>+30.06 p.p.</w:t>
            </w:r>
          </w:p>
        </w:tc>
      </w:tr>
      <w:tr>
        <w:tc>
          <w:tcPr>
            <w:tcW w:type="dxa" w:w="1399"/>
            <w:tcMar>
              <w:top w:w="60" w:type="dxa"/>
              <w:bottom w:w="60" w:type="dxa"/>
              <w:left w:w="100" w:type="dxa"/>
              <w:right w:w="100" w:type="dxa"/>
            </w:tcMar>
          </w:tcPr>
          <w:p>
            <w:r>
              <w:rPr>
                <w:sz w:val="17"/>
              </w:rPr>
              <w:t>FY2025</w:t>
            </w:r>
          </w:p>
        </w:tc>
        <w:tc>
          <w:tcPr>
            <w:tcW w:type="dxa" w:w="1399"/>
            <w:tcMar>
              <w:top w:w="60" w:type="dxa"/>
              <w:bottom w:w="60" w:type="dxa"/>
              <w:left w:w="100" w:type="dxa"/>
              <w:right w:w="100" w:type="dxa"/>
            </w:tcMar>
          </w:tcPr>
          <w:p>
            <w:r>
              <w:rPr>
                <w:b/>
                <w:sz w:val="17"/>
              </w:rPr>
              <w:t>278.60%</w:t>
            </w:r>
          </w:p>
        </w:tc>
        <w:tc>
          <w:tcPr>
            <w:tcW w:type="dxa" w:w="1399"/>
            <w:tcMar>
              <w:top w:w="60" w:type="dxa"/>
              <w:bottom w:w="60" w:type="dxa"/>
              <w:left w:w="100" w:type="dxa"/>
              <w:right w:w="100" w:type="dxa"/>
            </w:tcMar>
          </w:tcPr>
          <w:p>
            <w:r>
              <w:rPr>
                <w:b/>
                <w:sz w:val="17"/>
              </w:rPr>
              <w:t>66.13%</w:t>
            </w:r>
          </w:p>
        </w:tc>
        <w:tc>
          <w:tcPr>
            <w:tcW w:type="dxa" w:w="1399"/>
            <w:tcMar>
              <w:top w:w="60" w:type="dxa"/>
              <w:bottom w:w="60" w:type="dxa"/>
              <w:left w:w="100" w:type="dxa"/>
              <w:right w:w="100" w:type="dxa"/>
            </w:tcMar>
          </w:tcPr>
          <w:p>
            <w:r>
              <w:rPr>
                <w:b/>
                <w:sz w:val="17"/>
              </w:rPr>
              <w:t>48.15%</w:t>
            </w:r>
          </w:p>
        </w:tc>
        <w:tc>
          <w:tcPr>
            <w:tcW w:type="dxa" w:w="1399"/>
            <w:tcMar>
              <w:top w:w="60" w:type="dxa"/>
              <w:bottom w:w="60" w:type="dxa"/>
              <w:left w:w="100" w:type="dxa"/>
              <w:right w:w="100" w:type="dxa"/>
            </w:tcMar>
          </w:tcPr>
          <w:p>
            <w:r>
              <w:rPr>
                <w:sz w:val="17"/>
              </w:rPr>
              <w:t>$79,597.8M</w:t>
            </w:r>
          </w:p>
        </w:tc>
        <w:tc>
          <w:tcPr>
            <w:tcW w:type="dxa" w:w="1399"/>
            <w:tcMar>
              <w:top w:w="60" w:type="dxa"/>
              <w:bottom w:w="60" w:type="dxa"/>
              <w:left w:w="100" w:type="dxa"/>
              <w:right w:w="100" w:type="dxa"/>
            </w:tcMar>
          </w:tcPr>
          <w:p>
            <w:r>
              <w:rPr>
                <w:sz w:val="17"/>
              </w:rPr>
              <w:t>$245,795.5M</w:t>
            </w:r>
          </w:p>
        </w:tc>
        <w:tc>
          <w:tcPr>
            <w:tcW w:type="dxa" w:w="1399"/>
            <w:tcMar>
              <w:top w:w="60" w:type="dxa"/>
              <w:bottom w:w="60" w:type="dxa"/>
              <w:left w:w="100" w:type="dxa"/>
              <w:right w:w="100" w:type="dxa"/>
            </w:tcMar>
          </w:tcPr>
          <w:p>
            <w:r>
              <w:rPr>
                <w:b/>
                <w:sz w:val="17"/>
              </w:rPr>
              <w:t>+38.17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305.85%</w:t>
            </w:r>
          </w:p>
        </w:tc>
        <w:tc>
          <w:tcPr>
            <w:tcW w:type="dxa" w:w="1399"/>
            <w:tcMar>
              <w:top w:w="60" w:type="dxa"/>
              <w:bottom w:w="60" w:type="dxa"/>
              <w:left w:w="100" w:type="dxa"/>
              <w:right w:w="100" w:type="dxa"/>
            </w:tcMar>
            <w:shd w:fill="F7FAFC"/>
            <w:shd w:fill="E2EFDA"/>
          </w:tcPr>
          <w:p>
            <w:r>
              <w:rPr>
                <w:b/>
                <w:sz w:val="17"/>
              </w:rPr>
              <w:t>68.22%</w:t>
            </w:r>
          </w:p>
        </w:tc>
        <w:tc>
          <w:tcPr>
            <w:tcW w:type="dxa" w:w="1399"/>
            <w:tcMar>
              <w:top w:w="60" w:type="dxa"/>
              <w:bottom w:w="60" w:type="dxa"/>
              <w:left w:w="100" w:type="dxa"/>
              <w:right w:w="100" w:type="dxa"/>
            </w:tcMar>
            <w:shd w:fill="F7FAFC"/>
            <w:shd w:fill="E2EFDA"/>
          </w:tcPr>
          <w:p>
            <w:r>
              <w:rPr>
                <w:b/>
                <w:sz w:val="17"/>
              </w:rPr>
              <w:t>52.72%</w:t>
            </w:r>
          </w:p>
        </w:tc>
        <w:tc>
          <w:tcPr>
            <w:tcW w:type="dxa" w:w="1399"/>
            <w:tcMar>
              <w:top w:w="60" w:type="dxa"/>
              <w:bottom w:w="60" w:type="dxa"/>
              <w:left w:w="100" w:type="dxa"/>
              <w:right w:w="100" w:type="dxa"/>
            </w:tcMar>
            <w:shd w:fill="F7FAFC"/>
            <w:shd w:fill="E2EFDA"/>
          </w:tcPr>
          <w:p>
            <w:r>
              <w:rPr>
                <w:sz w:val="17"/>
              </w:rPr>
              <w:t>$79,597.8M</w:t>
            </w:r>
          </w:p>
        </w:tc>
        <w:tc>
          <w:tcPr>
            <w:tcW w:type="dxa" w:w="1399"/>
            <w:tcMar>
              <w:top w:w="60" w:type="dxa"/>
              <w:bottom w:w="60" w:type="dxa"/>
              <w:left w:w="100" w:type="dxa"/>
              <w:right w:w="100" w:type="dxa"/>
            </w:tcMar>
            <w:shd w:fill="F7FAFC"/>
            <w:shd w:fill="E2EFDA"/>
          </w:tcPr>
          <w:p>
            <w:r>
              <w:rPr>
                <w:sz w:val="17"/>
              </w:rPr>
              <w:t>$267,312.2M</w:t>
            </w:r>
          </w:p>
        </w:tc>
        <w:tc>
          <w:tcPr>
            <w:tcW w:type="dxa" w:w="1399"/>
            <w:tcMar>
              <w:top w:w="60" w:type="dxa"/>
              <w:bottom w:w="60" w:type="dxa"/>
              <w:left w:w="100" w:type="dxa"/>
              <w:right w:w="100" w:type="dxa"/>
            </w:tcMar>
            <w:shd w:fill="F7FAFC"/>
            <w:shd w:fill="E2EFDA"/>
          </w:tcPr>
          <w:p>
            <w:r>
              <w:rPr>
                <w:b/>
                <w:sz w:val="17"/>
              </w:rPr>
              <w:t>+42.73 p.p.</w:t>
            </w:r>
          </w:p>
        </w:tc>
      </w:tr>
    </w:tbl>
    <w:p>
      <w:pPr>
        <w:spacing w:before="160" w:after="160"/>
      </w:pPr>
      <w:r>
        <w:rPr>
          <w:i/>
          <w:sz w:val="18"/>
        </w:rPr>
        <w:t>Matriz de Sensibilidad de Vida Útil: N-1 (3a) = 55.07% | N Base (4a) = 52.72% | N+1 (5a) = 50.80%.</w:t>
      </w:r>
    </w:p>
    <w:p>
      <w:pPr>
        <w:pStyle w:val="Heading2"/>
      </w:pPr>
      <w:r>
        <w:t>11.4. Creación de Valor Económico (EVA) y Durabilidad del Foso Defensivo</w:t>
      </w:r>
    </w:p>
    <w:p>
      <w:r>
        <w:rPr>
          <w:sz w:val="19"/>
        </w:rPr>
        <w:t>Spread Económico = ROIC Ajustado (52.72%) − WACC (9.98%) = +42.73 p.p.</w:t>
        <w:br/>
        <w:t>Dictamen: 🏰 WIDE MOAT / COMPOUNDING MACHINE. La compañía supera holgadamente su costo de capital, generando más de $42.73 anuales de valor neto por cada $100 invertidos.</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4.96%</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1.08</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10.08%</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4.10%</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17.3%.</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9.98%</w:t>
            </w:r>
          </w:p>
        </w:tc>
        <w:tc>
          <w:tcPr>
            <w:tcW w:type="dxa" w:w="1958"/>
            <w:tcMar>
              <w:top w:w="60" w:type="dxa"/>
              <w:bottom w:w="60" w:type="dxa"/>
              <w:left w:w="100" w:type="dxa"/>
              <w:right w:w="100" w:type="dxa"/>
            </w:tcMar>
            <w:shd w:fill="F7FAFC"/>
          </w:tcPr>
          <w:p>
            <w:r>
              <w:rPr>
                <w:sz w:val="17"/>
              </w:rPr>
              <w:t>Mediana Sector (8.80%)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305.85%</w:t>
            </w:r>
          </w:p>
        </w:tc>
        <w:tc>
          <w:tcPr>
            <w:tcW w:type="dxa" w:w="1958"/>
            <w:tcMar>
              <w:top w:w="60" w:type="dxa"/>
              <w:bottom w:w="60" w:type="dxa"/>
              <w:left w:w="100" w:type="dxa"/>
              <w:right w:w="100" w:type="dxa"/>
            </w:tcMar>
            <w:shd w:fill="E2EFDA"/>
          </w:tcPr>
          <w:p>
            <w:r>
              <w:rPr>
                <w:sz w:val="17"/>
              </w:rPr>
              <w:t>Mediana Sector (29.85%)</w:t>
            </w:r>
          </w:p>
        </w:tc>
        <w:tc>
          <w:tcPr>
            <w:tcW w:type="dxa" w:w="1958"/>
            <w:tcMar>
              <w:top w:w="60" w:type="dxa"/>
              <w:bottom w:w="60" w:type="dxa"/>
              <w:left w:w="100" w:type="dxa"/>
              <w:right w:w="100" w:type="dxa"/>
            </w:tcMar>
            <w:shd w:fill="E2EFDA"/>
          </w:tcPr>
          <w:p>
            <w:r>
              <w:rPr>
                <w:sz w:val="17"/>
              </w:rPr>
              <w:t>Asset-Light extremo; supera al sector por ++276.0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$50,632.5M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mínima gracias a capital de trabajo negativo.</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68.22%</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$79,597.8M</w:t>
            </w:r>
          </w:p>
        </w:tc>
        <w:tc>
          <w:tcPr>
            <w:tcW w:type="dxa" w:w="1958"/>
            <w:tcMar>
              <w:top w:w="60" w:type="dxa"/>
              <w:bottom w:w="60" w:type="dxa"/>
              <w:left w:w="100" w:type="dxa"/>
              <w:right w:w="100" w:type="dxa"/>
            </w:tcMar>
            <w:shd w:fill="F7FAFC"/>
          </w:tcPr>
          <w:p>
            <w:r>
              <w:rPr>
                <w:sz w:val="17"/>
              </w:rPr>
              <w:t>Amortización 4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$267,312.2M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52.72%</w:t>
            </w:r>
          </w:p>
        </w:tc>
        <w:tc>
          <w:tcPr>
            <w:tcW w:type="dxa" w:w="1958"/>
            <w:tcMar>
              <w:top w:w="60" w:type="dxa"/>
              <w:bottom w:w="60" w:type="dxa"/>
              <w:left w:w="100" w:type="dxa"/>
              <w:right w:w="100" w:type="dxa"/>
            </w:tcMar>
            <w:shd w:fill="F7FAFC"/>
            <w:shd w:fill="E2EFDA"/>
          </w:tcPr>
          <w:p>
            <w:r>
              <w:rPr>
                <w:b/>
                <w:sz w:val="17"/>
              </w:rPr>
              <w:t>Mediana Sector (18.30%)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+42.73 pp</w:t>
            </w:r>
          </w:p>
        </w:tc>
        <w:tc>
          <w:tcPr>
            <w:tcW w:type="dxa" w:w="1958"/>
            <w:tcMar>
              <w:top w:w="60" w:type="dxa"/>
              <w:bottom w:w="60" w:type="dxa"/>
              <w:left w:w="100" w:type="dxa"/>
              <w:right w:w="100" w:type="dxa"/>
            </w:tcMar>
            <w:shd w:fill="E2EFDA"/>
          </w:tcPr>
          <w:p>
            <w:r>
              <w:rPr>
                <w:b/>
                <w:sz w:val="17"/>
              </w:rPr>
              <w:t>Mediana Sector (+9.20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WIDE MOAT / COMPOUNDING MACHINE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MÁXIMA CALIDAD CONTABLE</w:t>
        <w:br/>
      </w:r>
      <w:r>
        <w:rPr>
          <w:rFonts w:ascii="Calibri" w:hAnsi="Calibri"/>
          <w:color w:val="2D3748"/>
          <w:sz w:val="19"/>
        </w:rPr>
        <w:t>• Ratio Sloan de Devengos: -4.79% [ALTA CONVERSIÓN DE CAJA (CFO &gt; NI)]</w:t>
        <w:br/>
        <w:t>• Montier C-Score: 1 / 6 [RIESGO MUY BAJO / LIBROS LIMPIOS (&lt; 5% PROBABILIDAD DE MANIPULACIÓN)]</w:t>
        <w:br/>
        <w:t>• Dictamen: CALIDAD DE BENEFICIOS EXCEPCIONAL (GRADO INSTITUCIONAL): Conversión de efectivo sobresaliente (Ratio Sloan: -4.79%, CFO &gt; Utilidad Neta), devengos negativos que suprimen riesgo de inflación contable y Montier C-Score de 1/6 que descarta maniobras de manipulación deliberada.</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$128,930.0M</w:t>
            </w:r>
          </w:p>
        </w:tc>
        <w:tc>
          <w:tcPr>
            <w:tcW w:type="dxa" w:w="1094"/>
            <w:tcMar>
              <w:top w:w="60" w:type="dxa"/>
              <w:bottom w:w="60" w:type="dxa"/>
              <w:left w:w="60" w:type="dxa"/>
              <w:right w:w="60" w:type="dxa"/>
            </w:tcMar>
          </w:tcPr>
          <w:p>
            <w:pPr>
              <w:jc w:val="right"/>
            </w:pPr>
            <w:r>
              <w:rPr>
                <w:rFonts w:ascii="Calibri" w:hAnsi="Calibri"/>
                <w:b w:val="0"/>
                <w:sz w:val="17"/>
              </w:rPr>
              <w:t>$112,010.0M</w:t>
            </w:r>
          </w:p>
        </w:tc>
        <w:tc>
          <w:tcPr>
            <w:tcW w:type="dxa" w:w="1094"/>
            <w:tcMar>
              <w:top w:w="60" w:type="dxa"/>
              <w:bottom w:w="60" w:type="dxa"/>
              <w:left w:w="60" w:type="dxa"/>
              <w:right w:w="60" w:type="dxa"/>
            </w:tcMar>
          </w:tcPr>
          <w:p>
            <w:pPr>
              <w:jc w:val="right"/>
            </w:pPr>
            <w:r>
              <w:rPr>
                <w:rFonts w:ascii="Calibri" w:hAnsi="Calibri"/>
                <w:b w:val="0"/>
                <w:sz w:val="17"/>
              </w:rPr>
              <w:t>$93,736.0M</w:t>
            </w:r>
          </w:p>
        </w:tc>
        <w:tc>
          <w:tcPr>
            <w:tcW w:type="dxa" w:w="1094"/>
            <w:tcMar>
              <w:top w:w="60" w:type="dxa"/>
              <w:bottom w:w="60" w:type="dxa"/>
              <w:left w:w="60" w:type="dxa"/>
              <w:right w:w="60" w:type="dxa"/>
            </w:tcMar>
          </w:tcPr>
          <w:p>
            <w:pPr>
              <w:jc w:val="right"/>
            </w:pPr>
            <w:r>
              <w:rPr>
                <w:rFonts w:ascii="Calibri" w:hAnsi="Calibri"/>
                <w:b w:val="0"/>
                <w:sz w:val="17"/>
              </w:rPr>
              <w:t>$96,995.0M</w:t>
            </w:r>
          </w:p>
        </w:tc>
        <w:tc>
          <w:tcPr>
            <w:tcW w:type="dxa" w:w="1094"/>
            <w:tcMar>
              <w:top w:w="60" w:type="dxa"/>
              <w:bottom w:w="60" w:type="dxa"/>
              <w:left w:w="60" w:type="dxa"/>
              <w:right w:w="60" w:type="dxa"/>
            </w:tcMar>
          </w:tcPr>
          <w:p>
            <w:pPr>
              <w:jc w:val="right"/>
            </w:pPr>
            <w:r>
              <w:rPr>
                <w:rFonts w:ascii="Calibri" w:hAnsi="Calibri"/>
                <w:b w:val="0"/>
                <w:sz w:val="17"/>
              </w:rPr>
              <w:t>$99,803.0M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$146,724.0M</w:t>
            </w:r>
          </w:p>
        </w:tc>
        <w:tc>
          <w:tcPr>
            <w:tcW w:type="dxa" w:w="1094"/>
            <w:tcMar>
              <w:top w:w="60" w:type="dxa"/>
              <w:bottom w:w="60" w:type="dxa"/>
              <w:left w:w="60" w:type="dxa"/>
              <w:right w:w="60" w:type="dxa"/>
            </w:tcMar>
          </w:tcPr>
          <w:p>
            <w:pPr>
              <w:jc w:val="right"/>
            </w:pPr>
            <w:r>
              <w:rPr>
                <w:rFonts w:ascii="Calibri" w:hAnsi="Calibri"/>
                <w:b w:val="0"/>
                <w:sz w:val="17"/>
              </w:rPr>
              <w:t>$111,482.0M</w:t>
            </w:r>
          </w:p>
        </w:tc>
        <w:tc>
          <w:tcPr>
            <w:tcW w:type="dxa" w:w="1094"/>
            <w:tcMar>
              <w:top w:w="60" w:type="dxa"/>
              <w:bottom w:w="60" w:type="dxa"/>
              <w:left w:w="60" w:type="dxa"/>
              <w:right w:w="60" w:type="dxa"/>
            </w:tcMar>
          </w:tcPr>
          <w:p>
            <w:pPr>
              <w:jc w:val="right"/>
            </w:pPr>
            <w:r>
              <w:rPr>
                <w:rFonts w:ascii="Calibri" w:hAnsi="Calibri"/>
                <w:b w:val="0"/>
                <w:sz w:val="17"/>
              </w:rPr>
              <w:t>$118,254.0M</w:t>
            </w:r>
          </w:p>
        </w:tc>
        <w:tc>
          <w:tcPr>
            <w:tcW w:type="dxa" w:w="1094"/>
            <w:tcMar>
              <w:top w:w="60" w:type="dxa"/>
              <w:bottom w:w="60" w:type="dxa"/>
              <w:left w:w="60" w:type="dxa"/>
              <w:right w:w="60" w:type="dxa"/>
            </w:tcMar>
          </w:tcPr>
          <w:p>
            <w:pPr>
              <w:jc w:val="right"/>
            </w:pPr>
            <w:r>
              <w:rPr>
                <w:rFonts w:ascii="Calibri" w:hAnsi="Calibri"/>
                <w:b w:val="0"/>
                <w:sz w:val="17"/>
              </w:rPr>
              <w:t>$110,543.0M</w:t>
            </w:r>
          </w:p>
        </w:tc>
        <w:tc>
          <w:tcPr>
            <w:tcW w:type="dxa" w:w="1094"/>
            <w:tcMar>
              <w:top w:w="60" w:type="dxa"/>
              <w:bottom w:w="60" w:type="dxa"/>
              <w:left w:w="60" w:type="dxa"/>
              <w:right w:w="60" w:type="dxa"/>
            </w:tcMar>
          </w:tcPr>
          <w:p>
            <w:pPr>
              <w:jc w:val="right"/>
            </w:pPr>
            <w:r>
              <w:rPr>
                <w:rFonts w:ascii="Calibri" w:hAnsi="Calibri"/>
                <w:b w:val="0"/>
                <w:sz w:val="17"/>
              </w:rPr>
              <w:t>$122,151.0M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$-17,794.0M</w:t>
            </w:r>
          </w:p>
        </w:tc>
        <w:tc>
          <w:tcPr>
            <w:tcW w:type="dxa" w:w="1094"/>
            <w:tcMar>
              <w:top w:w="60" w:type="dxa"/>
              <w:bottom w:w="60" w:type="dxa"/>
              <w:left w:w="60" w:type="dxa"/>
              <w:right w:w="60" w:type="dxa"/>
            </w:tcMar>
          </w:tcPr>
          <w:p>
            <w:pPr>
              <w:jc w:val="right"/>
            </w:pPr>
            <w:r>
              <w:rPr>
                <w:rFonts w:ascii="Calibri" w:hAnsi="Calibri"/>
                <w:b/>
                <w:sz w:val="17"/>
              </w:rPr>
              <w:t>$+528.0M</w:t>
            </w:r>
          </w:p>
        </w:tc>
        <w:tc>
          <w:tcPr>
            <w:tcW w:type="dxa" w:w="1094"/>
            <w:tcMar>
              <w:top w:w="60" w:type="dxa"/>
              <w:bottom w:w="60" w:type="dxa"/>
              <w:left w:w="60" w:type="dxa"/>
              <w:right w:w="60" w:type="dxa"/>
            </w:tcMar>
          </w:tcPr>
          <w:p>
            <w:pPr>
              <w:jc w:val="right"/>
            </w:pPr>
            <w:r>
              <w:rPr>
                <w:rFonts w:ascii="Calibri" w:hAnsi="Calibri"/>
                <w:b/>
                <w:sz w:val="17"/>
              </w:rPr>
              <w:t>$-24,518.0M</w:t>
            </w:r>
          </w:p>
        </w:tc>
        <w:tc>
          <w:tcPr>
            <w:tcW w:type="dxa" w:w="1094"/>
            <w:tcMar>
              <w:top w:w="60" w:type="dxa"/>
              <w:bottom w:w="60" w:type="dxa"/>
              <w:left w:w="60" w:type="dxa"/>
              <w:right w:w="60" w:type="dxa"/>
            </w:tcMar>
          </w:tcPr>
          <w:p>
            <w:pPr>
              <w:jc w:val="right"/>
            </w:pPr>
            <w:r>
              <w:rPr>
                <w:rFonts w:ascii="Calibri" w:hAnsi="Calibri"/>
                <w:b/>
                <w:sz w:val="17"/>
              </w:rPr>
              <w:t>$-13,548.0M</w:t>
            </w:r>
          </w:p>
        </w:tc>
        <w:tc>
          <w:tcPr>
            <w:tcW w:type="dxa" w:w="1094"/>
            <w:tcMar>
              <w:top w:w="60" w:type="dxa"/>
              <w:bottom w:w="60" w:type="dxa"/>
              <w:left w:w="60" w:type="dxa"/>
              <w:right w:w="60" w:type="dxa"/>
            </w:tcMar>
          </w:tcPr>
          <w:p>
            <w:pPr>
              <w:jc w:val="right"/>
            </w:pPr>
            <w:r>
              <w:rPr>
                <w:rFonts w:ascii="Calibri" w:hAnsi="Calibri"/>
                <w:b/>
                <w:sz w:val="17"/>
              </w:rPr>
              <w:t>$-22,348.0M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$371,253.5M</w:t>
            </w:r>
          </w:p>
        </w:tc>
        <w:tc>
          <w:tcPr>
            <w:tcW w:type="dxa" w:w="1094"/>
            <w:tcMar>
              <w:top w:w="60" w:type="dxa"/>
              <w:bottom w:w="60" w:type="dxa"/>
              <w:left w:w="60" w:type="dxa"/>
              <w:right w:w="60" w:type="dxa"/>
            </w:tcMar>
          </w:tcPr>
          <w:p>
            <w:pPr>
              <w:jc w:val="right"/>
            </w:pPr>
            <w:r>
              <w:rPr>
                <w:rFonts w:ascii="Calibri" w:hAnsi="Calibri"/>
                <w:b w:val="0"/>
                <w:sz w:val="17"/>
              </w:rPr>
              <w:t>$362,110.5M</w:t>
            </w:r>
          </w:p>
        </w:tc>
        <w:tc>
          <w:tcPr>
            <w:tcW w:type="dxa" w:w="1094"/>
            <w:tcMar>
              <w:top w:w="60" w:type="dxa"/>
              <w:bottom w:w="60" w:type="dxa"/>
              <w:left w:w="60" w:type="dxa"/>
              <w:right w:w="60" w:type="dxa"/>
            </w:tcMar>
          </w:tcPr>
          <w:p>
            <w:pPr>
              <w:jc w:val="right"/>
            </w:pPr>
            <w:r>
              <w:rPr>
                <w:rFonts w:ascii="Calibri" w:hAnsi="Calibri"/>
                <w:b w:val="0"/>
                <w:sz w:val="17"/>
              </w:rPr>
              <w:t>$358,781.5M</w:t>
            </w:r>
          </w:p>
        </w:tc>
        <w:tc>
          <w:tcPr>
            <w:tcW w:type="dxa" w:w="1094"/>
            <w:tcMar>
              <w:top w:w="60" w:type="dxa"/>
              <w:bottom w:w="60" w:type="dxa"/>
              <w:left w:w="60" w:type="dxa"/>
              <w:right w:w="60" w:type="dxa"/>
            </w:tcMar>
          </w:tcPr>
          <w:p>
            <w:pPr>
              <w:jc w:val="right"/>
            </w:pPr>
            <w:r>
              <w:rPr>
                <w:rFonts w:ascii="Calibri" w:hAnsi="Calibri"/>
                <w:b w:val="0"/>
                <w:sz w:val="17"/>
              </w:rPr>
              <w:t>$352,669.0M</w:t>
            </w:r>
          </w:p>
        </w:tc>
        <w:tc>
          <w:tcPr>
            <w:tcW w:type="dxa" w:w="1094"/>
            <w:tcMar>
              <w:top w:w="60" w:type="dxa"/>
              <w:bottom w:w="60" w:type="dxa"/>
              <w:left w:w="60" w:type="dxa"/>
              <w:right w:w="60" w:type="dxa"/>
            </w:tcMar>
          </w:tcPr>
          <w:p>
            <w:pPr>
              <w:jc w:val="right"/>
            </w:pPr>
            <w:r>
              <w:rPr>
                <w:rFonts w:ascii="Calibri" w:hAnsi="Calibri"/>
                <w:b w:val="0"/>
                <w:sz w:val="17"/>
              </w:rPr>
              <w:t>$351,878.5M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-4.79%</w:t>
            </w:r>
          </w:p>
        </w:tc>
        <w:tc>
          <w:tcPr>
            <w:tcW w:type="dxa" w:w="1094"/>
            <w:tcMar>
              <w:top w:w="60" w:type="dxa"/>
              <w:bottom w:w="60" w:type="dxa"/>
              <w:left w:w="60" w:type="dxa"/>
              <w:right w:w="60" w:type="dxa"/>
            </w:tcMar>
          </w:tcPr>
          <w:p>
            <w:pPr>
              <w:jc w:val="right"/>
            </w:pPr>
            <w:r>
              <w:rPr>
                <w:rFonts w:ascii="Calibri" w:hAnsi="Calibri"/>
                <w:b/>
                <w:sz w:val="17"/>
              </w:rPr>
              <w:t>+0.15%</w:t>
            </w:r>
          </w:p>
        </w:tc>
        <w:tc>
          <w:tcPr>
            <w:tcW w:type="dxa" w:w="1094"/>
            <w:tcMar>
              <w:top w:w="60" w:type="dxa"/>
              <w:bottom w:w="60" w:type="dxa"/>
              <w:left w:w="60" w:type="dxa"/>
              <w:right w:w="60" w:type="dxa"/>
            </w:tcMar>
          </w:tcPr>
          <w:p>
            <w:pPr>
              <w:jc w:val="right"/>
            </w:pPr>
            <w:r>
              <w:rPr>
                <w:rFonts w:ascii="Calibri" w:hAnsi="Calibri"/>
                <w:b/>
                <w:sz w:val="17"/>
              </w:rPr>
              <w:t>-6.83%</w:t>
            </w:r>
          </w:p>
        </w:tc>
        <w:tc>
          <w:tcPr>
            <w:tcW w:type="dxa" w:w="1094"/>
            <w:tcMar>
              <w:top w:w="60" w:type="dxa"/>
              <w:bottom w:w="60" w:type="dxa"/>
              <w:left w:w="60" w:type="dxa"/>
              <w:right w:w="60" w:type="dxa"/>
            </w:tcMar>
          </w:tcPr>
          <w:p>
            <w:pPr>
              <w:jc w:val="right"/>
            </w:pPr>
            <w:r>
              <w:rPr>
                <w:rFonts w:ascii="Calibri" w:hAnsi="Calibri"/>
                <w:b/>
                <w:sz w:val="17"/>
              </w:rPr>
              <w:t>-3.84%</w:t>
            </w:r>
          </w:p>
        </w:tc>
        <w:tc>
          <w:tcPr>
            <w:tcW w:type="dxa" w:w="1094"/>
            <w:tcMar>
              <w:top w:w="60" w:type="dxa"/>
              <w:bottom w:w="60" w:type="dxa"/>
              <w:left w:w="60" w:type="dxa"/>
              <w:right w:w="60" w:type="dxa"/>
            </w:tcMar>
          </w:tcPr>
          <w:p>
            <w:pPr>
              <w:jc w:val="right"/>
            </w:pPr>
            <w:r>
              <w:rPr>
                <w:rFonts w:ascii="Calibri" w:hAnsi="Calibri"/>
                <w:b/>
                <w:sz w:val="17"/>
              </w:rPr>
              <w:t>-6.35%</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Apple Inc. generó $146.7B de CFO frente a $128.9B de beneficio neto, arrojando una tasa de conversión de caja del 113.8% (cada dólar reportado está respaldado por $1.14 de efectivo). El Ratio Sloan de -4.79%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-33.2%</w:t>
            </w:r>
          </w:p>
        </w:tc>
        <w:tc>
          <w:tcPr>
            <w:tcW w:type="dxa" w:w="1440"/>
            <w:tcMar>
              <w:top w:w="60" w:type="dxa"/>
              <w:bottom w:w="60" w:type="dxa"/>
              <w:left w:w="80" w:type="dxa"/>
              <w:right w:w="80" w:type="dxa"/>
            </w:tcMar>
          </w:tcPr>
          <w:p>
            <w:pPr>
              <w:jc w:val="center"/>
            </w:pPr>
            <w:r>
              <w:rPr>
                <w:rFonts w:ascii="Calibri" w:hAnsi="Calibri"/>
                <w:sz w:val="17"/>
              </w:rPr>
              <w:t>DSO: 24.5d (-10.3d)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+85.5%</w:t>
            </w:r>
          </w:p>
        </w:tc>
        <w:tc>
          <w:tcPr>
            <w:tcW w:type="dxa" w:w="1440"/>
            <w:tcMar>
              <w:top w:w="60" w:type="dxa"/>
              <w:bottom w:w="60" w:type="dxa"/>
              <w:left w:w="80" w:type="dxa"/>
              <w:right w:w="80" w:type="dxa"/>
            </w:tcMar>
          </w:tcPr>
          <w:p>
            <w:pPr>
              <w:jc w:val="center"/>
            </w:pPr>
            <w:r>
              <w:rPr>
                <w:rFonts w:ascii="Calibri" w:hAnsi="Calibri"/>
                <w:sz w:val="17"/>
              </w:rPr>
              <w:t>DIO: 16.9d (+7.4d)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76.3%</w:t>
            </w:r>
          </w:p>
        </w:tc>
        <w:tc>
          <w:tcPr>
            <w:tcW w:type="dxa" w:w="1440"/>
            <w:tcMar>
              <w:top w:w="60" w:type="dxa"/>
              <w:bottom w:w="60" w:type="dxa"/>
              <w:left w:w="80" w:type="dxa"/>
              <w:right w:w="80" w:type="dxa"/>
            </w:tcMar>
          </w:tcPr>
          <w:p>
            <w:pPr>
              <w:jc w:val="center"/>
            </w:pPr>
            <w:r>
              <w:rPr>
                <w:rFonts w:ascii="Calibri" w:hAnsi="Calibri"/>
                <w:sz w:val="17"/>
              </w:rPr>
              <w:t>Δ: +0.1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La alerta por spread de inventarios (+85.5%) es un falso positivo operativo ocasionado por el acopio estratégico de chips A19/M5 (2nm/3nm) y memoria DRAM para el superciclo de iPhone 17. Con un DIO de apenas 16.9 días, Apple mantiene la rotación más rápida del sector tecnológico global.</w:t>
      </w:r>
    </w:p>
    <w:p>
      <w:pPr>
        <w:pStyle w:val="Heading2"/>
      </w:pPr>
      <w:r>
        <w:rPr>
          <w:rFonts w:ascii="Calibri" w:hAnsi="Calibri"/>
          <w:b/>
          <w:color w:val="1B365D"/>
          <w:sz w:val="23"/>
        </w:rPr>
        <w:t>12.3. Desglose Forense Montier C-Score (1/6 Banderas)</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$128,930.0M vs CFO: $146,724.0M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w:t>
            </w:r>
          </w:p>
        </w:tc>
        <w:tc>
          <w:tcPr>
            <w:tcW w:type="dxa" w:w="2016"/>
            <w:tcMar>
              <w:top w:w="60" w:type="dxa"/>
              <w:bottom w:w="60" w:type="dxa"/>
              <w:left w:w="80" w:type="dxa"/>
              <w:right w:w="80" w:type="dxa"/>
            </w:tcMar>
          </w:tcPr>
          <w:p>
            <w:pPr>
              <w:jc w:val="left"/>
            </w:pPr>
            <w:r>
              <w:rPr>
                <w:rFonts w:ascii="Calibri" w:hAnsi="Calibri"/>
                <w:sz w:val="16"/>
              </w:rPr>
              <w:t>Δ Cuentas por Cobrar % &gt; Δ Ventas %</w:t>
            </w:r>
          </w:p>
        </w:tc>
        <w:tc>
          <w:tcPr>
            <w:tcW w:type="dxa" w:w="1872"/>
            <w:tcMar>
              <w:top w:w="60" w:type="dxa"/>
              <w:bottom w:w="60" w:type="dxa"/>
              <w:left w:w="80" w:type="dxa"/>
              <w:right w:w="80" w:type="dxa"/>
            </w:tcMar>
          </w:tcPr>
          <w:p>
            <w:pPr>
              <w:jc w:val="left"/>
            </w:pPr>
            <w:r>
              <w:rPr>
                <w:rFonts w:ascii="Calibri" w:hAnsi="Calibri"/>
                <w:sz w:val="16"/>
              </w:rPr>
              <w:t>ΔAR: -21.1% vs ΔVentas: 12.2%</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w:t>
            </w:r>
          </w:p>
        </w:tc>
        <w:tc>
          <w:tcPr>
            <w:tcW w:type="dxa" w:w="2016"/>
            <w:tcMar>
              <w:top w:w="60" w:type="dxa"/>
              <w:bottom w:w="60" w:type="dxa"/>
              <w:left w:w="80" w:type="dxa"/>
              <w:right w:w="80" w:type="dxa"/>
            </w:tcMar>
          </w:tcPr>
          <w:p>
            <w:pPr>
              <w:jc w:val="left"/>
            </w:pPr>
            <w:r>
              <w:rPr>
                <w:rFonts w:ascii="Calibri" w:hAnsi="Calibri"/>
                <w:sz w:val="16"/>
              </w:rPr>
              <w:t>Δ Inventarios % &gt; Δ Coste de Ventas %</w:t>
            </w:r>
          </w:p>
        </w:tc>
        <w:tc>
          <w:tcPr>
            <w:tcW w:type="dxa" w:w="1872"/>
            <w:tcMar>
              <w:top w:w="60" w:type="dxa"/>
              <w:bottom w:w="60" w:type="dxa"/>
              <w:left w:w="80" w:type="dxa"/>
              <w:right w:w="80" w:type="dxa"/>
            </w:tcMar>
          </w:tcPr>
          <w:p>
            <w:pPr>
              <w:jc w:val="left"/>
            </w:pPr>
            <w:r>
              <w:rPr>
                <w:rFonts w:ascii="Calibri" w:hAnsi="Calibri"/>
                <w:sz w:val="16"/>
              </w:rPr>
              <w:t>ΔInv: 94.0% vs ΔCOGS: 8.5%</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existencias crecen más rápido que los costes de venta.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Deterioro del Margen Bruto</w:t>
            </w:r>
          </w:p>
        </w:tc>
        <w:tc>
          <w:tcPr>
            <w:tcW w:type="dxa" w:w="2016"/>
            <w:tcMar>
              <w:top w:w="60" w:type="dxa"/>
              <w:bottom w:w="60" w:type="dxa"/>
              <w:left w:w="80" w:type="dxa"/>
              <w:right w:w="80" w:type="dxa"/>
            </w:tcMar>
          </w:tcPr>
          <w:p>
            <w:pPr>
              <w:jc w:val="left"/>
            </w:pPr>
            <w:r>
              <w:rPr>
                <w:rFonts w:ascii="Calibri" w:hAnsi="Calibri"/>
                <w:sz w:val="16"/>
              </w:rPr>
              <w:t>Margen Bruto_t &lt; Margen Bruto_t-1</w:t>
            </w:r>
          </w:p>
        </w:tc>
        <w:tc>
          <w:tcPr>
            <w:tcW w:type="dxa" w:w="1872"/>
            <w:tcMar>
              <w:top w:w="60" w:type="dxa"/>
              <w:bottom w:w="60" w:type="dxa"/>
              <w:left w:w="80" w:type="dxa"/>
              <w:right w:w="80" w:type="dxa"/>
            </w:tcMar>
          </w:tcPr>
          <w:p>
            <w:pPr>
              <w:jc w:val="left"/>
            </w:pPr>
            <w:r>
              <w:rPr>
                <w:rFonts w:ascii="Calibri" w:hAnsi="Calibri"/>
                <w:sz w:val="16"/>
              </w:rPr>
              <w:t>Margen Bruto: 48.65% vs 46.91%</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deterioro del margen bruto genera incentivos en los ejecutivos para estirar partidas contables inferiores.</w:t>
            </w:r>
          </w:p>
        </w:tc>
      </w:tr>
      <w:tr>
        <w:tc>
          <w:tcPr>
            <w:tcW w:type="dxa" w:w="2160"/>
            <w:tcMar>
              <w:top w:w="60" w:type="dxa"/>
              <w:bottom w:w="60" w:type="dxa"/>
              <w:left w:w="80" w:type="dxa"/>
              <w:right w:w="80" w:type="dxa"/>
            </w:tcMar>
          </w:tcPr>
          <w:p>
            <w:pPr>
              <w:jc w:val="left"/>
            </w:pPr>
            <w:r>
              <w:rPr>
                <w:rFonts w:ascii="Calibri" w:hAnsi="Calibri"/>
                <w:sz w:val="16"/>
              </w:rPr>
              <w:t>5. Incremento de Activos Blandos</w:t>
            </w:r>
          </w:p>
        </w:tc>
        <w:tc>
          <w:tcPr>
            <w:tcW w:type="dxa" w:w="2016"/>
            <w:tcMar>
              <w:top w:w="60" w:type="dxa"/>
              <w:bottom w:w="60" w:type="dxa"/>
              <w:left w:w="80" w:type="dxa"/>
              <w:right w:w="80" w:type="dxa"/>
            </w:tcMar>
          </w:tcPr>
          <w:p>
            <w:pPr>
              <w:jc w:val="left"/>
            </w:pPr>
            <w:r>
              <w:rPr>
                <w:rFonts w:ascii="Calibri" w:hAnsi="Calibri"/>
                <w:sz w:val="16"/>
              </w:rPr>
              <w:t>Ratio Activos Blandos_t &gt; Ratio Activos Blandos_t-1</w:t>
            </w:r>
          </w:p>
        </w:tc>
        <w:tc>
          <w:tcPr>
            <w:tcW w:type="dxa" w:w="1872"/>
            <w:tcMar>
              <w:top w:w="60" w:type="dxa"/>
              <w:bottom w:w="60" w:type="dxa"/>
              <w:left w:w="80" w:type="dxa"/>
              <w:right w:w="80" w:type="dxa"/>
            </w:tcMar>
          </w:tcPr>
          <w:p>
            <w:pPr>
              <w:jc w:val="left"/>
            </w:pPr>
            <w:r>
              <w:rPr>
                <w:rFonts w:ascii="Calibri" w:hAnsi="Calibri"/>
                <w:sz w:val="16"/>
              </w:rPr>
              <w:t>Activos Blandos: 76.3% vs 76.1%</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Aumento del peso relativo de partidas del balance que no son activos productivos tangibles ni tesorería.</w:t>
            </w:r>
          </w:p>
        </w:tc>
      </w:tr>
      <w:tr>
        <w:tc>
          <w:tcPr>
            <w:tcW w:type="dxa" w:w="2160"/>
            <w:tcMar>
              <w:top w:w="60" w:type="dxa"/>
              <w:bottom w:w="60" w:type="dxa"/>
              <w:left w:w="80" w:type="dxa"/>
              <w:right w:w="80" w:type="dxa"/>
            </w:tcMar>
          </w:tcPr>
          <w:p>
            <w:pPr>
              <w:jc w:val="left"/>
            </w:pPr>
            <w:r>
              <w:rPr>
                <w:rFonts w:ascii="Calibri" w:hAnsi="Calibri"/>
                <w:sz w:val="16"/>
              </w:rPr>
              <w:t>6.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20.3% vs 19.01%</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w:t>
            </w:r>
          </w:p>
        </w:tc>
      </w:tr>
    </w:tbl>
    <w:p>
      <w:pPr>
        <w:spacing w:before="80" w:after="160"/>
      </w:pPr>
      <w:r>
        <w:rPr>
          <w:rFonts w:ascii="Calibri" w:hAnsi="Calibri"/>
          <w:b/>
          <w:color w:val="1B365D"/>
          <w:sz w:val="17"/>
        </w:rPr>
        <w:t>Dictamen Montier: 1 / 6 Banderas — RIESGO MUY BAJO / LIBROS LIMPIOS. Probabilidad empírica de manipulación &lt; 5%.</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-4.79%</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113.8%</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-33.2%</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Rotación acelerada (DSO: 24.5d);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16.9 días</w:t>
            </w:r>
          </w:p>
        </w:tc>
        <w:tc>
          <w:tcPr>
            <w:tcW w:type="dxa" w:w="1728"/>
            <w:tcMar>
              <w:top w:w="60" w:type="dxa"/>
              <w:bottom w:w="60" w:type="dxa"/>
              <w:left w:w="80" w:type="dxa"/>
              <w:right w:w="80" w:type="dxa"/>
            </w:tcMar>
          </w:tcPr>
          <w:p>
            <w:pPr>
              <w:jc w:val="center"/>
            </w:pPr>
            <w:r>
              <w:rPr>
                <w:rFonts w:ascii="Calibri" w:hAnsi="Calibri"/>
                <w:sz w:val="17"/>
              </w:rPr>
              <w:t>&lt; 30.0 días</w:t>
            </w:r>
          </w:p>
        </w:tc>
        <w:tc>
          <w:tcPr>
            <w:tcW w:type="dxa" w:w="2592"/>
            <w:tcMar>
              <w:top w:w="60" w:type="dxa"/>
              <w:bottom w:w="60" w:type="dxa"/>
              <w:left w:w="80" w:type="dxa"/>
              <w:right w:w="80" w:type="dxa"/>
            </w:tcMar>
          </w:tcPr>
          <w:p>
            <w:pPr>
              <w:jc w:val="left"/>
            </w:pPr>
            <w:r>
              <w:rPr>
                <w:rFonts w:ascii="Calibri" w:hAnsi="Calibri"/>
                <w:sz w:val="17"/>
              </w:rPr>
              <w:t>Récord de eficiencia global; bandera mitigada por superciclo.</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+0.1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Cero distorsión por activación o diferimiento de gastos.</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1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Libros limpios; probabilidad estadística de fraude &lt; 5%.</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(GRADO INSTITUCIONAL MÁXIMO (AAA / Aaa)) | Altman Z''-Score: 3.23 [ZONA SEGURA]</w:t>
              <w:br/>
              <w:br/>
              <w:t>FORTALEZA FINANCIERA INQUEBRANTABLE (GRADO INSTITUCIONAL AAA/AA): Apalancamiento óptimo (0.25x), cobertura de intereses de 41.8x y Altman Z''-Score de 3.23 en Zona Segura. Cero estrés crediticio, con capacidad excepcional de financiación en cualquier ciclo macroeconómico.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$82,347.0M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$39,544.0M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$+42,803.0M</w:t>
            </w:r>
          </w:p>
        </w:tc>
        <w:tc>
          <w:tcPr>
            <w:tcW w:type="dxa" w:w="2448"/>
          </w:tcPr>
          <w:p>
            <w:r>
              <w:rPr>
                <w:sz w:val="17"/>
              </w:rPr>
              <w:t>Deuda Neta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0.25x</w:t>
            </w:r>
          </w:p>
        </w:tc>
        <w:tc>
          <w:tcPr>
            <w:tcW w:type="dxa" w:w="2448"/>
            <w:shd w:fill="F7FAFC"/>
          </w:tcPr>
          <w:p>
            <w:r>
              <w:rPr>
                <w:sz w:val="17"/>
              </w:rPr>
              <w:t>GRADO INVERSIÓN SUPERIOR (&lt; 1.5x)</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0.31x</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$154,859.0M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$3,705.6M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41.8x</w:t>
            </w:r>
          </w:p>
        </w:tc>
        <w:tc>
          <w:tcPr>
            <w:tcW w:type="dxa" w:w="2448"/>
          </w:tcPr>
          <w:p>
            <w:r>
              <w:rPr>
                <w:sz w:val="17"/>
              </w:rPr>
              <w:t>COBERTURA EXCELENTE (&gt; 10.0x)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2.53%</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3.23</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GRADO INSTITUCIONAL MÁXIMO (AAA / Aaa)</w:t>
            </w:r>
          </w:p>
        </w:tc>
        <w:tc>
          <w:tcPr>
            <w:tcW w:type="dxa" w:w="2448"/>
            <w:shd w:fill="F7FAFC"/>
          </w:tcPr>
          <w:p>
            <w:r>
              <w:rPr>
                <w:sz w:val="17"/>
              </w:rPr>
              <w:t>Spread Teórico: +0.60%</w:t>
            </w:r>
          </w:p>
        </w:tc>
      </w:tr>
      <w:tr>
        <w:tc>
          <w:tcPr>
            <w:tcW w:type="dxa" w:w="2448"/>
          </w:tcPr>
          <w:p>
            <w:r>
              <w:rPr>
                <w:b/>
                <w:sz w:val="17"/>
              </w:rPr>
              <w:t>Probabilidad de Default a 10 Años</w:t>
            </w:r>
          </w:p>
        </w:tc>
        <w:tc>
          <w:tcPr>
            <w:tcW w:type="dxa" w:w="2448"/>
          </w:tcPr>
          <w:p>
            <w:r>
              <w:rPr>
                <w:b/>
                <w:sz w:val="17"/>
              </w:rPr>
              <w:t>&lt; 0.2%</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$334.36  |  WACC Auditado: 9.98% (Rf: 4.99%, ERP: 4.75%)</w:t>
        <w:br/>
        <w:t>• Crecimiento Implícito Calculado: 17.9% Anual a 10 Años (vs. 8.7% Histórico y 11.2% Guidance)</w:t>
        <w:br/>
        <w:t>• Veredicto: Descuenta superciclo exigente (+6.6 pp sobre guidance). Requiere expansión en Servicios y recompras continuas.</w:t>
      </w:r>
    </w:p>
    <w:p>
      <w:pPr>
        <w:pStyle w:val="Heading2"/>
      </w:pPr>
      <w:r>
        <w:rPr>
          <w:rFonts w:ascii="Calibri" w:hAnsi="Calibri"/>
          <w:b/>
          <w:color w:val="1B365D"/>
          <w:sz w:val="23"/>
        </w:rPr>
        <w:t>14.1. Configuración Óptima en Plataformas de Valoración (Fiscal AI)</w:t>
      </w:r>
    </w:p>
    <w:p>
      <w:pPr>
        <w:spacing w:after="120"/>
      </w:pPr>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para Advanced Mode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304"/>
        <w:gridCol w:w="1728"/>
        <w:gridCol w:w="1728"/>
        <w:gridCol w:w="4032"/>
      </w:tblGrid>
      <w:tr>
        <w:tc>
          <w:tcPr>
            <w:tcW w:type="dxa" w:w="2304"/>
            <w:shd w:fill="1B365D"/>
            <w:tcMar>
              <w:top w:w="80" w:type="dxa"/>
              <w:bottom w:w="80" w:type="dxa"/>
              <w:left w:w="80" w:type="dxa"/>
              <w:right w:w="80" w:type="dxa"/>
            </w:tcMar>
          </w:tcPr>
          <w:p>
            <w:pPr>
              <w:jc w:val="left"/>
            </w:pPr>
            <w:r>
              <w:rPr>
                <w:rFonts w:ascii="Calibri" w:hAnsi="Calibri"/>
                <w:b/>
                <w:color w:val="FFFFFF"/>
                <w:sz w:val="17"/>
              </w:rPr>
              <w:t>Casilla / Input Fiscal AI</w:t>
            </w:r>
          </w:p>
        </w:tc>
        <w:tc>
          <w:tcPr>
            <w:tcW w:type="dxa" w:w="1728"/>
            <w:shd w:fill="1B365D"/>
            <w:tcMar>
              <w:top w:w="80" w:type="dxa"/>
              <w:bottom w:w="80" w:type="dxa"/>
              <w:left w:w="80" w:type="dxa"/>
              <w:right w:w="80" w:type="dxa"/>
            </w:tcMar>
          </w:tcPr>
          <w:p>
            <w:pPr>
              <w:jc w:val="center"/>
            </w:pPr>
            <w:r>
              <w:rPr>
                <w:rFonts w:ascii="Calibri" w:hAnsi="Calibri"/>
                <w:b/>
                <w:color w:val="FFFFFF"/>
                <w:sz w:val="17"/>
              </w:rPr>
              <w:t>Valor Auditado</w:t>
            </w:r>
          </w:p>
        </w:tc>
        <w:tc>
          <w:tcPr>
            <w:tcW w:type="dxa" w:w="1728"/>
            <w:shd w:fill="1B365D"/>
            <w:tcMar>
              <w:top w:w="80" w:type="dxa"/>
              <w:bottom w:w="80" w:type="dxa"/>
              <w:left w:w="80" w:type="dxa"/>
              <w:right w:w="80" w:type="dxa"/>
            </w:tcMar>
          </w:tcPr>
          <w:p>
            <w:pPr>
              <w:jc w:val="center"/>
            </w:pPr>
            <w:r>
              <w:rPr>
                <w:rFonts w:ascii="Calibri" w:hAnsi="Calibri"/>
                <w:b/>
                <w:color w:val="FFFFFF"/>
                <w:sz w:val="17"/>
              </w:rPr>
              <w:t>Sección Origen</w:t>
            </w:r>
          </w:p>
        </w:tc>
        <w:tc>
          <w:tcPr>
            <w:tcW w:type="dxa" w:w="4032"/>
            <w:shd w:fill="1B365D"/>
            <w:tcMar>
              <w:top w:w="80" w:type="dxa"/>
              <w:bottom w:w="80" w:type="dxa"/>
              <w:left w:w="80" w:type="dxa"/>
              <w:right w:w="80" w:type="dxa"/>
            </w:tcMar>
          </w:tcPr>
          <w:p>
            <w:pPr>
              <w:jc w:val="left"/>
            </w:pPr>
            <w:r>
              <w:rPr>
                <w:rFonts w:ascii="Calibri" w:hAnsi="Calibri"/>
                <w:b/>
                <w:color w:val="FFFFFF"/>
                <w:sz w:val="17"/>
              </w:rPr>
              <w:t>Racional Técnico y Sustento Fundamental</w:t>
            </w:r>
          </w:p>
        </w:tc>
      </w:tr>
      <w:tr>
        <w:tc>
          <w:tcPr>
            <w:tcW w:type="dxa" w:w="2304"/>
            <w:tcMar>
              <w:top w:w="50" w:type="dxa"/>
              <w:bottom w:w="50" w:type="dxa"/>
              <w:left w:w="60" w:type="dxa"/>
              <w:right w:w="60" w:type="dxa"/>
            </w:tcMar>
          </w:tcPr>
          <w:p>
            <w:pPr>
              <w:jc w:val="left"/>
            </w:pPr>
            <w:r>
              <w:rPr>
                <w:rFonts w:ascii="Calibri" w:hAnsi="Calibri"/>
                <w:b/>
                <w:sz w:val="16"/>
              </w:rPr>
              <w:t>Precio Referencia ($P_0$)</w:t>
            </w:r>
          </w:p>
        </w:tc>
        <w:tc>
          <w:tcPr>
            <w:tcW w:type="dxa" w:w="1728"/>
            <w:tcMar>
              <w:top w:w="50" w:type="dxa"/>
              <w:bottom w:w="50" w:type="dxa"/>
              <w:left w:w="60" w:type="dxa"/>
              <w:right w:w="60" w:type="dxa"/>
            </w:tcMar>
          </w:tcPr>
          <w:p>
            <w:pPr>
              <w:jc w:val="center"/>
            </w:pPr>
            <w:r>
              <w:rPr>
                <w:rFonts w:ascii="Calibri" w:hAnsi="Calibri"/>
                <w:b/>
                <w:sz w:val="16"/>
              </w:rPr>
              <w:t>$334.36</w:t>
            </w:r>
          </w:p>
        </w:tc>
        <w:tc>
          <w:tcPr>
            <w:tcW w:type="dxa" w:w="1728"/>
            <w:tcMar>
              <w:top w:w="50" w:type="dxa"/>
              <w:bottom w:w="50" w:type="dxa"/>
              <w:left w:w="60" w:type="dxa"/>
              <w:right w:w="60" w:type="dxa"/>
            </w:tcMar>
          </w:tcPr>
          <w:p>
            <w:pPr>
              <w:jc w:val="center"/>
            </w:pPr>
            <w:r>
              <w:rPr>
                <w:rFonts w:ascii="Calibri" w:hAnsi="Calibri"/>
                <w:sz w:val="16"/>
              </w:rPr>
              <w:t>Mercado en Vivo</w:t>
            </w:r>
          </w:p>
        </w:tc>
        <w:tc>
          <w:tcPr>
            <w:tcW w:type="dxa" w:w="4032"/>
            <w:tcMar>
              <w:top w:w="50" w:type="dxa"/>
              <w:bottom w:w="50" w:type="dxa"/>
              <w:left w:w="60" w:type="dxa"/>
              <w:right w:w="60" w:type="dxa"/>
            </w:tcMar>
          </w:tcPr>
          <w:p>
            <w:pPr>
              <w:jc w:val="left"/>
            </w:pPr>
            <w:r>
              <w:rPr>
                <w:rFonts w:ascii="Calibri" w:hAnsi="Calibri"/>
                <w:sz w:val="16"/>
              </w:rPr>
              <w:t>Cotización auditada en tiempo real por consenso bursátil.</w:t>
            </w:r>
          </w:p>
        </w:tc>
      </w:tr>
      <w:tr>
        <w:tc>
          <w:tcPr>
            <w:tcW w:type="dxa" w:w="2304"/>
            <w:tcMar>
              <w:top w:w="50" w:type="dxa"/>
              <w:bottom w:w="50" w:type="dxa"/>
              <w:left w:w="60" w:type="dxa"/>
              <w:right w:w="60" w:type="dxa"/>
            </w:tcMar>
          </w:tcPr>
          <w:p>
            <w:pPr>
              <w:jc w:val="left"/>
            </w:pPr>
            <w:r>
              <w:rPr>
                <w:rFonts w:ascii="Calibri" w:hAnsi="Calibri"/>
                <w:b/>
                <w:sz w:val="16"/>
              </w:rPr>
              <w:t>Risk-Free Rate ($R_f$)</w:t>
            </w:r>
          </w:p>
        </w:tc>
        <w:tc>
          <w:tcPr>
            <w:tcW w:type="dxa" w:w="1728"/>
            <w:tcMar>
              <w:top w:w="50" w:type="dxa"/>
              <w:bottom w:w="50" w:type="dxa"/>
              <w:left w:w="60" w:type="dxa"/>
              <w:right w:w="60" w:type="dxa"/>
            </w:tcMar>
          </w:tcPr>
          <w:p>
            <w:pPr>
              <w:jc w:val="center"/>
            </w:pPr>
            <w:r>
              <w:rPr>
                <w:rFonts w:ascii="Calibri" w:hAnsi="Calibri"/>
                <w:b/>
                <w:sz w:val="16"/>
              </w:rPr>
              <w:t>4.99%</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Rendimiento en tiempo real del Bono del Tesoro 10Y (US10Y).</w:t>
            </w:r>
          </w:p>
        </w:tc>
      </w:tr>
      <w:tr>
        <w:tc>
          <w:tcPr>
            <w:tcW w:type="dxa" w:w="2304"/>
            <w:tcMar>
              <w:top w:w="50" w:type="dxa"/>
              <w:bottom w:w="50" w:type="dxa"/>
              <w:left w:w="60" w:type="dxa"/>
              <w:right w:w="60" w:type="dxa"/>
            </w:tcMar>
          </w:tcPr>
          <w:p>
            <w:pPr>
              <w:jc w:val="left"/>
            </w:pPr>
            <w:r>
              <w:rPr>
                <w:rFonts w:ascii="Calibri" w:hAnsi="Calibri"/>
                <w:b/>
                <w:sz w:val="16"/>
              </w:rPr>
              <w:t>Equity Risk Premium (ERP)</w:t>
            </w:r>
          </w:p>
        </w:tc>
        <w:tc>
          <w:tcPr>
            <w:tcW w:type="dxa" w:w="1728"/>
            <w:tcMar>
              <w:top w:w="50" w:type="dxa"/>
              <w:bottom w:w="50" w:type="dxa"/>
              <w:left w:w="60" w:type="dxa"/>
              <w:right w:w="60" w:type="dxa"/>
            </w:tcMar>
          </w:tcPr>
          <w:p>
            <w:pPr>
              <w:jc w:val="center"/>
            </w:pPr>
            <w:r>
              <w:rPr>
                <w:rFonts w:ascii="Calibri" w:hAnsi="Calibri"/>
                <w:b/>
                <w:sz w:val="16"/>
              </w:rPr>
              <w:t>4.75%</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Prima de riesgo implícita Damodaran (Stern NYU).</w:t>
            </w:r>
          </w:p>
        </w:tc>
      </w:tr>
      <w:tr>
        <w:tc>
          <w:tcPr>
            <w:tcW w:type="dxa" w:w="2304"/>
            <w:tcMar>
              <w:top w:w="50" w:type="dxa"/>
              <w:bottom w:w="50" w:type="dxa"/>
              <w:left w:w="60" w:type="dxa"/>
              <w:right w:w="60" w:type="dxa"/>
            </w:tcMar>
          </w:tcPr>
          <w:p>
            <w:pPr>
              <w:jc w:val="left"/>
            </w:pPr>
            <w:r>
              <w:rPr>
                <w:rFonts w:ascii="Calibri" w:hAnsi="Calibri"/>
                <w:b/>
                <w:sz w:val="16"/>
              </w:rPr>
              <w:t>Beta de la Acción (β)</w:t>
            </w:r>
          </w:p>
        </w:tc>
        <w:tc>
          <w:tcPr>
            <w:tcW w:type="dxa" w:w="1728"/>
            <w:tcMar>
              <w:top w:w="50" w:type="dxa"/>
              <w:bottom w:w="50" w:type="dxa"/>
              <w:left w:w="60" w:type="dxa"/>
              <w:right w:w="60" w:type="dxa"/>
            </w:tcMar>
          </w:tcPr>
          <w:p>
            <w:pPr>
              <w:jc w:val="center"/>
            </w:pPr>
            <w:r>
              <w:rPr>
                <w:rFonts w:ascii="Calibri" w:hAnsi="Calibri"/>
                <w:b/>
                <w:sz w:val="16"/>
              </w:rPr>
              <w:t>1.08</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Sensibilidad cíclica a 5 años mensuales frente a S&amp;P 500.</w:t>
            </w:r>
          </w:p>
        </w:tc>
      </w:tr>
      <w:tr>
        <w:tc>
          <w:tcPr>
            <w:tcW w:type="dxa" w:w="2304"/>
            <w:tcMar>
              <w:top w:w="50" w:type="dxa"/>
              <w:bottom w:w="50" w:type="dxa"/>
              <w:left w:w="60" w:type="dxa"/>
              <w:right w:w="60" w:type="dxa"/>
            </w:tcMar>
          </w:tcPr>
          <w:p>
            <w:pPr>
              <w:jc w:val="left"/>
            </w:pPr>
            <w:r>
              <w:rPr>
                <w:rFonts w:ascii="Calibri" w:hAnsi="Calibri"/>
                <w:b/>
                <w:sz w:val="16"/>
              </w:rPr>
              <w:t>Cost of Debt ($K_d$)</w:t>
            </w:r>
          </w:p>
        </w:tc>
        <w:tc>
          <w:tcPr>
            <w:tcW w:type="dxa" w:w="1728"/>
            <w:tcMar>
              <w:top w:w="50" w:type="dxa"/>
              <w:bottom w:w="50" w:type="dxa"/>
              <w:left w:w="60" w:type="dxa"/>
              <w:right w:w="60" w:type="dxa"/>
            </w:tcMar>
          </w:tcPr>
          <w:p>
            <w:pPr>
              <w:jc w:val="center"/>
            </w:pPr>
            <w:r>
              <w:rPr>
                <w:rFonts w:ascii="Calibri" w:hAnsi="Calibri"/>
                <w:b/>
                <w:sz w:val="16"/>
              </w:rPr>
              <w:t>4.96% / 4.1%</w:t>
            </w:r>
          </w:p>
        </w:tc>
        <w:tc>
          <w:tcPr>
            <w:tcW w:type="dxa" w:w="1728"/>
            <w:tcMar>
              <w:top w:w="50" w:type="dxa"/>
              <w:bottom w:w="50" w:type="dxa"/>
              <w:left w:w="60" w:type="dxa"/>
              <w:right w:w="60" w:type="dxa"/>
            </w:tcMar>
          </w:tcPr>
          <w:p>
            <w:pPr>
              <w:jc w:val="center"/>
            </w:pPr>
            <w:r>
              <w:rPr>
                <w:rFonts w:ascii="Calibri" w:hAnsi="Calibri"/>
                <w:sz w:val="16"/>
              </w:rPr>
              <w:t>Secc 11 / 13</w:t>
            </w:r>
          </w:p>
        </w:tc>
        <w:tc>
          <w:tcPr>
            <w:tcW w:type="dxa" w:w="4032"/>
            <w:tcMar>
              <w:top w:w="50" w:type="dxa"/>
              <w:bottom w:w="50" w:type="dxa"/>
              <w:left w:w="60" w:type="dxa"/>
              <w:right w:w="60" w:type="dxa"/>
            </w:tcMar>
          </w:tcPr>
          <w:p>
            <w:pPr>
              <w:jc w:val="left"/>
            </w:pPr>
            <w:r>
              <w:rPr>
                <w:rFonts w:ascii="Calibri" w:hAnsi="Calibri"/>
                <w:sz w:val="16"/>
              </w:rPr>
              <w:t xml:space="preserve">Pre-tax y post-tax con escudo fiscal corporativo del 17.3%. </w:t>
            </w:r>
          </w:p>
        </w:tc>
      </w:tr>
      <w:tr>
        <w:tc>
          <w:tcPr>
            <w:tcW w:type="dxa" w:w="2304"/>
            <w:tcMar>
              <w:top w:w="50" w:type="dxa"/>
              <w:bottom w:w="50" w:type="dxa"/>
              <w:left w:w="60" w:type="dxa"/>
              <w:right w:w="60" w:type="dxa"/>
            </w:tcMar>
          </w:tcPr>
          <w:p>
            <w:pPr>
              <w:jc w:val="left"/>
            </w:pPr>
            <w:r>
              <w:rPr>
                <w:rFonts w:ascii="Calibri" w:hAnsi="Calibri"/>
                <w:b/>
                <w:sz w:val="16"/>
              </w:rPr>
              <w:t>Estructura Capital (D/E)</w:t>
            </w:r>
          </w:p>
        </w:tc>
        <w:tc>
          <w:tcPr>
            <w:tcW w:type="dxa" w:w="1728"/>
            <w:tcMar>
              <w:top w:w="50" w:type="dxa"/>
              <w:bottom w:w="50" w:type="dxa"/>
              <w:left w:w="60" w:type="dxa"/>
              <w:right w:w="60" w:type="dxa"/>
            </w:tcMar>
          </w:tcPr>
          <w:p>
            <w:pPr>
              <w:jc w:val="center"/>
            </w:pPr>
            <w:r>
              <w:rPr>
                <w:rFonts w:ascii="Calibri" w:hAnsi="Calibri"/>
                <w:b/>
                <w:sz w:val="16"/>
              </w:rPr>
              <w:t>1.6% / 98.4%</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Ponderación real sobre valor de mercado (Market Cap).</w:t>
            </w:r>
          </w:p>
        </w:tc>
      </w:tr>
      <w:tr>
        <w:tc>
          <w:tcPr>
            <w:tcW w:type="dxa" w:w="2304"/>
            <w:tcMar>
              <w:top w:w="50" w:type="dxa"/>
              <w:bottom w:w="50" w:type="dxa"/>
              <w:left w:w="60" w:type="dxa"/>
              <w:right w:w="60" w:type="dxa"/>
            </w:tcMar>
          </w:tcPr>
          <w:p>
            <w:pPr>
              <w:jc w:val="left"/>
            </w:pPr>
            <w:r>
              <w:rPr>
                <w:rFonts w:ascii="Calibri" w:hAnsi="Calibri"/>
                <w:b/>
                <w:sz w:val="16"/>
              </w:rPr>
              <w:t>WACC Consolidado</w:t>
            </w:r>
          </w:p>
        </w:tc>
        <w:tc>
          <w:tcPr>
            <w:tcW w:type="dxa" w:w="1728"/>
            <w:tcMar>
              <w:top w:w="50" w:type="dxa"/>
              <w:bottom w:w="50" w:type="dxa"/>
              <w:left w:w="60" w:type="dxa"/>
              <w:right w:w="60" w:type="dxa"/>
            </w:tcMar>
          </w:tcPr>
          <w:p>
            <w:pPr>
              <w:jc w:val="center"/>
            </w:pPr>
            <w:r>
              <w:rPr>
                <w:rFonts w:ascii="Calibri" w:hAnsi="Calibri"/>
                <w:b/>
                <w:sz w:val="16"/>
              </w:rPr>
              <w:t>9.98%</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Tasa de descuento maestra ponderada libre de sesgos.</w:t>
            </w:r>
          </w:p>
        </w:tc>
      </w:tr>
      <w:tr>
        <w:tc>
          <w:tcPr>
            <w:tcW w:type="dxa" w:w="2304"/>
            <w:tcMar>
              <w:top w:w="50" w:type="dxa"/>
              <w:bottom w:w="50" w:type="dxa"/>
              <w:left w:w="60" w:type="dxa"/>
              <w:right w:w="60" w:type="dxa"/>
            </w:tcMar>
          </w:tcPr>
          <w:p>
            <w:pPr>
              <w:jc w:val="left"/>
            </w:pPr>
            <w:r>
              <w:rPr>
                <w:rFonts w:ascii="Calibri" w:hAnsi="Calibri"/>
                <w:b/>
                <w:sz w:val="16"/>
              </w:rPr>
              <w:t>EBIT Margin Sostenible</w:t>
            </w:r>
          </w:p>
        </w:tc>
        <w:tc>
          <w:tcPr>
            <w:tcW w:type="dxa" w:w="1728"/>
            <w:tcMar>
              <w:top w:w="50" w:type="dxa"/>
              <w:bottom w:w="50" w:type="dxa"/>
              <w:left w:w="60" w:type="dxa"/>
              <w:right w:w="60" w:type="dxa"/>
            </w:tcMar>
          </w:tcPr>
          <w:p>
            <w:pPr>
              <w:jc w:val="center"/>
            </w:pPr>
            <w:r>
              <w:rPr>
                <w:rFonts w:ascii="Calibri" w:hAnsi="Calibri"/>
                <w:b/>
                <w:sz w:val="16"/>
              </w:rPr>
              <w:t>32.5%</w:t>
            </w:r>
          </w:p>
        </w:tc>
        <w:tc>
          <w:tcPr>
            <w:tcW w:type="dxa" w:w="1728"/>
            <w:tcMar>
              <w:top w:w="50" w:type="dxa"/>
              <w:bottom w:w="50" w:type="dxa"/>
              <w:left w:w="60" w:type="dxa"/>
              <w:right w:w="60" w:type="dxa"/>
            </w:tcMar>
          </w:tcPr>
          <w:p>
            <w:pPr>
              <w:jc w:val="center"/>
            </w:pPr>
            <w:r>
              <w:rPr>
                <w:rFonts w:ascii="Calibri" w:hAnsi="Calibri"/>
                <w:sz w:val="16"/>
              </w:rPr>
              <w:t>Secc 2, 4, 5</w:t>
            </w:r>
          </w:p>
        </w:tc>
        <w:tc>
          <w:tcPr>
            <w:tcW w:type="dxa" w:w="4032"/>
            <w:tcMar>
              <w:top w:w="50" w:type="dxa"/>
              <w:bottom w:w="50" w:type="dxa"/>
              <w:left w:w="60" w:type="dxa"/>
              <w:right w:w="60" w:type="dxa"/>
            </w:tcMar>
          </w:tcPr>
          <w:p>
            <w:pPr>
              <w:jc w:val="left"/>
            </w:pPr>
            <w:r>
              <w:rPr>
                <w:rFonts w:ascii="Calibri" w:hAnsi="Calibri"/>
                <w:sz w:val="16"/>
              </w:rPr>
              <w:t>Margen operativo normalizado frente a costes de memoria.</w:t>
            </w:r>
          </w:p>
        </w:tc>
      </w:tr>
      <w:tr>
        <w:tc>
          <w:tcPr>
            <w:tcW w:type="dxa" w:w="2304"/>
            <w:tcMar>
              <w:top w:w="50" w:type="dxa"/>
              <w:bottom w:w="50" w:type="dxa"/>
              <w:left w:w="60" w:type="dxa"/>
              <w:right w:w="60" w:type="dxa"/>
            </w:tcMar>
          </w:tcPr>
          <w:p>
            <w:pPr>
              <w:jc w:val="left"/>
            </w:pPr>
            <w:r>
              <w:rPr>
                <w:rFonts w:ascii="Calibri" w:hAnsi="Calibri"/>
                <w:b/>
                <w:sz w:val="16"/>
              </w:rPr>
              <w:t>Margen Caja Libre (FCF)</w:t>
            </w:r>
          </w:p>
        </w:tc>
        <w:tc>
          <w:tcPr>
            <w:tcW w:type="dxa" w:w="1728"/>
            <w:tcMar>
              <w:top w:w="50" w:type="dxa"/>
              <w:bottom w:w="50" w:type="dxa"/>
              <w:left w:w="60" w:type="dxa"/>
              <w:right w:w="60" w:type="dxa"/>
            </w:tcMar>
          </w:tcPr>
          <w:p>
            <w:pPr>
              <w:jc w:val="center"/>
            </w:pPr>
            <w:r>
              <w:rPr>
                <w:rFonts w:ascii="Calibri" w:hAnsi="Calibri"/>
                <w:b/>
                <w:sz w:val="16"/>
              </w:rPr>
              <w:t>25.2%</w:t>
            </w:r>
          </w:p>
        </w:tc>
        <w:tc>
          <w:tcPr>
            <w:tcW w:type="dxa" w:w="1728"/>
            <w:tcMar>
              <w:top w:w="50" w:type="dxa"/>
              <w:bottom w:w="50" w:type="dxa"/>
              <w:left w:w="60" w:type="dxa"/>
              <w:right w:w="60" w:type="dxa"/>
            </w:tcMar>
          </w:tcPr>
          <w:p>
            <w:pPr>
              <w:jc w:val="center"/>
            </w:pPr>
            <w:r>
              <w:rPr>
                <w:rFonts w:ascii="Calibri" w:hAnsi="Calibri"/>
                <w:sz w:val="16"/>
              </w:rPr>
              <w:t>Secc 6, 11</w:t>
            </w:r>
          </w:p>
        </w:tc>
        <w:tc>
          <w:tcPr>
            <w:tcW w:type="dxa" w:w="4032"/>
            <w:tcMar>
              <w:top w:w="50" w:type="dxa"/>
              <w:bottom w:w="50" w:type="dxa"/>
              <w:left w:w="60" w:type="dxa"/>
              <w:right w:w="60" w:type="dxa"/>
            </w:tcMar>
          </w:tcPr>
          <w:p>
            <w:pPr>
              <w:jc w:val="left"/>
            </w:pPr>
            <w:r>
              <w:rPr>
                <w:rFonts w:ascii="Calibri" w:hAnsi="Calibri"/>
                <w:sz w:val="16"/>
              </w:rPr>
              <w:t>Conversión NOPAT + D&amp;A − CapEx − ΔNWC.</w:t>
            </w:r>
          </w:p>
        </w:tc>
      </w:tr>
      <w:tr>
        <w:tc>
          <w:tcPr>
            <w:tcW w:type="dxa" w:w="2304"/>
            <w:tcMar>
              <w:top w:w="50" w:type="dxa"/>
              <w:bottom w:w="50" w:type="dxa"/>
              <w:left w:w="60" w:type="dxa"/>
              <w:right w:w="60" w:type="dxa"/>
            </w:tcMar>
          </w:tcPr>
          <w:p>
            <w:pPr>
              <w:jc w:val="left"/>
            </w:pPr>
            <w:r>
              <w:rPr>
                <w:rFonts w:ascii="Calibri" w:hAnsi="Calibri"/>
                <w:b/>
                <w:sz w:val="16"/>
              </w:rPr>
              <w:t>Terminal Growth ($g_n$)</w:t>
            </w:r>
          </w:p>
        </w:tc>
        <w:tc>
          <w:tcPr>
            <w:tcW w:type="dxa" w:w="1728"/>
            <w:tcMar>
              <w:top w:w="50" w:type="dxa"/>
              <w:bottom w:w="50" w:type="dxa"/>
              <w:left w:w="60" w:type="dxa"/>
              <w:right w:w="60" w:type="dxa"/>
            </w:tcMar>
          </w:tcPr>
          <w:p>
            <w:pPr>
              <w:jc w:val="center"/>
            </w:pPr>
            <w:r>
              <w:rPr>
                <w:rFonts w:ascii="Calibri" w:hAnsi="Calibri"/>
                <w:b/>
                <w:sz w:val="16"/>
              </w:rPr>
              <w:t>2.5%</w:t>
            </w:r>
          </w:p>
        </w:tc>
        <w:tc>
          <w:tcPr>
            <w:tcW w:type="dxa" w:w="1728"/>
            <w:tcMar>
              <w:top w:w="50" w:type="dxa"/>
              <w:bottom w:w="50" w:type="dxa"/>
              <w:left w:w="60" w:type="dxa"/>
              <w:right w:w="60" w:type="dxa"/>
            </w:tcMar>
          </w:tcPr>
          <w:p>
            <w:pPr>
              <w:jc w:val="center"/>
            </w:pPr>
            <w:r>
              <w:rPr>
                <w:rFonts w:ascii="Calibri" w:hAnsi="Calibri"/>
                <w:sz w:val="16"/>
              </w:rPr>
              <w:t>Macroeconomía</w:t>
            </w:r>
          </w:p>
        </w:tc>
        <w:tc>
          <w:tcPr>
            <w:tcW w:type="dxa" w:w="4032"/>
            <w:tcMar>
              <w:top w:w="50" w:type="dxa"/>
              <w:bottom w:w="50" w:type="dxa"/>
              <w:left w:w="60" w:type="dxa"/>
              <w:right w:w="60" w:type="dxa"/>
            </w:tcMar>
          </w:tcPr>
          <w:p>
            <w:pPr>
              <w:jc w:val="left"/>
            </w:pPr>
            <w:r>
              <w:rPr>
                <w:rFonts w:ascii="Calibri" w:hAnsi="Calibri"/>
                <w:sz w:val="16"/>
              </w:rPr>
              <w:t>Crecimiento terminal a perpetuidad (PIB global + inflación).</w:t>
            </w:r>
          </w:p>
        </w:tc>
      </w:tr>
      <w:tr>
        <w:tc>
          <w:tcPr>
            <w:tcW w:type="dxa" w:w="2304"/>
            <w:tcMar>
              <w:top w:w="50" w:type="dxa"/>
              <w:bottom w:w="50" w:type="dxa"/>
              <w:left w:w="60" w:type="dxa"/>
              <w:right w:w="60" w:type="dxa"/>
            </w:tcMar>
          </w:tcPr>
          <w:p>
            <w:pPr>
              <w:jc w:val="left"/>
            </w:pPr>
            <w:r>
              <w:rPr>
                <w:rFonts w:ascii="Calibri" w:hAnsi="Calibri"/>
                <w:b/>
                <w:sz w:val="16"/>
              </w:rPr>
              <w:t>Capex Margin</w:t>
            </w:r>
          </w:p>
        </w:tc>
        <w:tc>
          <w:tcPr>
            <w:tcW w:type="dxa" w:w="1728"/>
            <w:tcMar>
              <w:top w:w="50" w:type="dxa"/>
              <w:bottom w:w="50" w:type="dxa"/>
              <w:left w:w="60" w:type="dxa"/>
              <w:right w:w="60" w:type="dxa"/>
            </w:tcMar>
          </w:tcPr>
          <w:p>
            <w:pPr>
              <w:jc w:val="center"/>
            </w:pPr>
            <w:r>
              <w:rPr>
                <w:rFonts w:ascii="Calibri" w:hAnsi="Calibri"/>
                <w:b/>
                <w:sz w:val="16"/>
              </w:rPr>
              <w:t>-2.3%</w:t>
            </w:r>
          </w:p>
        </w:tc>
        <w:tc>
          <w:tcPr>
            <w:tcW w:type="dxa" w:w="1728"/>
            <w:tcMar>
              <w:top w:w="50" w:type="dxa"/>
              <w:bottom w:w="50" w:type="dxa"/>
              <w:left w:w="60" w:type="dxa"/>
              <w:right w:w="60" w:type="dxa"/>
            </w:tcMar>
          </w:tcPr>
          <w:p>
            <w:pPr>
              <w:jc w:val="center"/>
            </w:pPr>
            <w:r>
              <w:rPr>
                <w:rFonts w:ascii="Calibri" w:hAnsi="Calibri"/>
                <w:sz w:val="16"/>
              </w:rPr>
              <w:t>Secc 6, 7</w:t>
            </w:r>
          </w:p>
        </w:tc>
        <w:tc>
          <w:tcPr>
            <w:tcW w:type="dxa" w:w="4032"/>
            <w:tcMar>
              <w:top w:w="50" w:type="dxa"/>
              <w:bottom w:w="50" w:type="dxa"/>
              <w:left w:w="60" w:type="dxa"/>
              <w:right w:w="60" w:type="dxa"/>
            </w:tcMar>
          </w:tcPr>
          <w:p>
            <w:pPr>
              <w:jc w:val="left"/>
            </w:pPr>
            <w:r>
              <w:rPr>
                <w:rFonts w:ascii="Calibri" w:hAnsi="Calibri"/>
                <w:sz w:val="16"/>
              </w:rPr>
              <w:t>Intensidad de capital Asset-Light (silicio TSMC en chip).</w:t>
            </w:r>
          </w:p>
        </w:tc>
      </w:tr>
      <w:tr>
        <w:tc>
          <w:tcPr>
            <w:tcW w:type="dxa" w:w="2304"/>
            <w:tcMar>
              <w:top w:w="50" w:type="dxa"/>
              <w:bottom w:w="50" w:type="dxa"/>
              <w:left w:w="60" w:type="dxa"/>
              <w:right w:w="60" w:type="dxa"/>
            </w:tcMar>
          </w:tcPr>
          <w:p>
            <w:pPr>
              <w:jc w:val="left"/>
            </w:pPr>
            <w:r>
              <w:rPr>
                <w:rFonts w:ascii="Calibri" w:hAnsi="Calibri"/>
                <w:b/>
                <w:sz w:val="16"/>
              </w:rPr>
              <w:t>Shares Out.</w:t>
            </w:r>
          </w:p>
        </w:tc>
        <w:tc>
          <w:tcPr>
            <w:tcW w:type="dxa" w:w="1728"/>
            <w:tcMar>
              <w:top w:w="50" w:type="dxa"/>
              <w:bottom w:w="50" w:type="dxa"/>
              <w:left w:w="60" w:type="dxa"/>
              <w:right w:w="60" w:type="dxa"/>
            </w:tcMar>
          </w:tcPr>
          <w:p>
            <w:pPr>
              <w:jc w:val="center"/>
            </w:pPr>
            <w:r>
              <w:rPr>
                <w:rFonts w:ascii="Calibri" w:hAnsi="Calibri"/>
                <w:b/>
                <w:sz w:val="16"/>
              </w:rPr>
              <w:t>14.75 B</w:t>
            </w:r>
          </w:p>
        </w:tc>
        <w:tc>
          <w:tcPr>
            <w:tcW w:type="dxa" w:w="1728"/>
            <w:tcMar>
              <w:top w:w="50" w:type="dxa"/>
              <w:bottom w:w="50" w:type="dxa"/>
              <w:left w:w="60" w:type="dxa"/>
              <w:right w:w="60" w:type="dxa"/>
            </w:tcMar>
          </w:tcPr>
          <w:p>
            <w:pPr>
              <w:jc w:val="center"/>
            </w:pPr>
            <w:r>
              <w:rPr>
                <w:rFonts w:ascii="Calibri" w:hAnsi="Calibri"/>
                <w:sz w:val="16"/>
              </w:rPr>
              <w:t>Secc 4 / 10-Q</w:t>
            </w:r>
          </w:p>
        </w:tc>
        <w:tc>
          <w:tcPr>
            <w:tcW w:type="dxa" w:w="4032"/>
            <w:tcMar>
              <w:top w:w="50" w:type="dxa"/>
              <w:bottom w:w="50" w:type="dxa"/>
              <w:left w:w="60" w:type="dxa"/>
              <w:right w:w="60" w:type="dxa"/>
            </w:tcMar>
          </w:tcPr>
          <w:p>
            <w:pPr>
              <w:jc w:val="left"/>
            </w:pPr>
            <w:r>
              <w:rPr>
                <w:rFonts w:ascii="Calibri" w:hAnsi="Calibri"/>
                <w:sz w:val="16"/>
              </w:rPr>
              <w:t>Acciones diluidas auditadas tras recompras de capital.</w:t>
            </w:r>
          </w:p>
        </w:tc>
      </w:tr>
    </w:tbl>
    <w:p>
      <w:pPr>
        <w:pStyle w:val="Heading2"/>
      </w:pPr>
      <w:r>
        <w:rPr>
          <w:rFonts w:ascii="Calibri" w:hAnsi="Calibri"/>
          <w:b/>
          <w:color w:val="1B365D"/>
          <w:sz w:val="23"/>
        </w:rPr>
        <w:t>14.3. Motor Propietario de Reverse DCF &amp; Brecha de Expectativas</w:t>
      </w:r>
    </w:p>
    <w:p>
      <w:pPr>
        <w:spacing w:after="120"/>
      </w:pPr>
      <w:r>
        <w:rPr>
          <w:rFonts w:ascii="Calibri" w:hAnsi="Calibri"/>
          <w:color w:val="2D3748"/>
          <w:sz w:val="18"/>
        </w:rPr>
        <w:t>• Crecimiento Histórico SEC (CAGR 5 Años): 8.7% anual (CAGR 10A: 8.0%, CAGR 3A: 5.8%)</w:t>
        <w:br/>
        <w:t>• Guidance Oficial del Superciclo: 10.5% - 12.0% anual</w:t>
        <w:br/>
        <w:t>• Crecimiento Implícito Descontado por el Precio ($334.36): 17.9% anual (con WACC 9.98%) y 20.3% (con WACC 10.9%)</w:t>
        <w:br/>
        <w:t>• Brecha de Expectativas: +9.2 pp frente al histórico y +6.6 pp frente al guidance.</w:t>
      </w:r>
    </w:p>
    <w:p>
      <w:pPr>
        <w:pStyle w:val="Heading2"/>
      </w:pPr>
      <w:r>
        <w:rPr>
          <w:rFonts w:ascii="Calibri" w:hAnsi="Calibri"/>
          <w:b/>
          <w:color w:val="1B365D"/>
          <w:sz w:val="23"/>
        </w:rPr>
        <w:t>14.4. Matriz de Sensibilidad Bidimensional (WACC vs. Perpetuidad)</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728"/>
        <w:gridCol w:w="1008"/>
        <w:gridCol w:w="1008"/>
        <w:gridCol w:w="1008"/>
        <w:gridCol w:w="1008"/>
        <w:gridCol w:w="1008"/>
        <w:gridCol w:w="1008"/>
        <w:gridCol w:w="2016"/>
      </w:tblGrid>
      <w:tr>
        <w:tc>
          <w:tcPr>
            <w:tcW w:type="dxa" w:w="1728"/>
            <w:shd w:fill="1B365D"/>
            <w:tcMar>
              <w:top w:w="80" w:type="dxa"/>
              <w:bottom w:w="80" w:type="dxa"/>
              <w:left w:w="60" w:type="dxa"/>
              <w:right w:w="60" w:type="dxa"/>
            </w:tcMar>
          </w:tcPr>
          <w:p>
            <w:pPr>
              <w:jc w:val="center"/>
            </w:pPr>
            <w:r>
              <w:rPr>
                <w:rFonts w:ascii="Calibri" w:hAnsi="Calibri"/>
                <w:b/>
                <w:color w:val="FFFFFF"/>
                <w:sz w:val="16"/>
              </w:rPr>
              <w:t>WACC / gn</w:t>
            </w:r>
          </w:p>
        </w:tc>
        <w:tc>
          <w:tcPr>
            <w:tcW w:type="dxa" w:w="1008"/>
            <w:shd w:fill="1B365D"/>
            <w:tcMar>
              <w:top w:w="80" w:type="dxa"/>
              <w:bottom w:w="80" w:type="dxa"/>
              <w:left w:w="60" w:type="dxa"/>
              <w:right w:w="60" w:type="dxa"/>
            </w:tcMar>
          </w:tcPr>
          <w:p>
            <w:pPr>
              <w:jc w:val="center"/>
            </w:pPr>
            <w:r>
              <w:rPr>
                <w:rFonts w:ascii="Calibri" w:hAnsi="Calibri"/>
                <w:b/>
                <w:color w:val="FFFFFF"/>
                <w:sz w:val="16"/>
              </w:rPr>
              <w:t>1.0%</w:t>
            </w:r>
          </w:p>
        </w:tc>
        <w:tc>
          <w:tcPr>
            <w:tcW w:type="dxa" w:w="1008"/>
            <w:shd w:fill="1B365D"/>
            <w:tcMar>
              <w:top w:w="80" w:type="dxa"/>
              <w:bottom w:w="80" w:type="dxa"/>
              <w:left w:w="60" w:type="dxa"/>
              <w:right w:w="60" w:type="dxa"/>
            </w:tcMar>
          </w:tcPr>
          <w:p>
            <w:pPr>
              <w:jc w:val="center"/>
            </w:pPr>
            <w:r>
              <w:rPr>
                <w:rFonts w:ascii="Calibri" w:hAnsi="Calibri"/>
                <w:b/>
                <w:color w:val="FFFFFF"/>
                <w:sz w:val="16"/>
              </w:rPr>
              <w:t>1.5%</w:t>
            </w:r>
          </w:p>
        </w:tc>
        <w:tc>
          <w:tcPr>
            <w:tcW w:type="dxa" w:w="1008"/>
            <w:shd w:fill="1B365D"/>
            <w:tcMar>
              <w:top w:w="80" w:type="dxa"/>
              <w:bottom w:w="80" w:type="dxa"/>
              <w:left w:w="60" w:type="dxa"/>
              <w:right w:w="60" w:type="dxa"/>
            </w:tcMar>
          </w:tcPr>
          <w:p>
            <w:pPr>
              <w:jc w:val="center"/>
            </w:pPr>
            <w:r>
              <w:rPr>
                <w:rFonts w:ascii="Calibri" w:hAnsi="Calibri"/>
                <w:b/>
                <w:color w:val="FFFFFF"/>
                <w:sz w:val="16"/>
              </w:rPr>
              <w:t>2.0%</w:t>
            </w:r>
          </w:p>
        </w:tc>
        <w:tc>
          <w:tcPr>
            <w:tcW w:type="dxa" w:w="1008"/>
            <w:shd w:fill="0A3641"/>
            <w:tcMar>
              <w:top w:w="80" w:type="dxa"/>
              <w:bottom w:w="80" w:type="dxa"/>
              <w:left w:w="60" w:type="dxa"/>
              <w:right w:w="60" w:type="dxa"/>
            </w:tcMar>
          </w:tcPr>
          <w:p>
            <w:pPr>
              <w:jc w:val="center"/>
            </w:pPr>
            <w:r>
              <w:rPr>
                <w:rFonts w:ascii="Calibri" w:hAnsi="Calibri"/>
                <w:b/>
                <w:color w:val="FFD700"/>
                <w:sz w:val="16"/>
              </w:rPr>
              <w:t>2.5%</w:t>
            </w:r>
          </w:p>
        </w:tc>
        <w:tc>
          <w:tcPr>
            <w:tcW w:type="dxa" w:w="1008"/>
            <w:shd w:fill="1B365D"/>
            <w:tcMar>
              <w:top w:w="80" w:type="dxa"/>
              <w:bottom w:w="80" w:type="dxa"/>
              <w:left w:w="60" w:type="dxa"/>
              <w:right w:w="60" w:type="dxa"/>
            </w:tcMar>
          </w:tcPr>
          <w:p>
            <w:pPr>
              <w:jc w:val="center"/>
            </w:pPr>
            <w:r>
              <w:rPr>
                <w:rFonts w:ascii="Calibri" w:hAnsi="Calibri"/>
                <w:b/>
                <w:color w:val="FFFFFF"/>
                <w:sz w:val="16"/>
              </w:rPr>
              <w:t>3.0%</w:t>
            </w:r>
          </w:p>
        </w:tc>
        <w:tc>
          <w:tcPr>
            <w:tcW w:type="dxa" w:w="1008"/>
            <w:shd w:fill="1B365D"/>
            <w:tcMar>
              <w:top w:w="80" w:type="dxa"/>
              <w:bottom w:w="80" w:type="dxa"/>
              <w:left w:w="60" w:type="dxa"/>
              <w:right w:w="60" w:type="dxa"/>
            </w:tcMar>
          </w:tcPr>
          <w:p>
            <w:pPr>
              <w:jc w:val="center"/>
            </w:pPr>
            <w:r>
              <w:rPr>
                <w:rFonts w:ascii="Calibri" w:hAnsi="Calibri"/>
                <w:b/>
                <w:color w:val="FFFFFF"/>
                <w:sz w:val="16"/>
              </w:rPr>
              <w:t>3.5%</w:t>
            </w:r>
          </w:p>
        </w:tc>
        <w:tc>
          <w:tcPr>
            <w:tcW w:type="dxa" w:w="2016"/>
            <w:shd w:fill="1B365D"/>
            <w:tcMar>
              <w:top w:w="80" w:type="dxa"/>
              <w:bottom w:w="80" w:type="dxa"/>
              <w:left w:w="60" w:type="dxa"/>
              <w:right w:w="60" w:type="dxa"/>
            </w:tcMar>
          </w:tcPr>
          <w:p>
            <w:pPr>
              <w:jc w:val="left"/>
            </w:pPr>
            <w:r>
              <w:rPr>
                <w:rFonts w:ascii="Calibri" w:hAnsi="Calibri"/>
                <w:b/>
                <w:color w:val="FFFFFF"/>
                <w:sz w:val="16"/>
              </w:rPr>
              <w:t>Diagnóstico</w:t>
            </w:r>
          </w:p>
        </w:tc>
      </w:tr>
      <w:tr>
        <w:tc>
          <w:tcPr>
            <w:tcW w:type="dxa" w:w="1728"/>
            <w:tcMar>
              <w:top w:w="50" w:type="dxa"/>
              <w:bottom w:w="50" w:type="dxa"/>
              <w:left w:w="60" w:type="dxa"/>
              <w:right w:w="60" w:type="dxa"/>
            </w:tcMar>
          </w:tcPr>
          <w:p>
            <w:pPr>
              <w:jc w:val="center"/>
            </w:pPr>
            <w:r>
              <w:rPr>
                <w:rFonts w:ascii="Calibri" w:hAnsi="Calibri"/>
                <w:b/>
                <w:sz w:val="16"/>
              </w:rPr>
              <w:t>9.40% (Bajo)</w:t>
            </w:r>
          </w:p>
        </w:tc>
        <w:tc>
          <w:tcPr>
            <w:tcW w:type="dxa" w:w="1008"/>
            <w:tcMar>
              <w:top w:w="50" w:type="dxa"/>
              <w:bottom w:w="50" w:type="dxa"/>
              <w:left w:w="60" w:type="dxa"/>
              <w:right w:w="60" w:type="dxa"/>
            </w:tcMar>
          </w:tcPr>
          <w:p>
            <w:pPr>
              <w:jc w:val="center"/>
            </w:pPr>
            <w:r>
              <w:rPr>
                <w:rFonts w:ascii="Calibri" w:hAnsi="Calibri"/>
                <w:sz w:val="16"/>
              </w:rPr>
              <w:t>18.5%</w:t>
            </w:r>
          </w:p>
        </w:tc>
        <w:tc>
          <w:tcPr>
            <w:tcW w:type="dxa" w:w="1008"/>
            <w:tcMar>
              <w:top w:w="50" w:type="dxa"/>
              <w:bottom w:w="50" w:type="dxa"/>
              <w:left w:w="60" w:type="dxa"/>
              <w:right w:w="60" w:type="dxa"/>
            </w:tcMar>
          </w:tcPr>
          <w:p>
            <w:pPr>
              <w:jc w:val="center"/>
            </w:pPr>
            <w:r>
              <w:rPr>
                <w:rFonts w:ascii="Calibri" w:hAnsi="Calibri"/>
                <w:sz w:val="16"/>
              </w:rPr>
              <w:t>18.0%</w:t>
            </w:r>
          </w:p>
        </w:tc>
        <w:tc>
          <w:tcPr>
            <w:tcW w:type="dxa" w:w="1008"/>
            <w:tcMar>
              <w:top w:w="50" w:type="dxa"/>
              <w:bottom w:w="50" w:type="dxa"/>
              <w:left w:w="60" w:type="dxa"/>
              <w:right w:w="60" w:type="dxa"/>
            </w:tcMar>
          </w:tcPr>
          <w:p>
            <w:pPr>
              <w:jc w:val="center"/>
            </w:pPr>
            <w:r>
              <w:rPr>
                <w:rFonts w:ascii="Calibri" w:hAnsi="Calibri"/>
                <w:sz w:val="16"/>
              </w:rPr>
              <w:t>17.3%</w:t>
            </w:r>
          </w:p>
        </w:tc>
        <w:tc>
          <w:tcPr>
            <w:tcW w:type="dxa" w:w="1008"/>
            <w:tcMar>
              <w:top w:w="50" w:type="dxa"/>
              <w:bottom w:w="50" w:type="dxa"/>
              <w:left w:w="60" w:type="dxa"/>
              <w:right w:w="60" w:type="dxa"/>
            </w:tcMar>
          </w:tcPr>
          <w:p>
            <w:pPr>
              <w:jc w:val="center"/>
            </w:pPr>
            <w:r>
              <w:rPr>
                <w:rFonts w:ascii="Calibri" w:hAnsi="Calibri"/>
                <w:b/>
                <w:sz w:val="16"/>
              </w:rPr>
              <w:t>16.7%</w:t>
            </w:r>
          </w:p>
        </w:tc>
        <w:tc>
          <w:tcPr>
            <w:tcW w:type="dxa" w:w="1008"/>
            <w:tcMar>
              <w:top w:w="50" w:type="dxa"/>
              <w:bottom w:w="50" w:type="dxa"/>
              <w:left w:w="60" w:type="dxa"/>
              <w:right w:w="60" w:type="dxa"/>
            </w:tcMar>
          </w:tcPr>
          <w:p>
            <w:pPr>
              <w:jc w:val="center"/>
            </w:pPr>
            <w:r>
              <w:rPr>
                <w:rFonts w:ascii="Calibri" w:hAnsi="Calibri"/>
                <w:sz w:val="16"/>
              </w:rPr>
              <w:t>16.0%</w:t>
            </w:r>
          </w:p>
        </w:tc>
        <w:tc>
          <w:tcPr>
            <w:tcW w:type="dxa" w:w="1008"/>
            <w:tcMar>
              <w:top w:w="50" w:type="dxa"/>
              <w:bottom w:w="50" w:type="dxa"/>
              <w:left w:w="60" w:type="dxa"/>
              <w:right w:w="60" w:type="dxa"/>
            </w:tcMar>
          </w:tcPr>
          <w:p>
            <w:pPr>
              <w:jc w:val="center"/>
            </w:pPr>
            <w:r>
              <w:rPr>
                <w:rFonts w:ascii="Calibri" w:hAnsi="Calibri"/>
                <w:sz w:val="16"/>
              </w:rPr>
              <w:t>15.2%</w:t>
            </w:r>
          </w:p>
        </w:tc>
        <w:tc>
          <w:tcPr>
            <w:tcW w:type="dxa" w:w="2016"/>
            <w:tcMar>
              <w:top w:w="50" w:type="dxa"/>
              <w:bottom w:w="50" w:type="dxa"/>
              <w:left w:w="60" w:type="dxa"/>
              <w:right w:w="60" w:type="dxa"/>
            </w:tcMar>
          </w:tcPr>
          <w:p>
            <w:pPr>
              <w:jc w:val="left"/>
            </w:pPr>
            <w:r>
              <w:rPr>
                <w:rFonts w:ascii="Calibri" w:hAnsi="Calibri"/>
                <w:sz w:val="16"/>
              </w:rPr>
              <w:t>Exigencia moderada.</w:t>
            </w:r>
          </w:p>
        </w:tc>
      </w:tr>
      <w:tr>
        <w:tc>
          <w:tcPr>
            <w:tcW w:type="dxa" w:w="1728"/>
            <w:tcMar>
              <w:top w:w="50" w:type="dxa"/>
              <w:bottom w:w="50" w:type="dxa"/>
              <w:left w:w="60" w:type="dxa"/>
              <w:right w:w="60" w:type="dxa"/>
            </w:tcMar>
          </w:tcPr>
          <w:p>
            <w:pPr>
              <w:jc w:val="center"/>
            </w:pPr>
            <w:r>
              <w:rPr>
                <w:rFonts w:ascii="Calibri" w:hAnsi="Calibri"/>
                <w:b/>
                <w:sz w:val="16"/>
              </w:rPr>
              <w:t>9.98% (Base)</w:t>
            </w:r>
          </w:p>
        </w:tc>
        <w:tc>
          <w:tcPr>
            <w:tcW w:type="dxa" w:w="1008"/>
            <w:tcMar>
              <w:top w:w="50" w:type="dxa"/>
              <w:bottom w:w="50" w:type="dxa"/>
              <w:left w:w="60" w:type="dxa"/>
              <w:right w:w="60" w:type="dxa"/>
            </w:tcMar>
          </w:tcPr>
          <w:p>
            <w:pPr>
              <w:jc w:val="center"/>
            </w:pPr>
            <w:r>
              <w:rPr>
                <w:rFonts w:ascii="Calibri" w:hAnsi="Calibri"/>
                <w:sz w:val="16"/>
              </w:rPr>
              <w:t>19.6%</w:t>
            </w:r>
          </w:p>
        </w:tc>
        <w:tc>
          <w:tcPr>
            <w:tcW w:type="dxa" w:w="1008"/>
            <w:tcMar>
              <w:top w:w="50" w:type="dxa"/>
              <w:bottom w:w="50" w:type="dxa"/>
              <w:left w:w="60" w:type="dxa"/>
              <w:right w:w="60" w:type="dxa"/>
            </w:tcMar>
          </w:tcPr>
          <w:p>
            <w:pPr>
              <w:jc w:val="center"/>
            </w:pPr>
            <w:r>
              <w:rPr>
                <w:rFonts w:ascii="Calibri" w:hAnsi="Calibri"/>
                <w:sz w:val="16"/>
              </w:rPr>
              <w:t>19.0%</w:t>
            </w:r>
          </w:p>
        </w:tc>
        <w:tc>
          <w:tcPr>
            <w:tcW w:type="dxa" w:w="1008"/>
            <w:tcMar>
              <w:top w:w="50" w:type="dxa"/>
              <w:bottom w:w="50" w:type="dxa"/>
              <w:left w:w="60" w:type="dxa"/>
              <w:right w:w="60" w:type="dxa"/>
            </w:tcMar>
          </w:tcPr>
          <w:p>
            <w:pPr>
              <w:jc w:val="center"/>
            </w:pPr>
            <w:r>
              <w:rPr>
                <w:rFonts w:ascii="Calibri" w:hAnsi="Calibri"/>
                <w:sz w:val="16"/>
              </w:rPr>
              <w:t>18.4%</w:t>
            </w:r>
          </w:p>
        </w:tc>
        <w:tc>
          <w:tcPr>
            <w:tcW w:type="dxa" w:w="1008"/>
            <w:tcMar>
              <w:top w:w="50" w:type="dxa"/>
              <w:bottom w:w="50" w:type="dxa"/>
              <w:left w:w="60" w:type="dxa"/>
              <w:right w:w="60" w:type="dxa"/>
            </w:tcMar>
          </w:tcPr>
          <w:p>
            <w:pPr>
              <w:jc w:val="center"/>
            </w:pPr>
            <w:r>
              <w:rPr>
                <w:rFonts w:ascii="Calibri" w:hAnsi="Calibri"/>
                <w:b/>
                <w:sz w:val="16"/>
              </w:rPr>
              <w:t>17.9%</w:t>
            </w:r>
          </w:p>
        </w:tc>
        <w:tc>
          <w:tcPr>
            <w:tcW w:type="dxa" w:w="1008"/>
            <w:tcMar>
              <w:top w:w="50" w:type="dxa"/>
              <w:bottom w:w="50" w:type="dxa"/>
              <w:left w:w="60" w:type="dxa"/>
              <w:right w:w="60" w:type="dxa"/>
            </w:tcMar>
          </w:tcPr>
          <w:p>
            <w:pPr>
              <w:jc w:val="center"/>
            </w:pPr>
            <w:r>
              <w:rPr>
                <w:rFonts w:ascii="Calibri" w:hAnsi="Calibri"/>
                <w:sz w:val="16"/>
              </w:rPr>
              <w:t>17.2%</w:t>
            </w:r>
          </w:p>
        </w:tc>
        <w:tc>
          <w:tcPr>
            <w:tcW w:type="dxa" w:w="1008"/>
            <w:tcMar>
              <w:top w:w="50" w:type="dxa"/>
              <w:bottom w:w="50" w:type="dxa"/>
              <w:left w:w="60" w:type="dxa"/>
              <w:right w:w="60" w:type="dxa"/>
            </w:tcMar>
          </w:tcPr>
          <w:p>
            <w:pPr>
              <w:jc w:val="center"/>
            </w:pPr>
            <w:r>
              <w:rPr>
                <w:rFonts w:ascii="Calibri" w:hAnsi="Calibri"/>
                <w:sz w:val="16"/>
              </w:rPr>
              <w:t>16.4%</w:t>
            </w:r>
          </w:p>
        </w:tc>
        <w:tc>
          <w:tcPr>
            <w:tcW w:type="dxa" w:w="2016"/>
            <w:tcMar>
              <w:top w:w="50" w:type="dxa"/>
              <w:bottom w:w="50" w:type="dxa"/>
              <w:left w:w="60" w:type="dxa"/>
              <w:right w:w="60" w:type="dxa"/>
            </w:tcMar>
          </w:tcPr>
          <w:p>
            <w:pPr>
              <w:jc w:val="left"/>
            </w:pPr>
            <w:r>
              <w:rPr>
                <w:rFonts w:ascii="Calibri" w:hAnsi="Calibri"/>
                <w:sz w:val="16"/>
              </w:rPr>
              <w:t>Escenario Central.</w:t>
            </w:r>
          </w:p>
        </w:tc>
      </w:tr>
      <w:tr>
        <w:tc>
          <w:tcPr>
            <w:tcW w:type="dxa" w:w="1728"/>
            <w:tcMar>
              <w:top w:w="50" w:type="dxa"/>
              <w:bottom w:w="50" w:type="dxa"/>
              <w:left w:w="60" w:type="dxa"/>
              <w:right w:w="60" w:type="dxa"/>
            </w:tcMar>
          </w:tcPr>
          <w:p>
            <w:pPr>
              <w:jc w:val="center"/>
            </w:pPr>
            <w:r>
              <w:rPr>
                <w:rFonts w:ascii="Calibri" w:hAnsi="Calibri"/>
                <w:b/>
                <w:sz w:val="16"/>
              </w:rPr>
              <w:t>10.40% (Med)</w:t>
            </w:r>
          </w:p>
        </w:tc>
        <w:tc>
          <w:tcPr>
            <w:tcW w:type="dxa" w:w="1008"/>
            <w:tcMar>
              <w:top w:w="50" w:type="dxa"/>
              <w:bottom w:w="50" w:type="dxa"/>
              <w:left w:w="60" w:type="dxa"/>
              <w:right w:w="60" w:type="dxa"/>
            </w:tcMar>
          </w:tcPr>
          <w:p>
            <w:pPr>
              <w:jc w:val="center"/>
            </w:pPr>
            <w:r>
              <w:rPr>
                <w:rFonts w:ascii="Calibri" w:hAnsi="Calibri"/>
                <w:sz w:val="16"/>
              </w:rPr>
              <w:t>20.6%</w:t>
            </w:r>
          </w:p>
        </w:tc>
        <w:tc>
          <w:tcPr>
            <w:tcW w:type="dxa" w:w="1008"/>
            <w:tcMar>
              <w:top w:w="50" w:type="dxa"/>
              <w:bottom w:w="50" w:type="dxa"/>
              <w:left w:w="60" w:type="dxa"/>
              <w:right w:w="60" w:type="dxa"/>
            </w:tcMar>
          </w:tcPr>
          <w:p>
            <w:pPr>
              <w:jc w:val="center"/>
            </w:pPr>
            <w:r>
              <w:rPr>
                <w:rFonts w:ascii="Calibri" w:hAnsi="Calibri"/>
                <w:sz w:val="16"/>
              </w:rPr>
              <w:t>20.1%</w:t>
            </w:r>
          </w:p>
        </w:tc>
        <w:tc>
          <w:tcPr>
            <w:tcW w:type="dxa" w:w="1008"/>
            <w:tcMar>
              <w:top w:w="50" w:type="dxa"/>
              <w:bottom w:w="50" w:type="dxa"/>
              <w:left w:w="60" w:type="dxa"/>
              <w:right w:w="60" w:type="dxa"/>
            </w:tcMar>
          </w:tcPr>
          <w:p>
            <w:pPr>
              <w:jc w:val="center"/>
            </w:pPr>
            <w:r>
              <w:rPr>
                <w:rFonts w:ascii="Calibri" w:hAnsi="Calibri"/>
                <w:sz w:val="16"/>
              </w:rPr>
              <w:t>19.5%</w:t>
            </w:r>
          </w:p>
        </w:tc>
        <w:tc>
          <w:tcPr>
            <w:tcW w:type="dxa" w:w="1008"/>
            <w:tcMar>
              <w:top w:w="50" w:type="dxa"/>
              <w:bottom w:w="50" w:type="dxa"/>
              <w:left w:w="60" w:type="dxa"/>
              <w:right w:w="60" w:type="dxa"/>
            </w:tcMar>
          </w:tcPr>
          <w:p>
            <w:pPr>
              <w:jc w:val="center"/>
            </w:pPr>
            <w:r>
              <w:rPr>
                <w:rFonts w:ascii="Calibri" w:hAnsi="Calibri"/>
                <w:b/>
                <w:sz w:val="16"/>
              </w:rPr>
              <w:t>18.9%</w:t>
            </w:r>
          </w:p>
        </w:tc>
        <w:tc>
          <w:tcPr>
            <w:tcW w:type="dxa" w:w="1008"/>
            <w:tcMar>
              <w:top w:w="50" w:type="dxa"/>
              <w:bottom w:w="50" w:type="dxa"/>
              <w:left w:w="60" w:type="dxa"/>
              <w:right w:w="60" w:type="dxa"/>
            </w:tcMar>
          </w:tcPr>
          <w:p>
            <w:pPr>
              <w:jc w:val="center"/>
            </w:pPr>
            <w:r>
              <w:rPr>
                <w:rFonts w:ascii="Calibri" w:hAnsi="Calibri"/>
                <w:sz w:val="16"/>
              </w:rPr>
              <w:t>18.3%</w:t>
            </w:r>
          </w:p>
        </w:tc>
        <w:tc>
          <w:tcPr>
            <w:tcW w:type="dxa" w:w="1008"/>
            <w:tcMar>
              <w:top w:w="50" w:type="dxa"/>
              <w:bottom w:w="50" w:type="dxa"/>
              <w:left w:w="60" w:type="dxa"/>
              <w:right w:w="60" w:type="dxa"/>
            </w:tcMar>
          </w:tcPr>
          <w:p>
            <w:pPr>
              <w:jc w:val="center"/>
            </w:pPr>
            <w:r>
              <w:rPr>
                <w:rFonts w:ascii="Calibri" w:hAnsi="Calibri"/>
                <w:sz w:val="16"/>
              </w:rPr>
              <w:t>17.7%</w:t>
            </w:r>
          </w:p>
        </w:tc>
        <w:tc>
          <w:tcPr>
            <w:tcW w:type="dxa" w:w="2016"/>
            <w:tcMar>
              <w:top w:w="50" w:type="dxa"/>
              <w:bottom w:w="50" w:type="dxa"/>
              <w:left w:w="60" w:type="dxa"/>
              <w:right w:w="60" w:type="dxa"/>
            </w:tcMar>
          </w:tcPr>
          <w:p>
            <w:pPr>
              <w:jc w:val="left"/>
            </w:pPr>
            <w:r>
              <w:rPr>
                <w:rFonts w:ascii="Calibri" w:hAnsi="Calibri"/>
                <w:sz w:val="16"/>
              </w:rPr>
              <w:t>Exigencia elevada.</w:t>
            </w:r>
          </w:p>
        </w:tc>
      </w:tr>
      <w:tr>
        <w:tc>
          <w:tcPr>
            <w:tcW w:type="dxa" w:w="1728"/>
            <w:tcMar>
              <w:top w:w="50" w:type="dxa"/>
              <w:bottom w:w="50" w:type="dxa"/>
              <w:left w:w="60" w:type="dxa"/>
              <w:right w:w="60" w:type="dxa"/>
            </w:tcMar>
          </w:tcPr>
          <w:p>
            <w:pPr>
              <w:jc w:val="center"/>
            </w:pPr>
            <w:r>
              <w:rPr>
                <w:rFonts w:ascii="Calibri" w:hAnsi="Calibri"/>
                <w:b/>
                <w:sz w:val="16"/>
              </w:rPr>
              <w:t>10.90% (Fiscal)</w:t>
            </w:r>
          </w:p>
        </w:tc>
        <w:tc>
          <w:tcPr>
            <w:tcW w:type="dxa" w:w="1008"/>
            <w:tcMar>
              <w:top w:w="50" w:type="dxa"/>
              <w:bottom w:w="50" w:type="dxa"/>
              <w:left w:w="60" w:type="dxa"/>
              <w:right w:w="60" w:type="dxa"/>
            </w:tcMar>
          </w:tcPr>
          <w:p>
            <w:pPr>
              <w:jc w:val="center"/>
            </w:pPr>
            <w:r>
              <w:rPr>
                <w:rFonts w:ascii="Calibri" w:hAnsi="Calibri"/>
                <w:sz w:val="16"/>
              </w:rPr>
              <w:t>21.6%</w:t>
            </w:r>
          </w:p>
        </w:tc>
        <w:tc>
          <w:tcPr>
            <w:tcW w:type="dxa" w:w="1008"/>
            <w:tcMar>
              <w:top w:w="50" w:type="dxa"/>
              <w:bottom w:w="50" w:type="dxa"/>
              <w:left w:w="60" w:type="dxa"/>
              <w:right w:w="60" w:type="dxa"/>
            </w:tcMar>
          </w:tcPr>
          <w:p>
            <w:pPr>
              <w:jc w:val="center"/>
            </w:pPr>
            <w:r>
              <w:rPr>
                <w:rFonts w:ascii="Calibri" w:hAnsi="Calibri"/>
                <w:sz w:val="16"/>
              </w:rPr>
              <w:t>21.1%</w:t>
            </w:r>
          </w:p>
        </w:tc>
        <w:tc>
          <w:tcPr>
            <w:tcW w:type="dxa" w:w="1008"/>
            <w:tcMar>
              <w:top w:w="50" w:type="dxa"/>
              <w:bottom w:w="50" w:type="dxa"/>
              <w:left w:w="60" w:type="dxa"/>
              <w:right w:w="60" w:type="dxa"/>
            </w:tcMar>
          </w:tcPr>
          <w:p>
            <w:pPr>
              <w:jc w:val="center"/>
            </w:pPr>
            <w:r>
              <w:rPr>
                <w:rFonts w:ascii="Calibri" w:hAnsi="Calibri"/>
                <w:sz w:val="16"/>
              </w:rPr>
              <w:t>20.6%</w:t>
            </w:r>
          </w:p>
        </w:tc>
        <w:tc>
          <w:tcPr>
            <w:tcW w:type="dxa" w:w="1008"/>
            <w:tcMar>
              <w:top w:w="50" w:type="dxa"/>
              <w:bottom w:w="50" w:type="dxa"/>
              <w:left w:w="60" w:type="dxa"/>
              <w:right w:w="60" w:type="dxa"/>
            </w:tcMar>
          </w:tcPr>
          <w:p>
            <w:pPr>
              <w:jc w:val="center"/>
            </w:pPr>
            <w:r>
              <w:rPr>
                <w:rFonts w:ascii="Calibri" w:hAnsi="Calibri"/>
                <w:b/>
                <w:sz w:val="16"/>
              </w:rPr>
              <w:t>20.3%</w:t>
            </w:r>
          </w:p>
        </w:tc>
        <w:tc>
          <w:tcPr>
            <w:tcW w:type="dxa" w:w="1008"/>
            <w:tcMar>
              <w:top w:w="50" w:type="dxa"/>
              <w:bottom w:w="50" w:type="dxa"/>
              <w:left w:w="60" w:type="dxa"/>
              <w:right w:w="60" w:type="dxa"/>
            </w:tcMar>
          </w:tcPr>
          <w:p>
            <w:pPr>
              <w:jc w:val="center"/>
            </w:pPr>
            <w:r>
              <w:rPr>
                <w:rFonts w:ascii="Calibri" w:hAnsi="Calibri"/>
                <w:sz w:val="16"/>
              </w:rPr>
              <w:t>19.4%</w:t>
            </w:r>
          </w:p>
        </w:tc>
        <w:tc>
          <w:tcPr>
            <w:tcW w:type="dxa" w:w="1008"/>
            <w:tcMar>
              <w:top w:w="50" w:type="dxa"/>
              <w:bottom w:w="50" w:type="dxa"/>
              <w:left w:w="60" w:type="dxa"/>
              <w:right w:w="60" w:type="dxa"/>
            </w:tcMar>
          </w:tcPr>
          <w:p>
            <w:pPr>
              <w:jc w:val="center"/>
            </w:pPr>
            <w:r>
              <w:rPr>
                <w:rFonts w:ascii="Calibri" w:hAnsi="Calibri"/>
                <w:sz w:val="16"/>
              </w:rPr>
              <w:t>18.8%</w:t>
            </w:r>
          </w:p>
        </w:tc>
        <w:tc>
          <w:tcPr>
            <w:tcW w:type="dxa" w:w="2016"/>
            <w:tcMar>
              <w:top w:w="50" w:type="dxa"/>
              <w:bottom w:w="50" w:type="dxa"/>
              <w:left w:w="60" w:type="dxa"/>
              <w:right w:w="60" w:type="dxa"/>
            </w:tcMar>
          </w:tcPr>
          <w:p>
            <w:pPr>
              <w:jc w:val="left"/>
            </w:pPr>
            <w:r>
              <w:rPr>
                <w:rFonts w:ascii="Calibri" w:hAnsi="Calibri"/>
                <w:sz w:val="16"/>
              </w:rPr>
              <w:t>Exigencia severa.</w:t>
            </w:r>
          </w:p>
        </w:tc>
      </w:tr>
      <w:tr>
        <w:tc>
          <w:tcPr>
            <w:tcW w:type="dxa" w:w="1728"/>
            <w:tcMar>
              <w:top w:w="50" w:type="dxa"/>
              <w:bottom w:w="50" w:type="dxa"/>
              <w:left w:w="60" w:type="dxa"/>
              <w:right w:w="60" w:type="dxa"/>
            </w:tcMar>
          </w:tcPr>
          <w:p>
            <w:pPr>
              <w:jc w:val="center"/>
            </w:pPr>
            <w:r>
              <w:rPr>
                <w:rFonts w:ascii="Calibri" w:hAnsi="Calibri"/>
                <w:b/>
                <w:sz w:val="16"/>
              </w:rPr>
              <w:t>11.40% (Alto)</w:t>
            </w:r>
          </w:p>
        </w:tc>
        <w:tc>
          <w:tcPr>
            <w:tcW w:type="dxa" w:w="1008"/>
            <w:tcMar>
              <w:top w:w="50" w:type="dxa"/>
              <w:bottom w:w="50" w:type="dxa"/>
              <w:left w:w="60" w:type="dxa"/>
              <w:right w:w="60" w:type="dxa"/>
            </w:tcMar>
          </w:tcPr>
          <w:p>
            <w:pPr>
              <w:jc w:val="center"/>
            </w:pPr>
            <w:r>
              <w:rPr>
                <w:rFonts w:ascii="Calibri" w:hAnsi="Calibri"/>
                <w:sz w:val="16"/>
              </w:rPr>
              <w:t>22.5%</w:t>
            </w:r>
          </w:p>
        </w:tc>
        <w:tc>
          <w:tcPr>
            <w:tcW w:type="dxa" w:w="1008"/>
            <w:tcMar>
              <w:top w:w="50" w:type="dxa"/>
              <w:bottom w:w="50" w:type="dxa"/>
              <w:left w:w="60" w:type="dxa"/>
              <w:right w:w="60" w:type="dxa"/>
            </w:tcMar>
          </w:tcPr>
          <w:p>
            <w:pPr>
              <w:jc w:val="center"/>
            </w:pPr>
            <w:r>
              <w:rPr>
                <w:rFonts w:ascii="Calibri" w:hAnsi="Calibri"/>
                <w:sz w:val="16"/>
              </w:rPr>
              <w:t>22.1%</w:t>
            </w:r>
          </w:p>
        </w:tc>
        <w:tc>
          <w:tcPr>
            <w:tcW w:type="dxa" w:w="1008"/>
            <w:tcMar>
              <w:top w:w="50" w:type="dxa"/>
              <w:bottom w:w="50" w:type="dxa"/>
              <w:left w:w="60" w:type="dxa"/>
              <w:right w:w="60" w:type="dxa"/>
            </w:tcMar>
          </w:tcPr>
          <w:p>
            <w:pPr>
              <w:jc w:val="center"/>
            </w:pPr>
            <w:r>
              <w:rPr>
                <w:rFonts w:ascii="Calibri" w:hAnsi="Calibri"/>
                <w:sz w:val="16"/>
              </w:rPr>
              <w:t>21.6%</w:t>
            </w:r>
          </w:p>
        </w:tc>
        <w:tc>
          <w:tcPr>
            <w:tcW w:type="dxa" w:w="1008"/>
            <w:tcMar>
              <w:top w:w="50" w:type="dxa"/>
              <w:bottom w:w="50" w:type="dxa"/>
              <w:left w:w="60" w:type="dxa"/>
              <w:right w:w="60" w:type="dxa"/>
            </w:tcMar>
          </w:tcPr>
          <w:p>
            <w:pPr>
              <w:jc w:val="center"/>
            </w:pPr>
            <w:r>
              <w:rPr>
                <w:rFonts w:ascii="Calibri" w:hAnsi="Calibri"/>
                <w:b/>
                <w:sz w:val="16"/>
              </w:rPr>
              <w:t>21.1%</w:t>
            </w:r>
          </w:p>
        </w:tc>
        <w:tc>
          <w:tcPr>
            <w:tcW w:type="dxa" w:w="1008"/>
            <w:tcMar>
              <w:top w:w="50" w:type="dxa"/>
              <w:bottom w:w="50" w:type="dxa"/>
              <w:left w:w="60" w:type="dxa"/>
              <w:right w:w="60" w:type="dxa"/>
            </w:tcMar>
          </w:tcPr>
          <w:p>
            <w:pPr>
              <w:jc w:val="center"/>
            </w:pPr>
            <w:r>
              <w:rPr>
                <w:rFonts w:ascii="Calibri" w:hAnsi="Calibri"/>
                <w:sz w:val="16"/>
              </w:rPr>
              <w:t>20.5%</w:t>
            </w:r>
          </w:p>
        </w:tc>
        <w:tc>
          <w:tcPr>
            <w:tcW w:type="dxa" w:w="1008"/>
            <w:tcMar>
              <w:top w:w="50" w:type="dxa"/>
              <w:bottom w:w="50" w:type="dxa"/>
              <w:left w:w="60" w:type="dxa"/>
              <w:right w:w="60" w:type="dxa"/>
            </w:tcMar>
          </w:tcPr>
          <w:p>
            <w:pPr>
              <w:jc w:val="center"/>
            </w:pPr>
            <w:r>
              <w:rPr>
                <w:rFonts w:ascii="Calibri" w:hAnsi="Calibri"/>
                <w:sz w:val="16"/>
              </w:rPr>
              <w:t>19.9%</w:t>
            </w:r>
          </w:p>
        </w:tc>
        <w:tc>
          <w:tcPr>
            <w:tcW w:type="dxa" w:w="2016"/>
            <w:tcMar>
              <w:top w:w="50" w:type="dxa"/>
              <w:bottom w:w="50" w:type="dxa"/>
              <w:left w:w="60" w:type="dxa"/>
              <w:right w:w="60" w:type="dxa"/>
            </w:tcMar>
          </w:tcPr>
          <w:p>
            <w:pPr>
              <w:jc w:val="left"/>
            </w:pPr>
            <w:r>
              <w:rPr>
                <w:rFonts w:ascii="Calibri" w:hAnsi="Calibri"/>
                <w:sz w:val="16"/>
              </w:rPr>
              <w:t>Estrés macro.</w:t>
            </w:r>
          </w:p>
        </w:tc>
      </w:tr>
    </w:tbl>
    <w:p>
      <w:pPr>
        <w:pStyle w:val="Heading2"/>
      </w:pPr>
      <w:r>
        <w:rPr>
          <w:rFonts w:ascii="Calibri" w:hAnsi="Calibri"/>
          <w:b/>
          <w:color w:val="1B365D"/>
          <w:sz w:val="23"/>
        </w:rPr>
        <w:t>14.5. Cuadro de Mando Consolidado y Tesis Final de Inversión</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880"/>
        <w:gridCol w:w="1872"/>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Dimensión Fundamental</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Auditado</w:t>
            </w:r>
          </w:p>
        </w:tc>
        <w:tc>
          <w:tcPr>
            <w:tcW w:type="dxa" w:w="1872"/>
            <w:shd w:fill="1B365D"/>
            <w:tcMar>
              <w:top w:w="80" w:type="dxa"/>
              <w:bottom w:w="80" w:type="dxa"/>
              <w:left w:w="80" w:type="dxa"/>
              <w:right w:w="80" w:type="dxa"/>
            </w:tcMar>
          </w:tcPr>
          <w:p>
            <w:pPr>
              <w:jc w:val="center"/>
            </w:pPr>
            <w:r>
              <w:rPr>
                <w:rFonts w:ascii="Calibri" w:hAnsi="Calibri"/>
                <w:b/>
                <w:color w:val="FFFFFF"/>
                <w:sz w:val="17"/>
              </w:rPr>
              <w:t>Calificación</w:t>
            </w:r>
          </w:p>
        </w:tc>
        <w:tc>
          <w:tcPr>
            <w:tcW w:type="dxa" w:w="2880"/>
            <w:shd w:fill="1B365D"/>
            <w:tcMar>
              <w:top w:w="80" w:type="dxa"/>
              <w:bottom w:w="80" w:type="dxa"/>
              <w:left w:w="80" w:type="dxa"/>
              <w:right w:w="80" w:type="dxa"/>
            </w:tcMar>
          </w:tcPr>
          <w:p>
            <w:pPr>
              <w:jc w:val="left"/>
            </w:pPr>
            <w:r>
              <w:rPr>
                <w:rFonts w:ascii="Calibri" w:hAnsi="Calibri"/>
                <w:b/>
                <w:color w:val="FFFFFF"/>
                <w:sz w:val="17"/>
              </w:rPr>
              <w:t>Veredicto de Asignación</w:t>
            </w:r>
          </w:p>
        </w:tc>
      </w:tr>
      <w:tr>
        <w:tc>
          <w:tcPr>
            <w:tcW w:type="dxa" w:w="2160"/>
            <w:tcMar>
              <w:top w:w="50" w:type="dxa"/>
              <w:bottom w:w="50" w:type="dxa"/>
              <w:left w:w="60" w:type="dxa"/>
              <w:right w:w="60" w:type="dxa"/>
            </w:tcMar>
          </w:tcPr>
          <w:p>
            <w:pPr>
              <w:jc w:val="left"/>
            </w:pPr>
            <w:r>
              <w:rPr>
                <w:rFonts w:ascii="Calibri" w:hAnsi="Calibri"/>
                <w:b/>
                <w:sz w:val="16"/>
              </w:rPr>
              <w:t>Ventaja Competitiva (Moat)</w:t>
            </w:r>
          </w:p>
        </w:tc>
        <w:tc>
          <w:tcPr>
            <w:tcW w:type="dxa" w:w="2880"/>
            <w:tcMar>
              <w:top w:w="50" w:type="dxa"/>
              <w:bottom w:w="50" w:type="dxa"/>
              <w:left w:w="60" w:type="dxa"/>
              <w:right w:w="60" w:type="dxa"/>
            </w:tcMar>
          </w:tcPr>
          <w:p>
            <w:pPr>
              <w:jc w:val="left"/>
            </w:pPr>
            <w:r>
              <w:rPr>
                <w:rFonts w:ascii="Calibri" w:hAnsi="Calibri"/>
                <w:sz w:val="16"/>
              </w:rPr>
              <w:t>Ecosistema cautivo + Apple Silicon</w:t>
            </w:r>
          </w:p>
        </w:tc>
        <w:tc>
          <w:tcPr>
            <w:tcW w:type="dxa" w:w="1872"/>
            <w:tcMar>
              <w:top w:w="50" w:type="dxa"/>
              <w:bottom w:w="50" w:type="dxa"/>
              <w:left w:w="60" w:type="dxa"/>
              <w:right w:w="60" w:type="dxa"/>
            </w:tcMar>
          </w:tcPr>
          <w:p>
            <w:pPr>
              <w:jc w:val="center"/>
            </w:pPr>
            <w:r>
              <w:rPr>
                <w:rFonts w:ascii="Calibri" w:hAnsi="Calibri"/>
                <w:b/>
                <w:sz w:val="16"/>
              </w:rPr>
              <w:t>WIDE MOAT</w:t>
            </w:r>
          </w:p>
        </w:tc>
        <w:tc>
          <w:tcPr>
            <w:tcW w:type="dxa" w:w="2880"/>
            <w:tcMar>
              <w:top w:w="50" w:type="dxa"/>
              <w:bottom w:w="50" w:type="dxa"/>
              <w:left w:w="60" w:type="dxa"/>
              <w:right w:w="60" w:type="dxa"/>
            </w:tcMar>
          </w:tcPr>
          <w:p>
            <w:pPr>
              <w:jc w:val="left"/>
            </w:pPr>
            <w:r>
              <w:rPr>
                <w:rFonts w:ascii="Calibri" w:hAnsi="Calibri"/>
                <w:sz w:val="16"/>
              </w:rPr>
              <w:t>Poder de precios y resiliencia (&gt;32% EBIT).</w:t>
            </w:r>
          </w:p>
        </w:tc>
      </w:tr>
      <w:tr>
        <w:tc>
          <w:tcPr>
            <w:tcW w:type="dxa" w:w="2160"/>
            <w:tcMar>
              <w:top w:w="50" w:type="dxa"/>
              <w:bottom w:w="50" w:type="dxa"/>
              <w:left w:w="60" w:type="dxa"/>
              <w:right w:w="60" w:type="dxa"/>
            </w:tcMar>
          </w:tcPr>
          <w:p>
            <w:pPr>
              <w:jc w:val="left"/>
            </w:pPr>
            <w:r>
              <w:rPr>
                <w:rFonts w:ascii="Calibri" w:hAnsi="Calibri"/>
                <w:b/>
                <w:sz w:val="16"/>
              </w:rPr>
              <w:t>Calidad de Beneficios</w:t>
            </w:r>
          </w:p>
        </w:tc>
        <w:tc>
          <w:tcPr>
            <w:tcW w:type="dxa" w:w="2880"/>
            <w:tcMar>
              <w:top w:w="50" w:type="dxa"/>
              <w:bottom w:w="50" w:type="dxa"/>
              <w:left w:w="60" w:type="dxa"/>
              <w:right w:w="60" w:type="dxa"/>
            </w:tcMar>
          </w:tcPr>
          <w:p>
            <w:pPr>
              <w:jc w:val="left"/>
            </w:pPr>
            <w:r>
              <w:rPr>
                <w:rFonts w:ascii="Calibri" w:hAnsi="Calibri"/>
                <w:sz w:val="16"/>
              </w:rPr>
              <w:t>Ratio Sloan: -4.79% / Montier: 1/6</w:t>
            </w:r>
          </w:p>
        </w:tc>
        <w:tc>
          <w:tcPr>
            <w:tcW w:type="dxa" w:w="1872"/>
            <w:tcMar>
              <w:top w:w="50" w:type="dxa"/>
              <w:bottom w:w="50" w:type="dxa"/>
              <w:left w:w="60" w:type="dxa"/>
              <w:right w:w="60" w:type="dxa"/>
            </w:tcMar>
          </w:tcPr>
          <w:p>
            <w:pPr>
              <w:jc w:val="center"/>
            </w:pPr>
            <w:r>
              <w:rPr>
                <w:rFonts w:ascii="Calibri" w:hAnsi="Calibri"/>
                <w:b/>
                <w:sz w:val="16"/>
              </w:rPr>
              <w:t>MÁXIMA CALIDAD</w:t>
            </w:r>
          </w:p>
        </w:tc>
        <w:tc>
          <w:tcPr>
            <w:tcW w:type="dxa" w:w="2880"/>
            <w:tcMar>
              <w:top w:w="50" w:type="dxa"/>
              <w:bottom w:w="50" w:type="dxa"/>
              <w:left w:w="60" w:type="dxa"/>
              <w:right w:w="60" w:type="dxa"/>
            </w:tcMar>
          </w:tcPr>
          <w:p>
            <w:pPr>
              <w:jc w:val="left"/>
            </w:pPr>
            <w:r>
              <w:rPr>
                <w:rFonts w:ascii="Calibri" w:hAnsi="Calibri"/>
                <w:sz w:val="16"/>
              </w:rPr>
              <w:t>Ganancias 100% en caja ($1.14 CFO / $1 NI).</w:t>
            </w:r>
          </w:p>
        </w:tc>
      </w:tr>
      <w:tr>
        <w:tc>
          <w:tcPr>
            <w:tcW w:type="dxa" w:w="2160"/>
            <w:tcMar>
              <w:top w:w="50" w:type="dxa"/>
              <w:bottom w:w="50" w:type="dxa"/>
              <w:left w:w="60" w:type="dxa"/>
              <w:right w:w="60" w:type="dxa"/>
            </w:tcMar>
          </w:tcPr>
          <w:p>
            <w:pPr>
              <w:jc w:val="left"/>
            </w:pPr>
            <w:r>
              <w:rPr>
                <w:rFonts w:ascii="Calibri" w:hAnsi="Calibri"/>
                <w:b/>
                <w:sz w:val="16"/>
              </w:rPr>
              <w:t>Solvencia y Estructura</w:t>
            </w:r>
          </w:p>
        </w:tc>
        <w:tc>
          <w:tcPr>
            <w:tcW w:type="dxa" w:w="2880"/>
            <w:tcMar>
              <w:top w:w="50" w:type="dxa"/>
              <w:bottom w:w="50" w:type="dxa"/>
              <w:left w:w="60" w:type="dxa"/>
              <w:right w:w="60" w:type="dxa"/>
            </w:tcMar>
          </w:tcPr>
          <w:p>
            <w:pPr>
              <w:jc w:val="left"/>
            </w:pPr>
            <w:r>
              <w:rPr>
                <w:rFonts w:ascii="Calibri" w:hAnsi="Calibri"/>
                <w:sz w:val="16"/>
              </w:rPr>
              <w:t>Cobertura EBIT: 41.8x / Altman: 3.23</w:t>
            </w:r>
          </w:p>
        </w:tc>
        <w:tc>
          <w:tcPr>
            <w:tcW w:type="dxa" w:w="1872"/>
            <w:tcMar>
              <w:top w:w="50" w:type="dxa"/>
              <w:bottom w:w="50" w:type="dxa"/>
              <w:left w:w="60" w:type="dxa"/>
              <w:right w:w="60" w:type="dxa"/>
            </w:tcMar>
          </w:tcPr>
          <w:p>
            <w:pPr>
              <w:jc w:val="center"/>
            </w:pPr>
            <w:r>
              <w:rPr>
                <w:rFonts w:ascii="Calibri" w:hAnsi="Calibri"/>
                <w:b/>
                <w:sz w:val="16"/>
              </w:rPr>
              <w:t>SINTÉTICO AAA</w:t>
            </w:r>
          </w:p>
        </w:tc>
        <w:tc>
          <w:tcPr>
            <w:tcW w:type="dxa" w:w="2880"/>
            <w:tcMar>
              <w:top w:w="50" w:type="dxa"/>
              <w:bottom w:w="50" w:type="dxa"/>
              <w:left w:w="60" w:type="dxa"/>
              <w:right w:w="60" w:type="dxa"/>
            </w:tcMar>
          </w:tcPr>
          <w:p>
            <w:pPr>
              <w:jc w:val="left"/>
            </w:pPr>
            <w:r>
              <w:rPr>
                <w:rFonts w:ascii="Calibri" w:hAnsi="Calibri"/>
                <w:sz w:val="16"/>
              </w:rPr>
              <w:t>Cero estrés crediticio; liquidez de $39.5B.</w:t>
            </w:r>
          </w:p>
        </w:tc>
      </w:tr>
      <w:tr>
        <w:tc>
          <w:tcPr>
            <w:tcW w:type="dxa" w:w="2160"/>
            <w:tcMar>
              <w:top w:w="50" w:type="dxa"/>
              <w:bottom w:w="50" w:type="dxa"/>
              <w:left w:w="60" w:type="dxa"/>
              <w:right w:w="60" w:type="dxa"/>
            </w:tcMar>
          </w:tcPr>
          <w:p>
            <w:pPr>
              <w:jc w:val="left"/>
            </w:pPr>
            <w:r>
              <w:rPr>
                <w:rFonts w:ascii="Calibri" w:hAnsi="Calibri"/>
                <w:b/>
                <w:sz w:val="16"/>
              </w:rPr>
              <w:t>Productividad Capital</w:t>
            </w:r>
          </w:p>
        </w:tc>
        <w:tc>
          <w:tcPr>
            <w:tcW w:type="dxa" w:w="2880"/>
            <w:tcMar>
              <w:top w:w="50" w:type="dxa"/>
              <w:bottom w:w="50" w:type="dxa"/>
              <w:left w:w="60" w:type="dxa"/>
              <w:right w:w="60" w:type="dxa"/>
            </w:tcMar>
          </w:tcPr>
          <w:p>
            <w:pPr>
              <w:jc w:val="left"/>
            </w:pPr>
            <w:r>
              <w:rPr>
                <w:rFonts w:ascii="Calibri" w:hAnsi="Calibri"/>
                <w:sz w:val="16"/>
              </w:rPr>
              <w:t>ROC: 305.8% / ROIC Adj: 52.7%</w:t>
            </w:r>
          </w:p>
        </w:tc>
        <w:tc>
          <w:tcPr>
            <w:tcW w:type="dxa" w:w="1872"/>
            <w:tcMar>
              <w:top w:w="50" w:type="dxa"/>
              <w:bottom w:w="50" w:type="dxa"/>
              <w:left w:w="60" w:type="dxa"/>
              <w:right w:w="60" w:type="dxa"/>
            </w:tcMar>
          </w:tcPr>
          <w:p>
            <w:pPr>
              <w:jc w:val="center"/>
            </w:pPr>
            <w:r>
              <w:rPr>
                <w:rFonts w:ascii="Calibri" w:hAnsi="Calibri"/>
                <w:b/>
                <w:sz w:val="16"/>
              </w:rPr>
              <w:t>COMPOUNDING</w:t>
            </w:r>
          </w:p>
        </w:tc>
        <w:tc>
          <w:tcPr>
            <w:tcW w:type="dxa" w:w="2880"/>
            <w:tcMar>
              <w:top w:w="50" w:type="dxa"/>
              <w:bottom w:w="50" w:type="dxa"/>
              <w:left w:w="60" w:type="dxa"/>
              <w:right w:w="60" w:type="dxa"/>
            </w:tcMar>
          </w:tcPr>
          <w:p>
            <w:pPr>
              <w:jc w:val="left"/>
            </w:pPr>
            <w:r>
              <w:rPr>
                <w:rFonts w:ascii="Calibri" w:hAnsi="Calibri"/>
                <w:sz w:val="16"/>
              </w:rPr>
              <w:t>Spread masivo +42.7 pp (Creación de valor élite).</w:t>
            </w:r>
          </w:p>
        </w:tc>
      </w:tr>
      <w:tr>
        <w:tc>
          <w:tcPr>
            <w:tcW w:type="dxa" w:w="2160"/>
            <w:tcMar>
              <w:top w:w="50" w:type="dxa"/>
              <w:bottom w:w="50" w:type="dxa"/>
              <w:left w:w="60" w:type="dxa"/>
              <w:right w:w="60" w:type="dxa"/>
            </w:tcMar>
          </w:tcPr>
          <w:p>
            <w:pPr>
              <w:jc w:val="left"/>
            </w:pPr>
            <w:r>
              <w:rPr>
                <w:rFonts w:ascii="Calibri" w:hAnsi="Calibri"/>
                <w:b/>
                <w:sz w:val="16"/>
              </w:rPr>
              <w:t>Valoración de Mercado</w:t>
            </w:r>
          </w:p>
        </w:tc>
        <w:tc>
          <w:tcPr>
            <w:tcW w:type="dxa" w:w="2880"/>
            <w:tcMar>
              <w:top w:w="50" w:type="dxa"/>
              <w:bottom w:w="50" w:type="dxa"/>
              <w:left w:w="60" w:type="dxa"/>
              <w:right w:w="60" w:type="dxa"/>
            </w:tcMar>
          </w:tcPr>
          <w:p>
            <w:pPr>
              <w:jc w:val="left"/>
            </w:pPr>
            <w:r>
              <w:rPr>
                <w:rFonts w:ascii="Calibri" w:hAnsi="Calibri"/>
                <w:sz w:val="16"/>
              </w:rPr>
              <w:t>Implied Growth: 17.9% - 20.3%</w:t>
            </w:r>
          </w:p>
        </w:tc>
        <w:tc>
          <w:tcPr>
            <w:tcW w:type="dxa" w:w="1872"/>
            <w:tcMar>
              <w:top w:w="50" w:type="dxa"/>
              <w:bottom w:w="50" w:type="dxa"/>
              <w:left w:w="60" w:type="dxa"/>
              <w:right w:w="60" w:type="dxa"/>
            </w:tcMar>
          </w:tcPr>
          <w:p>
            <w:pPr>
              <w:jc w:val="center"/>
            </w:pPr>
            <w:r>
              <w:rPr>
                <w:rFonts w:ascii="Calibri" w:hAnsi="Calibri"/>
                <w:b/>
                <w:sz w:val="16"/>
              </w:rPr>
              <w:t>PERFECTION PRICED</w:t>
            </w:r>
          </w:p>
        </w:tc>
        <w:tc>
          <w:tcPr>
            <w:tcW w:type="dxa" w:w="2880"/>
            <w:tcMar>
              <w:top w:w="50" w:type="dxa"/>
              <w:bottom w:w="50" w:type="dxa"/>
              <w:left w:w="60" w:type="dxa"/>
              <w:right w:w="60" w:type="dxa"/>
            </w:tcMar>
          </w:tcPr>
          <w:p>
            <w:pPr>
              <w:jc w:val="left"/>
            </w:pPr>
            <w:r>
              <w:rPr>
                <w:rFonts w:ascii="Calibri" w:hAnsi="Calibri"/>
                <w:sz w:val="16"/>
              </w:rPr>
              <w:t>Exigente; requiere Servicios y recompras.</w:t>
            </w:r>
          </w:p>
        </w:tc>
      </w:tr>
    </w:tbl>
    <w:p>
      <w:pPr>
        <w:spacing w:after="160"/>
      </w:pPr>
    </w:p>
    <w:p>
      <w:pPr>
        <w:spacing w:after="240"/>
      </w:pPr>
    </w:p>
    <w:p>
      <w:pPr>
        <w:jc w:val="center"/>
      </w:pPr>
      <w:r>
        <w:rPr>
          <w:rFonts w:ascii="Calibri" w:hAnsi="Calibri"/>
          <w:i/>
          <w:color w:val="4A5568"/>
          <w:sz w:val="17"/>
        </w:rPr>
        <w:t>— FIN DEL INFORME DE ANÁLISIS FUNDAMENTAL &amp; GOBERNANZA —</w:t>
        <w:br/>
        <w:t>Generado automáticamente por Antigravity Financial Engine para Google Drive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