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14. Modelado Financiero y Descuento Inverso de Flujo de Caja (Reverse DCF &amp; Expectations)</w:t>
      </w:r>
    </w:p>
    <w:p>
      <w:pPr>
        <w:spacing w:before="80" w:after="160"/>
        <w:ind w:left="288" w:right="288"/>
      </w:pPr>
      <w:r>
        <w:rPr>
          <w:rFonts w:ascii="Calibri" w:hAnsi="Calibri"/>
          <w:b/>
          <w:color w:val="1B365D"/>
          <w:sz w:val="21"/>
        </w:rPr>
        <w:t>PROPÓSITO DE VALORACIÓN: INTEGRACIÓN FISCAL AI &amp; REVERSE DCF PROPIETARIO</w:t>
        <w:br/>
      </w:r>
      <w:r>
        <w:rPr>
          <w:rFonts w:ascii="Calibri" w:hAnsi="Calibri"/>
          <w:color w:val="2D3748"/>
          <w:sz w:val="19"/>
        </w:rPr>
        <w:t>• Precio de Referencia: $334.36  |  WACC Auditado: 9.98% (Rf: 4.99%, ERP: 4.75%)</w:t>
        <w:br/>
        <w:t>• Crecimiento Implícito Calculado: 17.9% Anual a 10 Años (vs. 8.7% Histórico y 11.2% Guidance)</w:t>
        <w:br/>
        <w:t>• Veredicto: Descuenta superciclo exigente (+6.6 pp sobre guidance). Requiere expansión en Servicios y recompras continuas.</w:t>
      </w:r>
    </w:p>
    <w:p>
      <w:pPr>
        <w:pStyle w:val="Heading2"/>
      </w:pPr>
      <w:r>
        <w:rPr>
          <w:rFonts w:ascii="Calibri" w:hAnsi="Calibri"/>
          <w:b/>
          <w:color w:val="1B365D"/>
          <w:sz w:val="23"/>
        </w:rPr>
        <w:t>14.1. Configuración Óptima en Plataformas de Valoración (Fiscal AI)</w:t>
      </w:r>
    </w:p>
    <w:p>
      <w:pPr>
        <w:spacing w:after="120"/>
      </w:pPr>
      <w:r>
        <w:rPr>
          <w:rFonts w:ascii="Calibri" w:hAnsi="Calibri"/>
          <w:color w:val="2D3748"/>
          <w:sz w:val="18"/>
        </w:rPr>
        <w:t>Para evitar sesgos especulativos se recomienda configurar Fiscal AI con: (1) Modo Perpetuity (2.5%), anclando el valor terminal a la inflación/PIB sin especular con múltiplos de salida; (2) Pestaña Revenue Growth, por ser el motor económico más limpio contra distorsiones contables; y (3) Horizonte de 10 Años, capturando el ciclo completo de inversión y maduración.</w:t>
      </w:r>
    </w:p>
    <w:p>
      <w:pPr>
        <w:pStyle w:val="Heading2"/>
      </w:pPr>
      <w:r>
        <w:rPr>
          <w:rFonts w:ascii="Calibri" w:hAnsi="Calibri"/>
          <w:b/>
          <w:color w:val="1B365D"/>
          <w:sz w:val="23"/>
        </w:rPr>
        <w:t>14.2. Tabla Maestra de Parámetros Auditados para Advanced Mode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10" w:space="0" w:color="1B365D"/>
          <w:right w:val="none"/>
          <w:insideH w:val="single" w:sz="4" w:space="0" w:color="D2D6DC"/>
          <w:insideV w:val="none"/>
        </w:tblBorders>
      </w:tblPr>
      <w:tblGrid>
        <w:gridCol w:w="2304"/>
        <w:gridCol w:w="1728"/>
        <w:gridCol w:w="1728"/>
        <w:gridCol w:w="4032"/>
      </w:tblGrid>
      <w:tr>
        <w:tc>
          <w:tcPr>
            <w:tcW w:type="dxa" w:w="230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Casilla / Input Fiscal AI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Valor Auditado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Sección Origen</w:t>
            </w:r>
          </w:p>
        </w:tc>
        <w:tc>
          <w:tcPr>
            <w:tcW w:type="dxa" w:w="403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Racional Técnico y Sustento Fundamental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Precio Referencia ($P_0$)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$334.36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Mercado en Vivo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Cotización auditada en tiempo real por consenso bursátil.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Risk-Free Rate ($R_f$)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4.99%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Sección 11.1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Rendimiento en tiempo real del Bono del Tesoro 10Y (US10Y).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Equity Risk Premium (ERP)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4.75%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Sección 11.1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Prima de riesgo implícita Damodaran (Stern NYU).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Beta de la Acción (β)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1.08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Sección 11.1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Sensibilidad cíclica a 5 años mensuales frente a S&amp;P 500.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Cost of Debt ($K_d$)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4.96% / 4.1%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 11 / 13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 xml:space="preserve">Pre-tax y post-tax con escudo fiscal corporativo del 17.3%. 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Estructura Capital (D/E)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1.6% / 98.4%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Sección 11.1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Ponderación real sobre valor de mercado (Market Cap).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WACC Consolidado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9.98%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Sección 11.1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Tasa de descuento maestra ponderada libre de sesgos.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EBIT Margin Sostenible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32.5%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 2, 4, 5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Margen operativo normalizado frente a costes de memoria.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Margen Caja Libre (FCF)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25.2%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 6, 11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Conversión NOPAT + D&amp;A − CapEx − ΔNWC.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Terminal Growth ($g_n$)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2.5%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Macroeconomía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Crecimiento terminal a perpetuidad (PIB global + inflación).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Capex Margin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-2.3%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 6, 7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Intensidad de capital Asset-Light (silicio TSMC en chip).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Shares Out.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14.75 B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Secc 4 / 10-Q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Acciones diluidas auditadas tras recompras de capital.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B365D"/>
          <w:sz w:val="23"/>
        </w:rPr>
        <w:t>14.3. Motor Propietario de Reverse DCF &amp; Brecha de Expectativas</w:t>
      </w:r>
    </w:p>
    <w:p>
      <w:pPr>
        <w:spacing w:after="120"/>
      </w:pPr>
      <w:r>
        <w:rPr>
          <w:rFonts w:ascii="Calibri" w:hAnsi="Calibri"/>
          <w:color w:val="2D3748"/>
          <w:sz w:val="18"/>
        </w:rPr>
        <w:t>• Crecimiento Histórico SEC (CAGR 5 Años): 8.7% anual (CAGR 10A: 8.0%, CAGR 3A: 5.8%)</w:t>
        <w:br/>
        <w:t>• Guidance Oficial del Superciclo: 10.5% - 12.0% anual</w:t>
        <w:br/>
        <w:t>• Crecimiento Implícito Descontado por el Precio ($334.36): 17.9% anual (con WACC 9.98%) y 20.3% (con WACC 10.9%)</w:t>
        <w:br/>
        <w:t>• Brecha de Expectativas: +9.2 pp frente al histórico y +6.6 pp frente al guidance.</w:t>
      </w:r>
    </w:p>
    <w:p>
      <w:pPr>
        <w:pStyle w:val="Heading2"/>
      </w:pPr>
      <w:r>
        <w:rPr>
          <w:rFonts w:ascii="Calibri" w:hAnsi="Calibri"/>
          <w:b/>
          <w:color w:val="1B365D"/>
          <w:sz w:val="23"/>
        </w:rPr>
        <w:t>14.4. Matriz de Sensibilidad Bidimensional (WACC vs. Perpetuidad)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10" w:space="0" w:color="1B365D"/>
          <w:right w:val="none"/>
          <w:insideH w:val="single" w:sz="4" w:space="0" w:color="D2D6DC"/>
          <w:insideV w:val="none"/>
        </w:tblBorders>
      </w:tblPr>
      <w:tblGrid>
        <w:gridCol w:w="1728"/>
        <w:gridCol w:w="1008"/>
        <w:gridCol w:w="1008"/>
        <w:gridCol w:w="1008"/>
        <w:gridCol w:w="1008"/>
        <w:gridCol w:w="1008"/>
        <w:gridCol w:w="1008"/>
        <w:gridCol w:w="2016"/>
      </w:tblGrid>
      <w:tr>
        <w:tc>
          <w:tcPr>
            <w:tcW w:type="dxa" w:w="172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WACC / gn</w:t>
            </w:r>
          </w:p>
        </w:tc>
        <w:tc>
          <w:tcPr>
            <w:tcW w:type="dxa" w:w="100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1.0%</w:t>
            </w:r>
          </w:p>
        </w:tc>
        <w:tc>
          <w:tcPr>
            <w:tcW w:type="dxa" w:w="100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1.5%</w:t>
            </w:r>
          </w:p>
        </w:tc>
        <w:tc>
          <w:tcPr>
            <w:tcW w:type="dxa" w:w="100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2.0%</w:t>
            </w:r>
          </w:p>
        </w:tc>
        <w:tc>
          <w:tcPr>
            <w:tcW w:type="dxa" w:w="1008"/>
            <w:shd w:fill="0A364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D700"/>
                <w:sz w:val="16"/>
              </w:rPr>
              <w:t>2.5%</w:t>
            </w:r>
          </w:p>
        </w:tc>
        <w:tc>
          <w:tcPr>
            <w:tcW w:type="dxa" w:w="100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3.0%</w:t>
            </w:r>
          </w:p>
        </w:tc>
        <w:tc>
          <w:tcPr>
            <w:tcW w:type="dxa" w:w="100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3.5%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Diagnóstico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9.40% (Bajo)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18.5%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18.0%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17.3%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16.7%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16.0%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15.2%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Exigencia moderada.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9.98% (Base)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19.6%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19.0%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18.4%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17.9%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17.2%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16.4%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Escenario Central.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10.40% (Med)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20.6%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20.1%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19.5%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18.9%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18.3%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17.7%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Exigencia elevada.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10.90% (Fiscal)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21.6%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21.1%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20.6%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20.3%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19.4%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18.8%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Exigencia severa.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11.40% (Alto)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22.5%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22.1%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21.6%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21.1%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20.5%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19.9%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Estrés macro.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B365D"/>
          <w:sz w:val="23"/>
        </w:rPr>
        <w:t>14.5. Cuadro de Mando Consolidado y Tesis Final de Inversión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10" w:space="0" w:color="1B365D"/>
          <w:right w:val="none"/>
          <w:insideH w:val="single" w:sz="4" w:space="0" w:color="D2D6DC"/>
          <w:insideV w:val="none"/>
        </w:tblBorders>
      </w:tblPr>
      <w:tblGrid>
        <w:gridCol w:w="2160"/>
        <w:gridCol w:w="2880"/>
        <w:gridCol w:w="1872"/>
        <w:gridCol w:w="2880"/>
      </w:tblGrid>
      <w:tr>
        <w:tc>
          <w:tcPr>
            <w:tcW w:type="dxa" w:w="216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Dimensión Fundamental</w:t>
            </w:r>
          </w:p>
        </w:tc>
        <w:tc>
          <w:tcPr>
            <w:tcW w:type="dxa" w:w="288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Diagnóstico Auditado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Calificación</w:t>
            </w:r>
          </w:p>
        </w:tc>
        <w:tc>
          <w:tcPr>
            <w:tcW w:type="dxa" w:w="288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Veredicto de Asignación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Ventaja Competitiva (Moat)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Ecosistema cautivo + Apple Silicon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WIDE MOAT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Poder de precios y resiliencia (&gt;32% EBIT).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Calidad de Beneficios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Ratio Sloan: -4.79% / Montier: 1/6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MÁXIMA CALIDAD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Ganancias 100% en caja ($1.14 CFO / $1 NI).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Solvencia y Estructura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Cobertura EBIT: 41.8x / Altman: 3.23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SINTÉTICO AAA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Cero estrés crediticio; liquidez de $39.5B.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Productividad Capital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ROC: 305.8% / ROIC Adj: 52.7%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COMPOUNDING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Spread masivo +42.7 pp (Creación de valor élite).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Valoración de Mercado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Implied Growth: 17.9% - 20.3%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PERFECTION PRICED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Exigente; requiere Servicios y recompras.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