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9792"/>
            <w:shd w:fill="1B365D"/>
            <w:tcMar>
              <w:top w:w="180" w:type="dxa"/>
              <w:bottom w:w="180" w:type="dxa"/>
              <w:left w:w="200" w:type="dxa"/>
              <w:right w:w="200" w:type="dxa"/>
            </w:tcMar>
          </w:tcPr>
          <w:p>
            <w:pPr>
              <w:spacing w:before="0" w:after="40"/>
            </w:pPr>
            <w:r>
              <w:rPr>
                <w:rFonts w:ascii="Calibri" w:hAnsi="Calibri"/>
                <w:b/>
                <w:color w:val="A0BEEB"/>
                <w:sz w:val="18"/>
              </w:rPr>
              <w:t>INFORME EJECUTIVO DE INVESTIGACIÓN FUNDAMENTAL | WALL STREET EQUITY RESEARCH</w:t>
            </w:r>
          </w:p>
          <w:p>
            <w:pPr>
              <w:spacing w:before="40" w:after="80"/>
            </w:pPr>
            <w:r>
              <w:rPr>
                <w:rFonts w:ascii="Calibri" w:hAnsi="Calibri"/>
                <w:b/>
                <w:color w:val="FFFFFF"/>
                <w:sz w:val="32"/>
              </w:rPr>
              <w:t>DECKERS OUTDOOR CORPORATION (NYSE: DECK)</w:t>
              <w:br/>
              <w:t>Resultados Trimestrales Q1 FY2027, Cierre FY2026, Conferencia de Resultados &amp; Gobernanza</w:t>
            </w:r>
          </w:p>
          <w:p>
            <w:pPr>
              <w:spacing w:before="0" w:after="0"/>
            </w:pPr>
            <w:r>
              <w:rPr>
                <w:rFonts w:ascii="Calibri" w:hAnsi="Calibri"/>
                <w:i/>
                <w:color w:val="D1DFF5"/>
                <w:sz w:val="17"/>
              </w:rPr>
              <w:t>Fecha de Análisis: 19 de Septiembre de 2026 | Período: Trimestre finalizado el 30 de Junio de 2026 (Q1 FY27) &amp; LTM Auditado</w:t>
              <w:br/>
              <w:t>Fuente Oficial: Formularios 10-K, 10-Q, 8-K, Form 4, Form 144 (SEC EDGAR) &amp; 6 Transcripciones de Resultados en Google Drive</w:t>
            </w:r>
          </w:p>
        </w:tc>
      </w:tr>
    </w:tbl>
    <w:p>
      <w:pPr>
        <w:spacing w:after="120"/>
      </w:pPr>
    </w:p>
    <w:p>
      <w:pPr>
        <w:keepNext/>
        <w:spacing w:before="320" w:after="120"/>
      </w:pPr>
      <w:r>
        <w:rPr>
          <w:rFonts w:ascii="Calibri" w:hAnsi="Calibri"/>
          <w:b/>
          <w:color w:val="1B365D"/>
          <w:sz w:val="30"/>
        </w:rPr>
        <w:t>1. Resumen Ejecutivo y Cuadro de Mando (Scorecard Cuantitativo)</w:t>
      </w:r>
    </w:p>
    <w:p>
      <w:pPr>
        <w:spacing w:before="0" w:after="80" w:line="276" w:lineRule="auto"/>
      </w:pPr>
      <w:r>
        <w:rPr>
          <w:rFonts w:ascii="Calibri" w:hAnsi="Calibri"/>
          <w:i w:val="0"/>
          <w:color w:val="2D3748"/>
          <w:sz w:val="20"/>
        </w:rPr>
        <w:t>Deckers Outdoor Corporation ha reportado un desempeño financiero extraordinario en el primer trimestre de su ejercicio fiscal 2027 (Q1 FY27, cerrado el 30 de junio de 2026) y en el acumulado de los últimos 12 meses móviles (LTM), consolidando una trayectoria de hipercrecimiento rentable que la posiciona como una de las corporaciones más rentables y eficientes de todo el sector de consumo discrecional global. Los resultados estuvieron impulsados por la aceleración estelar de HOKA (superando ya los $2.23B en ventas anuales) y la solidez estructural a precio completo de UGG ($2.44B), alcanzando un margen bruto récord del 57.80% y manteniendo un balance con cero deuda financiera y más de $1.47B en caja neta.</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958"/>
        <w:gridCol w:w="1958"/>
        <w:gridCol w:w="1958"/>
        <w:gridCol w:w="1958"/>
        <w:gridCol w:w="195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Métrica Financiera</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LTM (Móvil)</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FY2026 (Cierre)</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FY2025 (Previo)</w:t>
            </w:r>
          </w:p>
        </w:tc>
        <w:tc>
          <w:tcPr>
            <w:tcW w:type="dxa" w:w="2304"/>
            <w:shd w:fill="1B365D"/>
            <w:tcMar>
              <w:top w:w="100" w:type="dxa"/>
              <w:bottom w:w="100" w:type="dxa"/>
              <w:left w:w="120" w:type="dxa"/>
              <w:right w:w="120" w:type="dxa"/>
            </w:tcMar>
          </w:tcPr>
          <w:p>
            <w:pPr>
              <w:spacing w:before="0" w:after="0"/>
              <w:jc w:val="right"/>
            </w:pPr>
            <w:r>
              <w:rPr>
                <w:rFonts w:ascii="Calibri" w:hAnsi="Calibri"/>
                <w:b/>
                <w:color w:val="FFFFFF"/>
                <w:sz w:val="19"/>
              </w:rPr>
              <w:t>Diagnóstico Fundamental</w:t>
            </w:r>
          </w:p>
        </w:tc>
      </w:tr>
      <w:tr>
        <w:tc>
          <w:tcPr>
            <w:tcW w:type="dxa" w:w="2304"/>
            <w:shd w:fill="FFFFFF"/>
            <w:tcMar>
              <w:top w:w="80" w:type="dxa"/>
              <w:bottom w:w="80" w:type="dxa"/>
              <w:left w:w="120" w:type="dxa"/>
              <w:right w:w="120" w:type="dxa"/>
            </w:tcMar>
          </w:tcPr>
          <w:p>
            <w:pPr>
              <w:spacing w:before="0" w:after="0"/>
              <w:jc w:val="left"/>
            </w:pPr>
            <w:r>
              <w:rPr>
                <w:rFonts w:ascii="Calibri" w:hAnsi="Calibri"/>
                <w:b/>
                <w:color w:val="1B365D"/>
                <w:sz w:val="18"/>
              </w:rPr>
              <w:t>Ingresos Netos Totales</w:t>
            </w:r>
          </w:p>
        </w:tc>
        <w:tc>
          <w:tcPr>
            <w:tcW w:type="dxa" w:w="1728"/>
            <w:shd w:fill="FFFFFF"/>
            <w:tcMar>
              <w:top w:w="80" w:type="dxa"/>
              <w:bottom w:w="80" w:type="dxa"/>
              <w:left w:w="120" w:type="dxa"/>
              <w:right w:w="120" w:type="dxa"/>
            </w:tcMar>
          </w:tcPr>
          <w:p>
            <w:pPr>
              <w:spacing w:before="0" w:after="0"/>
              <w:jc w:val="right"/>
            </w:pPr>
            <w:r>
              <w:rPr>
                <w:rFonts w:ascii="Calibri" w:hAnsi="Calibri"/>
                <w:b/>
                <w:color w:val="1B365D"/>
                <w:sz w:val="18"/>
              </w:rPr>
              <w:t>$5,527.3 M</w:t>
            </w:r>
          </w:p>
        </w:tc>
        <w:tc>
          <w:tcPr>
            <w:tcW w:type="dxa" w:w="1728"/>
            <w:shd w:fill="FFFFFF"/>
            <w:tcMar>
              <w:top w:w="80" w:type="dxa"/>
              <w:bottom w:w="80" w:type="dxa"/>
              <w:left w:w="120" w:type="dxa"/>
              <w:right w:w="120" w:type="dxa"/>
            </w:tcMar>
          </w:tcPr>
          <w:p>
            <w:pPr>
              <w:spacing w:before="0" w:after="0"/>
              <w:jc w:val="right"/>
            </w:pPr>
            <w:r>
              <w:rPr>
                <w:rFonts w:ascii="Calibri" w:hAnsi="Calibri"/>
                <w:b/>
                <w:color w:val="1B365D"/>
                <w:sz w:val="18"/>
              </w:rPr>
              <w:t>$5,472.3 M</w:t>
            </w:r>
          </w:p>
        </w:tc>
        <w:tc>
          <w:tcPr>
            <w:tcW w:type="dxa" w:w="1728"/>
            <w:shd w:fill="FFFFFF"/>
            <w:tcMar>
              <w:top w:w="80" w:type="dxa"/>
              <w:bottom w:w="80" w:type="dxa"/>
              <w:left w:w="120" w:type="dxa"/>
              <w:right w:w="120" w:type="dxa"/>
            </w:tcMar>
          </w:tcPr>
          <w:p>
            <w:pPr>
              <w:spacing w:before="0" w:after="0"/>
              <w:jc w:val="right"/>
            </w:pPr>
            <w:r>
              <w:rPr>
                <w:rFonts w:ascii="Calibri" w:hAnsi="Calibri"/>
                <w:b/>
                <w:color w:val="1B365D"/>
                <w:sz w:val="18"/>
              </w:rPr>
              <w:t>$4,985.6 M</w:t>
            </w:r>
          </w:p>
        </w:tc>
        <w:tc>
          <w:tcPr>
            <w:tcW w:type="dxa" w:w="2304"/>
            <w:shd w:fill="FFFFFF"/>
            <w:tcMar>
              <w:top w:w="80" w:type="dxa"/>
              <w:bottom w:w="80" w:type="dxa"/>
              <w:left w:w="120" w:type="dxa"/>
              <w:right w:w="120" w:type="dxa"/>
            </w:tcMar>
          </w:tcPr>
          <w:p>
            <w:pPr>
              <w:spacing w:before="0" w:after="0"/>
              <w:jc w:val="right"/>
            </w:pPr>
            <w:r>
              <w:rPr>
                <w:rFonts w:ascii="Calibri" w:hAnsi="Calibri"/>
                <w:b/>
                <w:color w:val="1B365D"/>
                <w:sz w:val="18"/>
              </w:rPr>
              <w:t>Crecimiento constante de doble dígito impulsado por HOKA (+28%).</w:t>
            </w:r>
          </w:p>
        </w:tc>
      </w:tr>
      <w:tr>
        <w:tc>
          <w:tcPr>
            <w:tcW w:type="dxa" w:w="2304"/>
            <w:shd w:fill="F7FAFC"/>
            <w:tcMar>
              <w:top w:w="80" w:type="dxa"/>
              <w:bottom w:w="80" w:type="dxa"/>
              <w:left w:w="120" w:type="dxa"/>
              <w:right w:w="120" w:type="dxa"/>
            </w:tcMar>
          </w:tcPr>
          <w:p>
            <w:pPr>
              <w:spacing w:before="0" w:after="0"/>
              <w:jc w:val="left"/>
            </w:pPr>
            <w:r>
              <w:rPr>
                <w:rFonts w:ascii="Calibri" w:hAnsi="Calibri"/>
                <w:b w:val="0"/>
                <w:color w:val="2D3748"/>
                <w:sz w:val="18"/>
              </w:rPr>
              <w:t>Margen Bruto</w:t>
            </w:r>
          </w:p>
        </w:tc>
        <w:tc>
          <w:tcPr>
            <w:tcW w:type="dxa" w:w="1728"/>
            <w:shd w:fill="F7FAFC"/>
            <w:tcMar>
              <w:top w:w="80" w:type="dxa"/>
              <w:bottom w:w="80" w:type="dxa"/>
              <w:left w:w="120" w:type="dxa"/>
              <w:right w:w="120" w:type="dxa"/>
            </w:tcMar>
          </w:tcPr>
          <w:p>
            <w:pPr>
              <w:spacing w:before="0" w:after="0"/>
              <w:jc w:val="right"/>
            </w:pPr>
            <w:r>
              <w:rPr>
                <w:rFonts w:ascii="Calibri" w:hAnsi="Calibri"/>
                <w:b w:val="0"/>
                <w:color w:val="2D3748"/>
                <w:sz w:val="18"/>
              </w:rPr>
              <w:t>$3,195.0 M (57.80%)</w:t>
            </w:r>
          </w:p>
        </w:tc>
        <w:tc>
          <w:tcPr>
            <w:tcW w:type="dxa" w:w="1728"/>
            <w:shd w:fill="F7FAFC"/>
            <w:tcMar>
              <w:top w:w="80" w:type="dxa"/>
              <w:bottom w:w="80" w:type="dxa"/>
              <w:left w:w="120" w:type="dxa"/>
              <w:right w:w="120" w:type="dxa"/>
            </w:tcMar>
          </w:tcPr>
          <w:p>
            <w:pPr>
              <w:spacing w:before="0" w:after="0"/>
              <w:jc w:val="right"/>
            </w:pPr>
            <w:r>
              <w:rPr>
                <w:rFonts w:ascii="Calibri" w:hAnsi="Calibri"/>
                <w:b w:val="0"/>
                <w:color w:val="2D3748"/>
                <w:sz w:val="18"/>
              </w:rPr>
              <w:t>$3,157.7 M (57.70%)</w:t>
            </w:r>
          </w:p>
        </w:tc>
        <w:tc>
          <w:tcPr>
            <w:tcW w:type="dxa" w:w="1728"/>
            <w:shd w:fill="F7FAFC"/>
            <w:tcMar>
              <w:top w:w="80" w:type="dxa"/>
              <w:bottom w:w="80" w:type="dxa"/>
              <w:left w:w="120" w:type="dxa"/>
              <w:right w:w="120" w:type="dxa"/>
            </w:tcMar>
          </w:tcPr>
          <w:p>
            <w:pPr>
              <w:spacing w:before="0" w:after="0"/>
              <w:jc w:val="right"/>
            </w:pPr>
            <w:r>
              <w:rPr>
                <w:rFonts w:ascii="Calibri" w:hAnsi="Calibri"/>
                <w:b w:val="0"/>
                <w:color w:val="2D3748"/>
                <w:sz w:val="18"/>
              </w:rPr>
              <w:t>$2,776.4 M (55.69%)</w:t>
            </w:r>
          </w:p>
        </w:tc>
        <w:tc>
          <w:tcPr>
            <w:tcW w:type="dxa" w:w="2304"/>
            <w:shd w:fill="F7FAFC"/>
            <w:tcMar>
              <w:top w:w="80" w:type="dxa"/>
              <w:bottom w:w="80" w:type="dxa"/>
              <w:left w:w="120" w:type="dxa"/>
              <w:right w:w="120" w:type="dxa"/>
            </w:tcMar>
          </w:tcPr>
          <w:p>
            <w:pPr>
              <w:spacing w:before="0" w:after="0"/>
              <w:jc w:val="right"/>
            </w:pPr>
            <w:r>
              <w:rPr>
                <w:rFonts w:ascii="Calibri" w:hAnsi="Calibri"/>
                <w:b w:val="0"/>
                <w:color w:val="2D3748"/>
                <w:sz w:val="18"/>
              </w:rPr>
              <w:t>Máximo histórico sectorial; pricing power y disciplina de descuentos.</w:t>
            </w:r>
          </w:p>
        </w:tc>
      </w:tr>
      <w:tr>
        <w:tc>
          <w:tcPr>
            <w:tcW w:type="dxa" w:w="2304"/>
            <w:shd w:fill="FFFFFF"/>
            <w:tcMar>
              <w:top w:w="80" w:type="dxa"/>
              <w:bottom w:w="80" w:type="dxa"/>
              <w:left w:w="120" w:type="dxa"/>
              <w:right w:w="120" w:type="dxa"/>
            </w:tcMar>
          </w:tcPr>
          <w:p>
            <w:pPr>
              <w:spacing w:before="0" w:after="0"/>
              <w:jc w:val="left"/>
            </w:pPr>
            <w:r>
              <w:rPr>
                <w:rFonts w:ascii="Calibri" w:hAnsi="Calibri"/>
                <w:b w:val="0"/>
                <w:color w:val="2D3748"/>
                <w:sz w:val="18"/>
              </w:rPr>
              <w:t>Gastos Operativos (SG&amp;A)</w:t>
            </w:r>
          </w:p>
        </w:tc>
        <w:tc>
          <w:tcPr>
            <w:tcW w:type="dxa" w:w="1728"/>
            <w:shd w:fill="FFFFFF"/>
            <w:tcMar>
              <w:top w:w="80" w:type="dxa"/>
              <w:bottom w:w="80" w:type="dxa"/>
              <w:left w:w="120" w:type="dxa"/>
              <w:right w:w="120" w:type="dxa"/>
            </w:tcMar>
          </w:tcPr>
          <w:p>
            <w:pPr>
              <w:spacing w:before="0" w:after="0"/>
              <w:jc w:val="right"/>
            </w:pPr>
            <w:r>
              <w:rPr>
                <w:rFonts w:ascii="Calibri" w:hAnsi="Calibri"/>
                <w:b w:val="0"/>
                <w:color w:val="2D3748"/>
                <w:sz w:val="18"/>
              </w:rPr>
              <w:t>$1,942.1 M (35.14%)</w:t>
            </w:r>
          </w:p>
        </w:tc>
        <w:tc>
          <w:tcPr>
            <w:tcW w:type="dxa" w:w="1728"/>
            <w:shd w:fill="FFFFFF"/>
            <w:tcMar>
              <w:top w:w="80" w:type="dxa"/>
              <w:bottom w:w="80" w:type="dxa"/>
              <w:left w:w="120" w:type="dxa"/>
              <w:right w:w="120" w:type="dxa"/>
            </w:tcMar>
          </w:tcPr>
          <w:p>
            <w:pPr>
              <w:spacing w:before="0" w:after="0"/>
              <w:jc w:val="right"/>
            </w:pPr>
            <w:r>
              <w:rPr>
                <w:rFonts w:ascii="Calibri" w:hAnsi="Calibri"/>
                <w:b w:val="0"/>
                <w:color w:val="2D3748"/>
                <w:sz w:val="18"/>
              </w:rPr>
              <w:t>$1,894.8 M (34.63%)</w:t>
            </w:r>
          </w:p>
        </w:tc>
        <w:tc>
          <w:tcPr>
            <w:tcW w:type="dxa" w:w="1728"/>
            <w:shd w:fill="FFFFFF"/>
            <w:tcMar>
              <w:top w:w="80" w:type="dxa"/>
              <w:bottom w:w="80" w:type="dxa"/>
              <w:left w:w="120" w:type="dxa"/>
              <w:right w:w="120" w:type="dxa"/>
            </w:tcMar>
          </w:tcPr>
          <w:p>
            <w:pPr>
              <w:spacing w:before="0" w:after="0"/>
              <w:jc w:val="right"/>
            </w:pPr>
            <w:r>
              <w:rPr>
                <w:rFonts w:ascii="Calibri" w:hAnsi="Calibri"/>
                <w:b w:val="0"/>
                <w:color w:val="2D3748"/>
                <w:sz w:val="18"/>
              </w:rPr>
              <w:t>$1,732.1 M (34.74%)</w:t>
            </w:r>
          </w:p>
        </w:tc>
        <w:tc>
          <w:tcPr>
            <w:tcW w:type="dxa" w:w="2304"/>
            <w:shd w:fill="FFFFFF"/>
            <w:tcMar>
              <w:top w:w="80" w:type="dxa"/>
              <w:bottom w:w="80" w:type="dxa"/>
              <w:left w:w="120" w:type="dxa"/>
              <w:right w:w="120" w:type="dxa"/>
            </w:tcMar>
          </w:tcPr>
          <w:p>
            <w:pPr>
              <w:spacing w:before="0" w:after="0"/>
              <w:jc w:val="right"/>
            </w:pPr>
            <w:r>
              <w:rPr>
                <w:rFonts w:ascii="Calibri" w:hAnsi="Calibri"/>
                <w:b w:val="0"/>
                <w:color w:val="2D3748"/>
                <w:sz w:val="18"/>
              </w:rPr>
              <w:t>Inversión comercial en tiendas insignia globales y marketing.</w:t>
            </w:r>
          </w:p>
        </w:tc>
      </w:tr>
      <w:tr>
        <w:tc>
          <w:tcPr>
            <w:tcW w:type="dxa" w:w="2304"/>
            <w:shd w:fill="F7FAFC"/>
            <w:tcMar>
              <w:top w:w="80" w:type="dxa"/>
              <w:bottom w:w="80" w:type="dxa"/>
              <w:left w:w="120" w:type="dxa"/>
              <w:right w:w="120" w:type="dxa"/>
            </w:tcMar>
          </w:tcPr>
          <w:p>
            <w:pPr>
              <w:spacing w:before="0" w:after="0"/>
              <w:jc w:val="left"/>
            </w:pPr>
            <w:r>
              <w:rPr>
                <w:rFonts w:ascii="Calibri" w:hAnsi="Calibri"/>
                <w:b w:val="0"/>
                <w:color w:val="2D3748"/>
                <w:sz w:val="18"/>
              </w:rPr>
              <w:t>Beneficio Operativo (EBIT)</w:t>
            </w:r>
          </w:p>
        </w:tc>
        <w:tc>
          <w:tcPr>
            <w:tcW w:type="dxa" w:w="1728"/>
            <w:shd w:fill="F7FAFC"/>
            <w:tcMar>
              <w:top w:w="80" w:type="dxa"/>
              <w:bottom w:w="80" w:type="dxa"/>
              <w:left w:w="120" w:type="dxa"/>
              <w:right w:w="120" w:type="dxa"/>
            </w:tcMar>
          </w:tcPr>
          <w:p>
            <w:pPr>
              <w:spacing w:before="0" w:after="0"/>
              <w:jc w:val="right"/>
            </w:pPr>
            <w:r>
              <w:rPr>
                <w:rFonts w:ascii="Calibri" w:hAnsi="Calibri"/>
                <w:b w:val="0"/>
                <w:color w:val="2D3748"/>
                <w:sz w:val="18"/>
              </w:rPr>
              <w:t>$1,252.9 M (22.67%)</w:t>
            </w:r>
          </w:p>
        </w:tc>
        <w:tc>
          <w:tcPr>
            <w:tcW w:type="dxa" w:w="1728"/>
            <w:shd w:fill="F7FAFC"/>
            <w:tcMar>
              <w:top w:w="80" w:type="dxa"/>
              <w:bottom w:w="80" w:type="dxa"/>
              <w:left w:w="120" w:type="dxa"/>
              <w:right w:w="120" w:type="dxa"/>
            </w:tcMar>
          </w:tcPr>
          <w:p>
            <w:pPr>
              <w:spacing w:before="0" w:after="0"/>
              <w:jc w:val="right"/>
            </w:pPr>
            <w:r>
              <w:rPr>
                <w:rFonts w:ascii="Calibri" w:hAnsi="Calibri"/>
                <w:b w:val="0"/>
                <w:color w:val="2D3748"/>
                <w:sz w:val="18"/>
              </w:rPr>
              <w:t>$1,262.9 M (23.08%)</w:t>
            </w:r>
          </w:p>
        </w:tc>
        <w:tc>
          <w:tcPr>
            <w:tcW w:type="dxa" w:w="1728"/>
            <w:shd w:fill="F7FAFC"/>
            <w:tcMar>
              <w:top w:w="80" w:type="dxa"/>
              <w:bottom w:w="80" w:type="dxa"/>
              <w:left w:w="120" w:type="dxa"/>
              <w:right w:w="120" w:type="dxa"/>
            </w:tcMar>
          </w:tcPr>
          <w:p>
            <w:pPr>
              <w:spacing w:before="0" w:after="0"/>
              <w:jc w:val="right"/>
            </w:pPr>
            <w:r>
              <w:rPr>
                <w:rFonts w:ascii="Calibri" w:hAnsi="Calibri"/>
                <w:b w:val="0"/>
                <w:color w:val="2D3748"/>
                <w:sz w:val="18"/>
              </w:rPr>
              <w:t>$1,044.3 M (20.95%)</w:t>
            </w:r>
          </w:p>
        </w:tc>
        <w:tc>
          <w:tcPr>
            <w:tcW w:type="dxa" w:w="2304"/>
            <w:shd w:fill="F7FAFC"/>
            <w:tcMar>
              <w:top w:w="80" w:type="dxa"/>
              <w:bottom w:w="80" w:type="dxa"/>
              <w:left w:w="120" w:type="dxa"/>
              <w:right w:w="120" w:type="dxa"/>
            </w:tcMar>
          </w:tcPr>
          <w:p>
            <w:pPr>
              <w:spacing w:before="0" w:after="0"/>
              <w:jc w:val="right"/>
            </w:pPr>
            <w:r>
              <w:rPr>
                <w:rFonts w:ascii="Calibri" w:hAnsi="Calibri"/>
                <w:b w:val="0"/>
                <w:color w:val="2D3748"/>
                <w:sz w:val="18"/>
              </w:rPr>
              <w:t>Margen EBIT líder absoluto; más que duplica a Nike (10%).</w:t>
            </w:r>
          </w:p>
        </w:tc>
      </w:tr>
      <w:tr>
        <w:tc>
          <w:tcPr>
            <w:tcW w:type="dxa" w:w="2304"/>
            <w:shd w:fill="FFFFFF"/>
            <w:tcMar>
              <w:top w:w="80" w:type="dxa"/>
              <w:bottom w:w="80" w:type="dxa"/>
              <w:left w:w="120" w:type="dxa"/>
              <w:right w:w="120" w:type="dxa"/>
            </w:tcMar>
          </w:tcPr>
          <w:p>
            <w:pPr>
              <w:spacing w:before="0" w:after="0"/>
              <w:jc w:val="left"/>
            </w:pPr>
            <w:r>
              <w:rPr>
                <w:rFonts w:ascii="Calibri" w:hAnsi="Calibri"/>
                <w:b w:val="0"/>
                <w:color w:val="2D3748"/>
                <w:sz w:val="18"/>
              </w:rPr>
              <w:t>Beneficio Neto</w:t>
            </w:r>
          </w:p>
        </w:tc>
        <w:tc>
          <w:tcPr>
            <w:tcW w:type="dxa" w:w="1728"/>
            <w:shd w:fill="FFFFFF"/>
            <w:tcMar>
              <w:top w:w="80" w:type="dxa"/>
              <w:bottom w:w="80" w:type="dxa"/>
              <w:left w:w="120" w:type="dxa"/>
              <w:right w:w="120" w:type="dxa"/>
            </w:tcMar>
          </w:tcPr>
          <w:p>
            <w:pPr>
              <w:spacing w:before="0" w:after="0"/>
              <w:jc w:val="right"/>
            </w:pPr>
            <w:r>
              <w:rPr>
                <w:rFonts w:ascii="Calibri" w:hAnsi="Calibri"/>
                <w:b w:val="0"/>
                <w:color w:val="2D3748"/>
                <w:sz w:val="18"/>
              </w:rPr>
              <w:t>$1,014.8 M (18.36%)</w:t>
            </w:r>
          </w:p>
        </w:tc>
        <w:tc>
          <w:tcPr>
            <w:tcW w:type="dxa" w:w="1728"/>
            <w:shd w:fill="FFFFFF"/>
            <w:tcMar>
              <w:top w:w="80" w:type="dxa"/>
              <w:bottom w:w="80" w:type="dxa"/>
              <w:left w:w="120" w:type="dxa"/>
              <w:right w:w="120" w:type="dxa"/>
            </w:tcMar>
          </w:tcPr>
          <w:p>
            <w:pPr>
              <w:spacing w:before="0" w:after="0"/>
              <w:jc w:val="right"/>
            </w:pPr>
            <w:r>
              <w:rPr>
                <w:rFonts w:ascii="Calibri" w:hAnsi="Calibri"/>
                <w:b w:val="0"/>
                <w:color w:val="2D3748"/>
                <w:sz w:val="18"/>
              </w:rPr>
              <w:t>$1,024.1 M (18.71%)</w:t>
            </w:r>
          </w:p>
        </w:tc>
        <w:tc>
          <w:tcPr>
            <w:tcW w:type="dxa" w:w="1728"/>
            <w:shd w:fill="FFFFFF"/>
            <w:tcMar>
              <w:top w:w="80" w:type="dxa"/>
              <w:bottom w:w="80" w:type="dxa"/>
              <w:left w:w="120" w:type="dxa"/>
              <w:right w:w="120" w:type="dxa"/>
            </w:tcMar>
          </w:tcPr>
          <w:p>
            <w:pPr>
              <w:spacing w:before="0" w:after="0"/>
              <w:jc w:val="right"/>
            </w:pPr>
            <w:r>
              <w:rPr>
                <w:rFonts w:ascii="Calibri" w:hAnsi="Calibri"/>
                <w:b w:val="0"/>
                <w:color w:val="2D3748"/>
                <w:sz w:val="18"/>
              </w:rPr>
              <w:t>$966.1 M (19.38%)</w:t>
            </w:r>
          </w:p>
        </w:tc>
        <w:tc>
          <w:tcPr>
            <w:tcW w:type="dxa" w:w="2304"/>
            <w:shd w:fill="FFFFFF"/>
            <w:tcMar>
              <w:top w:w="80" w:type="dxa"/>
              <w:bottom w:w="80" w:type="dxa"/>
              <w:left w:w="120" w:type="dxa"/>
              <w:right w:w="120" w:type="dxa"/>
            </w:tcMar>
          </w:tcPr>
          <w:p>
            <w:pPr>
              <w:spacing w:before="0" w:after="0"/>
              <w:jc w:val="right"/>
            </w:pPr>
            <w:r>
              <w:rPr>
                <w:rFonts w:ascii="Calibri" w:hAnsi="Calibri"/>
                <w:b w:val="0"/>
                <w:color w:val="2D3748"/>
                <w:sz w:val="18"/>
              </w:rPr>
              <w:t>Conversión neta de altísima calidad respaldada 100% en caja.</w:t>
            </w:r>
          </w:p>
        </w:tc>
      </w:tr>
      <w:tr>
        <w:tc>
          <w:tcPr>
            <w:tcW w:type="dxa" w:w="2304"/>
            <w:shd w:fill="F7FAFC"/>
            <w:tcMar>
              <w:top w:w="80" w:type="dxa"/>
              <w:bottom w:w="80" w:type="dxa"/>
              <w:left w:w="120" w:type="dxa"/>
              <w:right w:w="120" w:type="dxa"/>
            </w:tcMar>
          </w:tcPr>
          <w:p>
            <w:pPr>
              <w:spacing w:before="0" w:after="0"/>
              <w:jc w:val="left"/>
            </w:pPr>
            <w:r>
              <w:rPr>
                <w:rFonts w:ascii="Calibri" w:hAnsi="Calibri"/>
                <w:b w:val="0"/>
                <w:color w:val="2D3748"/>
                <w:sz w:val="18"/>
              </w:rPr>
              <w:t>Flujo de Caja Operativo (CFO)</w:t>
            </w:r>
          </w:p>
        </w:tc>
        <w:tc>
          <w:tcPr>
            <w:tcW w:type="dxa" w:w="1728"/>
            <w:shd w:fill="F7FAFC"/>
            <w:tcMar>
              <w:top w:w="80" w:type="dxa"/>
              <w:bottom w:w="80" w:type="dxa"/>
              <w:left w:w="120" w:type="dxa"/>
              <w:right w:w="120" w:type="dxa"/>
            </w:tcMar>
          </w:tcPr>
          <w:p>
            <w:pPr>
              <w:spacing w:before="0" w:after="0"/>
              <w:jc w:val="right"/>
            </w:pPr>
            <w:r>
              <w:rPr>
                <w:rFonts w:ascii="Calibri" w:hAnsi="Calibri"/>
                <w:b w:val="0"/>
                <w:color w:val="2D3748"/>
                <w:sz w:val="18"/>
              </w:rPr>
              <w:t>$1,193.7 M</w:t>
            </w:r>
          </w:p>
        </w:tc>
        <w:tc>
          <w:tcPr>
            <w:tcW w:type="dxa" w:w="1728"/>
            <w:shd w:fill="F7FAFC"/>
            <w:tcMar>
              <w:top w:w="80" w:type="dxa"/>
              <w:bottom w:w="80" w:type="dxa"/>
              <w:left w:w="120" w:type="dxa"/>
              <w:right w:w="120" w:type="dxa"/>
            </w:tcMar>
          </w:tcPr>
          <w:p>
            <w:pPr>
              <w:spacing w:before="0" w:after="0"/>
              <w:jc w:val="right"/>
            </w:pPr>
            <w:r>
              <w:rPr>
                <w:rFonts w:ascii="Calibri" w:hAnsi="Calibri"/>
                <w:b w:val="0"/>
                <w:color w:val="2D3748"/>
                <w:sz w:val="18"/>
              </w:rPr>
              <w:t>$1,182.0 M</w:t>
            </w:r>
          </w:p>
        </w:tc>
        <w:tc>
          <w:tcPr>
            <w:tcW w:type="dxa" w:w="1728"/>
            <w:shd w:fill="F7FAFC"/>
            <w:tcMar>
              <w:top w:w="80" w:type="dxa"/>
              <w:bottom w:w="80" w:type="dxa"/>
              <w:left w:w="120" w:type="dxa"/>
              <w:right w:w="120" w:type="dxa"/>
            </w:tcMar>
          </w:tcPr>
          <w:p>
            <w:pPr>
              <w:spacing w:before="0" w:after="0"/>
              <w:jc w:val="right"/>
            </w:pPr>
            <w:r>
              <w:rPr>
                <w:rFonts w:ascii="Calibri" w:hAnsi="Calibri"/>
                <w:b w:val="0"/>
                <w:color w:val="2D3748"/>
                <w:sz w:val="18"/>
              </w:rPr>
              <w:t>$1,044.5 M</w:t>
            </w:r>
          </w:p>
        </w:tc>
        <w:tc>
          <w:tcPr>
            <w:tcW w:type="dxa" w:w="2304"/>
            <w:shd w:fill="F7FAFC"/>
            <w:tcMar>
              <w:top w:w="80" w:type="dxa"/>
              <w:bottom w:w="80" w:type="dxa"/>
              <w:left w:w="120" w:type="dxa"/>
              <w:right w:w="120" w:type="dxa"/>
            </w:tcMar>
          </w:tcPr>
          <w:p>
            <w:pPr>
              <w:spacing w:before="0" w:after="0"/>
              <w:jc w:val="right"/>
            </w:pPr>
            <w:r>
              <w:rPr>
                <w:rFonts w:ascii="Calibri" w:hAnsi="Calibri"/>
                <w:b w:val="0"/>
                <w:color w:val="2D3748"/>
                <w:sz w:val="18"/>
              </w:rPr>
              <w:t>Generación de efectivo récord para el ciclo operativo.</w:t>
            </w:r>
          </w:p>
        </w:tc>
      </w:tr>
      <w:tr>
        <w:tc>
          <w:tcPr>
            <w:tcW w:type="dxa" w:w="2304"/>
            <w:shd w:fill="FFFFFF"/>
            <w:tcMar>
              <w:top w:w="80" w:type="dxa"/>
              <w:bottom w:w="80" w:type="dxa"/>
              <w:left w:w="120" w:type="dxa"/>
              <w:right w:w="120" w:type="dxa"/>
            </w:tcMar>
          </w:tcPr>
          <w:p>
            <w:pPr>
              <w:spacing w:before="0" w:after="0"/>
              <w:jc w:val="left"/>
            </w:pPr>
            <w:r>
              <w:rPr>
                <w:rFonts w:ascii="Calibri" w:hAnsi="Calibri"/>
                <w:b w:val="0"/>
                <w:color w:val="2D3748"/>
                <w:sz w:val="18"/>
              </w:rPr>
              <w:t>Inversión en CapEx</w:t>
            </w:r>
          </w:p>
        </w:tc>
        <w:tc>
          <w:tcPr>
            <w:tcW w:type="dxa" w:w="1728"/>
            <w:shd w:fill="FFFFFF"/>
            <w:tcMar>
              <w:top w:w="80" w:type="dxa"/>
              <w:bottom w:w="80" w:type="dxa"/>
              <w:left w:w="120" w:type="dxa"/>
              <w:right w:w="120" w:type="dxa"/>
            </w:tcMar>
          </w:tcPr>
          <w:p>
            <w:pPr>
              <w:spacing w:before="0" w:after="0"/>
              <w:jc w:val="right"/>
            </w:pPr>
            <w:r>
              <w:rPr>
                <w:rFonts w:ascii="Calibri" w:hAnsi="Calibri"/>
                <w:b w:val="0"/>
                <w:color w:val="2D3748"/>
                <w:sz w:val="18"/>
              </w:rPr>
              <w:t>$75.9 M</w:t>
            </w:r>
          </w:p>
        </w:tc>
        <w:tc>
          <w:tcPr>
            <w:tcW w:type="dxa" w:w="1728"/>
            <w:shd w:fill="FFFFFF"/>
            <w:tcMar>
              <w:top w:w="80" w:type="dxa"/>
              <w:bottom w:w="80" w:type="dxa"/>
              <w:left w:w="120" w:type="dxa"/>
              <w:right w:w="120" w:type="dxa"/>
            </w:tcMar>
          </w:tcPr>
          <w:p>
            <w:pPr>
              <w:spacing w:before="0" w:after="0"/>
              <w:jc w:val="right"/>
            </w:pPr>
            <w:r>
              <w:rPr>
                <w:rFonts w:ascii="Calibri" w:hAnsi="Calibri"/>
                <w:b w:val="0"/>
                <w:color w:val="2D3748"/>
                <w:sz w:val="18"/>
              </w:rPr>
              <w:t>$84.6 M</w:t>
            </w:r>
          </w:p>
        </w:tc>
        <w:tc>
          <w:tcPr>
            <w:tcW w:type="dxa" w:w="1728"/>
            <w:shd w:fill="FFFFFF"/>
            <w:tcMar>
              <w:top w:w="80" w:type="dxa"/>
              <w:bottom w:w="80" w:type="dxa"/>
              <w:left w:w="120" w:type="dxa"/>
              <w:right w:w="120" w:type="dxa"/>
            </w:tcMar>
          </w:tcPr>
          <w:p>
            <w:pPr>
              <w:spacing w:before="0" w:after="0"/>
              <w:jc w:val="right"/>
            </w:pPr>
            <w:r>
              <w:rPr>
                <w:rFonts w:ascii="Calibri" w:hAnsi="Calibri"/>
                <w:b w:val="0"/>
                <w:color w:val="2D3748"/>
                <w:sz w:val="18"/>
              </w:rPr>
              <w:t>$86.2 M</w:t>
            </w:r>
          </w:p>
        </w:tc>
        <w:tc>
          <w:tcPr>
            <w:tcW w:type="dxa" w:w="2304"/>
            <w:shd w:fill="FFFFFF"/>
            <w:tcMar>
              <w:top w:w="80" w:type="dxa"/>
              <w:bottom w:w="80" w:type="dxa"/>
              <w:left w:w="120" w:type="dxa"/>
              <w:right w:w="120" w:type="dxa"/>
            </w:tcMar>
          </w:tcPr>
          <w:p>
            <w:pPr>
              <w:spacing w:before="0" w:after="0"/>
              <w:jc w:val="right"/>
            </w:pPr>
            <w:r>
              <w:rPr>
                <w:rFonts w:ascii="Calibri" w:hAnsi="Calibri"/>
                <w:b w:val="0"/>
                <w:color w:val="2D3748"/>
                <w:sz w:val="18"/>
              </w:rPr>
              <w:t>Modelo de capital ultra-ligero (1.4% de ingresos) bajo manufactura fabless.</w:t>
            </w:r>
          </w:p>
        </w:tc>
      </w:tr>
      <w:tr>
        <w:tc>
          <w:tcPr>
            <w:tcW w:type="dxa" w:w="2304"/>
            <w:shd w:fill="F7FAFC"/>
            <w:tcMar>
              <w:top w:w="80" w:type="dxa"/>
              <w:bottom w:w="80" w:type="dxa"/>
              <w:left w:w="120" w:type="dxa"/>
              <w:right w:w="120" w:type="dxa"/>
            </w:tcMar>
          </w:tcPr>
          <w:p>
            <w:pPr>
              <w:spacing w:before="0" w:after="0"/>
              <w:jc w:val="left"/>
            </w:pPr>
            <w:r>
              <w:rPr>
                <w:rFonts w:ascii="Calibri" w:hAnsi="Calibri"/>
                <w:b w:val="0"/>
                <w:color w:val="2D3748"/>
                <w:sz w:val="18"/>
              </w:rPr>
              <w:t>Flujo de Caja Libre (FCF)</w:t>
            </w:r>
          </w:p>
        </w:tc>
        <w:tc>
          <w:tcPr>
            <w:tcW w:type="dxa" w:w="1728"/>
            <w:shd w:fill="F7FAFC"/>
            <w:tcMar>
              <w:top w:w="80" w:type="dxa"/>
              <w:bottom w:w="80" w:type="dxa"/>
              <w:left w:w="120" w:type="dxa"/>
              <w:right w:w="120" w:type="dxa"/>
            </w:tcMar>
          </w:tcPr>
          <w:p>
            <w:pPr>
              <w:spacing w:before="0" w:after="0"/>
              <w:jc w:val="right"/>
            </w:pPr>
            <w:r>
              <w:rPr>
                <w:rFonts w:ascii="Calibri" w:hAnsi="Calibri"/>
                <w:b w:val="0"/>
                <w:color w:val="2D3748"/>
                <w:sz w:val="18"/>
              </w:rPr>
              <w:t>$1,117.8 M</w:t>
            </w:r>
          </w:p>
        </w:tc>
        <w:tc>
          <w:tcPr>
            <w:tcW w:type="dxa" w:w="1728"/>
            <w:shd w:fill="F7FAFC"/>
            <w:tcMar>
              <w:top w:w="80" w:type="dxa"/>
              <w:bottom w:w="80" w:type="dxa"/>
              <w:left w:w="120" w:type="dxa"/>
              <w:right w:w="120" w:type="dxa"/>
            </w:tcMar>
          </w:tcPr>
          <w:p>
            <w:pPr>
              <w:spacing w:before="0" w:after="0"/>
              <w:jc w:val="right"/>
            </w:pPr>
            <w:r>
              <w:rPr>
                <w:rFonts w:ascii="Calibri" w:hAnsi="Calibri"/>
                <w:b w:val="0"/>
                <w:color w:val="2D3748"/>
                <w:sz w:val="18"/>
              </w:rPr>
              <w:t>$1,097.3 M</w:t>
            </w:r>
          </w:p>
        </w:tc>
        <w:tc>
          <w:tcPr>
            <w:tcW w:type="dxa" w:w="1728"/>
            <w:shd w:fill="F7FAFC"/>
            <w:tcMar>
              <w:top w:w="80" w:type="dxa"/>
              <w:bottom w:w="80" w:type="dxa"/>
              <w:left w:w="120" w:type="dxa"/>
              <w:right w:w="120" w:type="dxa"/>
            </w:tcMar>
          </w:tcPr>
          <w:p>
            <w:pPr>
              <w:spacing w:before="0" w:after="0"/>
              <w:jc w:val="right"/>
            </w:pPr>
            <w:r>
              <w:rPr>
                <w:rFonts w:ascii="Calibri" w:hAnsi="Calibri"/>
                <w:b w:val="0"/>
                <w:color w:val="2D3748"/>
                <w:sz w:val="18"/>
              </w:rPr>
              <w:t>$958.4 M</w:t>
            </w:r>
          </w:p>
        </w:tc>
        <w:tc>
          <w:tcPr>
            <w:tcW w:type="dxa" w:w="2304"/>
            <w:shd w:fill="F7FAFC"/>
            <w:tcMar>
              <w:top w:w="80" w:type="dxa"/>
              <w:bottom w:w="80" w:type="dxa"/>
              <w:left w:w="120" w:type="dxa"/>
              <w:right w:w="120" w:type="dxa"/>
            </w:tcMar>
          </w:tcPr>
          <w:p>
            <w:pPr>
              <w:spacing w:before="0" w:after="0"/>
              <w:jc w:val="right"/>
            </w:pPr>
            <w:r>
              <w:rPr>
                <w:rFonts w:ascii="Calibri" w:hAnsi="Calibri"/>
                <w:b w:val="0"/>
                <w:color w:val="2D3748"/>
                <w:sz w:val="18"/>
              </w:rPr>
              <w:t>Conversión FCF / Beneficio Neto del 110.1% (concilia 100% con fiscal.ai y tikr).</w:t>
            </w:r>
          </w:p>
        </w:tc>
      </w:tr>
      <w:tr>
        <w:tc>
          <w:tcPr>
            <w:tcW w:type="dxa" w:w="2304"/>
            <w:shd w:fill="FFFFFF"/>
            <w:tcMar>
              <w:top w:w="80" w:type="dxa"/>
              <w:bottom w:w="80" w:type="dxa"/>
              <w:left w:w="120" w:type="dxa"/>
              <w:right w:w="120" w:type="dxa"/>
            </w:tcMar>
          </w:tcPr>
          <w:p>
            <w:pPr>
              <w:spacing w:before="0" w:after="0"/>
              <w:jc w:val="left"/>
            </w:pPr>
            <w:r>
              <w:rPr>
                <w:rFonts w:ascii="Calibri" w:hAnsi="Calibri"/>
                <w:b w:val="0"/>
                <w:color w:val="2D3748"/>
                <w:sz w:val="18"/>
              </w:rPr>
              <w:t>Efectivo e Inversiones Líquidas</w:t>
            </w:r>
          </w:p>
        </w:tc>
        <w:tc>
          <w:tcPr>
            <w:tcW w:type="dxa" w:w="1728"/>
            <w:shd w:fill="FFFFFF"/>
            <w:tcMar>
              <w:top w:w="80" w:type="dxa"/>
              <w:bottom w:w="80" w:type="dxa"/>
              <w:left w:w="120" w:type="dxa"/>
              <w:right w:w="120" w:type="dxa"/>
            </w:tcMar>
          </w:tcPr>
          <w:p>
            <w:pPr>
              <w:spacing w:before="0" w:after="0"/>
              <w:jc w:val="right"/>
            </w:pPr>
            <w:r>
              <w:rPr>
                <w:rFonts w:ascii="Calibri" w:hAnsi="Calibri"/>
                <w:b w:val="0"/>
                <w:color w:val="2D3748"/>
                <w:sz w:val="18"/>
              </w:rPr>
              <w:t>$1,602.6 M</w:t>
            </w:r>
          </w:p>
        </w:tc>
        <w:tc>
          <w:tcPr>
            <w:tcW w:type="dxa" w:w="1728"/>
            <w:shd w:fill="FFFFFF"/>
            <w:tcMar>
              <w:top w:w="80" w:type="dxa"/>
              <w:bottom w:w="80" w:type="dxa"/>
              <w:left w:w="120" w:type="dxa"/>
              <w:right w:w="120" w:type="dxa"/>
            </w:tcMar>
          </w:tcPr>
          <w:p>
            <w:pPr>
              <w:spacing w:before="0" w:after="0"/>
              <w:jc w:val="right"/>
            </w:pPr>
            <w:r>
              <w:rPr>
                <w:rFonts w:ascii="Calibri" w:hAnsi="Calibri"/>
                <w:b w:val="0"/>
                <w:color w:val="2D3748"/>
                <w:sz w:val="18"/>
              </w:rPr>
              <w:t>$1,907.2 M</w:t>
            </w:r>
          </w:p>
        </w:tc>
        <w:tc>
          <w:tcPr>
            <w:tcW w:type="dxa" w:w="1728"/>
            <w:shd w:fill="FFFFFF"/>
            <w:tcMar>
              <w:top w:w="80" w:type="dxa"/>
              <w:bottom w:w="80" w:type="dxa"/>
              <w:left w:w="120" w:type="dxa"/>
              <w:right w:w="120" w:type="dxa"/>
            </w:tcMar>
          </w:tcPr>
          <w:p>
            <w:pPr>
              <w:spacing w:before="0" w:after="0"/>
              <w:jc w:val="right"/>
            </w:pPr>
            <w:r>
              <w:rPr>
                <w:rFonts w:ascii="Calibri" w:hAnsi="Calibri"/>
                <w:b w:val="0"/>
                <w:color w:val="2D3748"/>
                <w:sz w:val="18"/>
              </w:rPr>
              <w:t>$1,503.2 M</w:t>
            </w:r>
          </w:p>
        </w:tc>
        <w:tc>
          <w:tcPr>
            <w:tcW w:type="dxa" w:w="2304"/>
            <w:shd w:fill="FFFFFF"/>
            <w:tcMar>
              <w:top w:w="80" w:type="dxa"/>
              <w:bottom w:w="80" w:type="dxa"/>
              <w:left w:w="120" w:type="dxa"/>
              <w:right w:w="120" w:type="dxa"/>
            </w:tcMar>
          </w:tcPr>
          <w:p>
            <w:pPr>
              <w:spacing w:before="0" w:after="0"/>
              <w:jc w:val="right"/>
            </w:pPr>
            <w:r>
              <w:rPr>
                <w:rFonts w:ascii="Calibri" w:hAnsi="Calibri"/>
                <w:b w:val="0"/>
                <w:color w:val="2D3748"/>
                <w:sz w:val="18"/>
              </w:rPr>
              <w:t>Blindaje financiero absoluto; posición de caja neta masiva.</w:t>
            </w:r>
          </w:p>
        </w:tc>
      </w:tr>
      <w:tr>
        <w:tc>
          <w:tcPr>
            <w:tcW w:type="dxa" w:w="2304"/>
            <w:shd w:fill="F7FAFC"/>
            <w:tcMar>
              <w:top w:w="80" w:type="dxa"/>
              <w:bottom w:w="80" w:type="dxa"/>
              <w:left w:w="120" w:type="dxa"/>
              <w:right w:w="120" w:type="dxa"/>
            </w:tcMar>
          </w:tcPr>
          <w:p>
            <w:pPr>
              <w:spacing w:before="0" w:after="0"/>
              <w:jc w:val="left"/>
            </w:pPr>
            <w:r>
              <w:rPr>
                <w:rFonts w:ascii="Calibri" w:hAnsi="Calibri"/>
                <w:b/>
                <w:color w:val="1B365D"/>
                <w:sz w:val="18"/>
              </w:rPr>
              <w:t>Deuda Financiera Total</w:t>
            </w:r>
          </w:p>
        </w:tc>
        <w:tc>
          <w:tcPr>
            <w:tcW w:type="dxa" w:w="1728"/>
            <w:shd w:fill="F7FAFC"/>
            <w:tcMar>
              <w:top w:w="80" w:type="dxa"/>
              <w:bottom w:w="80" w:type="dxa"/>
              <w:left w:w="120" w:type="dxa"/>
              <w:right w:w="120" w:type="dxa"/>
            </w:tcMar>
          </w:tcPr>
          <w:p>
            <w:pPr>
              <w:spacing w:before="0" w:after="0"/>
              <w:jc w:val="right"/>
            </w:pPr>
            <w:r>
              <w:rPr>
                <w:rFonts w:ascii="Calibri" w:hAnsi="Calibri"/>
                <w:b/>
                <w:color w:val="1B365D"/>
                <w:sz w:val="18"/>
              </w:rPr>
              <w:t>$0.0 M</w:t>
            </w:r>
          </w:p>
        </w:tc>
        <w:tc>
          <w:tcPr>
            <w:tcW w:type="dxa" w:w="1728"/>
            <w:shd w:fill="F7FAFC"/>
            <w:tcMar>
              <w:top w:w="80" w:type="dxa"/>
              <w:bottom w:w="80" w:type="dxa"/>
              <w:left w:w="120" w:type="dxa"/>
              <w:right w:w="120" w:type="dxa"/>
            </w:tcMar>
          </w:tcPr>
          <w:p>
            <w:pPr>
              <w:spacing w:before="0" w:after="0"/>
              <w:jc w:val="right"/>
            </w:pPr>
            <w:r>
              <w:rPr>
                <w:rFonts w:ascii="Calibri" w:hAnsi="Calibri"/>
                <w:b/>
                <w:color w:val="1B365D"/>
                <w:sz w:val="18"/>
              </w:rPr>
              <w:t>$0.0 M</w:t>
            </w:r>
          </w:p>
        </w:tc>
        <w:tc>
          <w:tcPr>
            <w:tcW w:type="dxa" w:w="1728"/>
            <w:shd w:fill="F7FAFC"/>
            <w:tcMar>
              <w:top w:w="80" w:type="dxa"/>
              <w:bottom w:w="80" w:type="dxa"/>
              <w:left w:w="120" w:type="dxa"/>
              <w:right w:w="120" w:type="dxa"/>
            </w:tcMar>
          </w:tcPr>
          <w:p>
            <w:pPr>
              <w:spacing w:before="0" w:after="0"/>
              <w:jc w:val="right"/>
            </w:pPr>
            <w:r>
              <w:rPr>
                <w:rFonts w:ascii="Calibri" w:hAnsi="Calibri"/>
                <w:b/>
                <w:color w:val="1B365D"/>
                <w:sz w:val="18"/>
              </w:rPr>
              <w:t>$0.0 M</w:t>
            </w:r>
          </w:p>
        </w:tc>
        <w:tc>
          <w:tcPr>
            <w:tcW w:type="dxa" w:w="2304"/>
            <w:shd w:fill="F7FAFC"/>
            <w:tcMar>
              <w:top w:w="80" w:type="dxa"/>
              <w:bottom w:w="80" w:type="dxa"/>
              <w:left w:w="120" w:type="dxa"/>
              <w:right w:w="120" w:type="dxa"/>
            </w:tcMar>
          </w:tcPr>
          <w:p>
            <w:pPr>
              <w:spacing w:before="0" w:after="0"/>
              <w:jc w:val="right"/>
            </w:pPr>
            <w:r>
              <w:rPr>
                <w:rFonts w:ascii="Calibri" w:hAnsi="Calibri"/>
                <w:b/>
                <w:color w:val="1B365D"/>
                <w:sz w:val="18"/>
              </w:rPr>
              <w:t>Cero endeudamiento bancario o bonos; máxima solvencia.</w:t>
            </w:r>
          </w:p>
        </w:tc>
      </w:tr>
      <w:tr>
        <w:tc>
          <w:tcPr>
            <w:tcW w:type="dxa" w:w="2304"/>
            <w:shd w:fill="FFFFFF"/>
            <w:tcMar>
              <w:top w:w="80" w:type="dxa"/>
              <w:bottom w:w="80" w:type="dxa"/>
              <w:left w:w="120" w:type="dxa"/>
              <w:right w:w="120" w:type="dxa"/>
            </w:tcMar>
          </w:tcPr>
          <w:p>
            <w:pPr>
              <w:spacing w:before="0" w:after="0"/>
              <w:jc w:val="left"/>
            </w:pPr>
            <w:r>
              <w:rPr>
                <w:rFonts w:ascii="Calibri" w:hAnsi="Calibri"/>
                <w:b w:val="0"/>
                <w:color w:val="2D3748"/>
                <w:sz w:val="18"/>
              </w:rPr>
              <w:t>Acciones Básicas en Circulación</w:t>
            </w:r>
          </w:p>
        </w:tc>
        <w:tc>
          <w:tcPr>
            <w:tcW w:type="dxa" w:w="1728"/>
            <w:shd w:fill="FFFFFF"/>
            <w:tcMar>
              <w:top w:w="80" w:type="dxa"/>
              <w:bottom w:w="80" w:type="dxa"/>
              <w:left w:w="120" w:type="dxa"/>
              <w:right w:w="120" w:type="dxa"/>
            </w:tcMar>
          </w:tcPr>
          <w:p>
            <w:pPr>
              <w:spacing w:before="0" w:after="0"/>
              <w:jc w:val="right"/>
            </w:pPr>
            <w:r>
              <w:rPr>
                <w:rFonts w:ascii="Calibri" w:hAnsi="Calibri"/>
                <w:b w:val="0"/>
                <w:color w:val="2D3748"/>
                <w:sz w:val="18"/>
              </w:rPr>
              <w:t>138.3 M</w:t>
            </w:r>
          </w:p>
        </w:tc>
        <w:tc>
          <w:tcPr>
            <w:tcW w:type="dxa" w:w="1728"/>
            <w:shd w:fill="FFFFFF"/>
            <w:tcMar>
              <w:top w:w="80" w:type="dxa"/>
              <w:bottom w:w="80" w:type="dxa"/>
              <w:left w:w="120" w:type="dxa"/>
              <w:right w:w="120" w:type="dxa"/>
            </w:tcMar>
          </w:tcPr>
          <w:p>
            <w:pPr>
              <w:spacing w:before="0" w:after="0"/>
              <w:jc w:val="right"/>
            </w:pPr>
            <w:r>
              <w:rPr>
                <w:rFonts w:ascii="Calibri" w:hAnsi="Calibri"/>
                <w:b w:val="0"/>
                <w:color w:val="2D3748"/>
                <w:sz w:val="18"/>
              </w:rPr>
              <w:t>145.5 M</w:t>
            </w:r>
          </w:p>
        </w:tc>
        <w:tc>
          <w:tcPr>
            <w:tcW w:type="dxa" w:w="1728"/>
            <w:shd w:fill="FFFFFF"/>
            <w:tcMar>
              <w:top w:w="80" w:type="dxa"/>
              <w:bottom w:w="80" w:type="dxa"/>
              <w:left w:w="120" w:type="dxa"/>
              <w:right w:w="120" w:type="dxa"/>
            </w:tcMar>
          </w:tcPr>
          <w:p>
            <w:pPr>
              <w:spacing w:before="0" w:after="0"/>
              <w:jc w:val="right"/>
            </w:pPr>
            <w:r>
              <w:rPr>
                <w:rFonts w:ascii="Calibri" w:hAnsi="Calibri"/>
                <w:b w:val="0"/>
                <w:color w:val="2D3748"/>
                <w:sz w:val="18"/>
              </w:rPr>
              <w:t>152.0 M</w:t>
            </w:r>
          </w:p>
        </w:tc>
        <w:tc>
          <w:tcPr>
            <w:tcW w:type="dxa" w:w="2304"/>
            <w:shd w:fill="FFFFFF"/>
            <w:tcMar>
              <w:top w:w="80" w:type="dxa"/>
              <w:bottom w:w="80" w:type="dxa"/>
              <w:left w:w="120" w:type="dxa"/>
              <w:right w:w="120" w:type="dxa"/>
            </w:tcMar>
          </w:tcPr>
          <w:p>
            <w:pPr>
              <w:spacing w:before="0" w:after="0"/>
              <w:jc w:val="right"/>
            </w:pPr>
            <w:r>
              <w:rPr>
                <w:rFonts w:ascii="Calibri" w:hAnsi="Calibri"/>
                <w:b w:val="0"/>
                <w:color w:val="2D3748"/>
                <w:sz w:val="18"/>
              </w:rPr>
              <w:t>Recompra neta de 7.2M acciones en LTM (stock split 6:1 en sep-2024).</w:t>
            </w:r>
          </w:p>
        </w:tc>
      </w:tr>
      <w:tr>
        <w:tc>
          <w:tcPr>
            <w:tcW w:type="dxa" w:w="2304"/>
            <w:shd w:fill="F7FAFC"/>
            <w:tcMar>
              <w:top w:w="80" w:type="dxa"/>
              <w:bottom w:w="80" w:type="dxa"/>
              <w:left w:w="120" w:type="dxa"/>
              <w:right w:w="120" w:type="dxa"/>
            </w:tcMar>
          </w:tcPr>
          <w:p>
            <w:pPr>
              <w:spacing w:before="0" w:after="0"/>
              <w:jc w:val="left"/>
            </w:pPr>
            <w:r>
              <w:rPr>
                <w:rFonts w:ascii="Calibri" w:hAnsi="Calibri"/>
                <w:b w:val="0"/>
                <w:color w:val="2D3748"/>
                <w:sz w:val="18"/>
              </w:rPr>
              <w:t>Acciones Diluidas Ajustadas</w:t>
            </w:r>
          </w:p>
        </w:tc>
        <w:tc>
          <w:tcPr>
            <w:tcW w:type="dxa" w:w="1728"/>
            <w:shd w:fill="F7FAFC"/>
            <w:tcMar>
              <w:top w:w="80" w:type="dxa"/>
              <w:bottom w:w="80" w:type="dxa"/>
              <w:left w:w="120" w:type="dxa"/>
              <w:right w:w="120" w:type="dxa"/>
            </w:tcMar>
          </w:tcPr>
          <w:p>
            <w:pPr>
              <w:spacing w:before="0" w:after="0"/>
              <w:jc w:val="right"/>
            </w:pPr>
            <w:r>
              <w:rPr>
                <w:rFonts w:ascii="Calibri" w:hAnsi="Calibri"/>
                <w:b w:val="0"/>
                <w:color w:val="2D3748"/>
                <w:sz w:val="18"/>
              </w:rPr>
              <w:t>138.6 M</w:t>
            </w:r>
          </w:p>
        </w:tc>
        <w:tc>
          <w:tcPr>
            <w:tcW w:type="dxa" w:w="1728"/>
            <w:shd w:fill="F7FAFC"/>
            <w:tcMar>
              <w:top w:w="80" w:type="dxa"/>
              <w:bottom w:w="80" w:type="dxa"/>
              <w:left w:w="120" w:type="dxa"/>
              <w:right w:w="120" w:type="dxa"/>
            </w:tcMar>
          </w:tcPr>
          <w:p>
            <w:pPr>
              <w:spacing w:before="0" w:after="0"/>
              <w:jc w:val="right"/>
            </w:pPr>
            <w:r>
              <w:rPr>
                <w:rFonts w:ascii="Calibri" w:hAnsi="Calibri"/>
                <w:b w:val="0"/>
                <w:color w:val="2D3748"/>
                <w:sz w:val="18"/>
              </w:rPr>
              <w:t>145.8 M</w:t>
            </w:r>
          </w:p>
        </w:tc>
        <w:tc>
          <w:tcPr>
            <w:tcW w:type="dxa" w:w="1728"/>
            <w:shd w:fill="F7FAFC"/>
            <w:tcMar>
              <w:top w:w="80" w:type="dxa"/>
              <w:bottom w:w="80" w:type="dxa"/>
              <w:left w:w="120" w:type="dxa"/>
              <w:right w:w="120" w:type="dxa"/>
            </w:tcMar>
          </w:tcPr>
          <w:p>
            <w:pPr>
              <w:spacing w:before="0" w:after="0"/>
              <w:jc w:val="right"/>
            </w:pPr>
            <w:r>
              <w:rPr>
                <w:rFonts w:ascii="Calibri" w:hAnsi="Calibri"/>
                <w:b w:val="0"/>
                <w:color w:val="2D3748"/>
                <w:sz w:val="18"/>
              </w:rPr>
              <w:t>152.7 M</w:t>
            </w:r>
          </w:p>
        </w:tc>
        <w:tc>
          <w:tcPr>
            <w:tcW w:type="dxa" w:w="2304"/>
            <w:shd w:fill="F7FAFC"/>
            <w:tcMar>
              <w:top w:w="80" w:type="dxa"/>
              <w:bottom w:w="80" w:type="dxa"/>
              <w:left w:w="120" w:type="dxa"/>
              <w:right w:w="120" w:type="dxa"/>
            </w:tcMar>
          </w:tcPr>
          <w:p>
            <w:pPr>
              <w:spacing w:before="0" w:after="0"/>
              <w:jc w:val="right"/>
            </w:pPr>
            <w:r>
              <w:rPr>
                <w:rFonts w:ascii="Calibri" w:hAnsi="Calibri"/>
                <w:b w:val="0"/>
                <w:color w:val="2D3748"/>
                <w:sz w:val="18"/>
              </w:rPr>
              <w:t>Acciones diluidas normalizadas por split 6:1 para comparabilidad temporal.</w:t>
            </w:r>
          </w:p>
        </w:tc>
      </w:tr>
      <w:tr>
        <w:tc>
          <w:tcPr>
            <w:tcW w:type="dxa" w:w="2304"/>
            <w:shd w:fill="FFFFFF"/>
            <w:tcMar>
              <w:top w:w="80" w:type="dxa"/>
              <w:bottom w:w="80" w:type="dxa"/>
              <w:left w:w="120" w:type="dxa"/>
              <w:right w:w="120" w:type="dxa"/>
            </w:tcMar>
          </w:tcPr>
          <w:p>
            <w:pPr>
              <w:spacing w:before="0" w:after="0"/>
              <w:jc w:val="left"/>
            </w:pPr>
            <w:r>
              <w:rPr>
                <w:rFonts w:ascii="Calibri" w:hAnsi="Calibri"/>
                <w:b w:val="0"/>
                <w:color w:val="2D3748"/>
                <w:sz w:val="18"/>
              </w:rPr>
              <w:t>BPA Diluido Normalizado (Split-Adjusted)</w:t>
            </w:r>
          </w:p>
        </w:tc>
        <w:tc>
          <w:tcPr>
            <w:tcW w:type="dxa" w:w="1728"/>
            <w:shd w:fill="FFFFFF"/>
            <w:tcMar>
              <w:top w:w="80" w:type="dxa"/>
              <w:bottom w:w="80" w:type="dxa"/>
              <w:left w:w="120" w:type="dxa"/>
              <w:right w:w="120" w:type="dxa"/>
            </w:tcMar>
          </w:tcPr>
          <w:p>
            <w:pPr>
              <w:spacing w:before="0" w:after="0"/>
              <w:jc w:val="right"/>
            </w:pPr>
            <w:r>
              <w:rPr>
                <w:rFonts w:ascii="Calibri" w:hAnsi="Calibri"/>
                <w:b w:val="0"/>
                <w:color w:val="2D3748"/>
                <w:sz w:val="18"/>
              </w:rPr>
              <w:t>$7.32</w:t>
            </w:r>
          </w:p>
        </w:tc>
        <w:tc>
          <w:tcPr>
            <w:tcW w:type="dxa" w:w="1728"/>
            <w:shd w:fill="FFFFFF"/>
            <w:tcMar>
              <w:top w:w="80" w:type="dxa"/>
              <w:bottom w:w="80" w:type="dxa"/>
              <w:left w:w="120" w:type="dxa"/>
              <w:right w:w="120" w:type="dxa"/>
            </w:tcMar>
          </w:tcPr>
          <w:p>
            <w:pPr>
              <w:spacing w:before="0" w:after="0"/>
              <w:jc w:val="right"/>
            </w:pPr>
            <w:r>
              <w:rPr>
                <w:rFonts w:ascii="Calibri" w:hAnsi="Calibri"/>
                <w:b w:val="0"/>
                <w:color w:val="2D3748"/>
                <w:sz w:val="18"/>
              </w:rPr>
              <w:t>$7.02</w:t>
            </w:r>
          </w:p>
        </w:tc>
        <w:tc>
          <w:tcPr>
            <w:tcW w:type="dxa" w:w="1728"/>
            <w:shd w:fill="FFFFFF"/>
            <w:tcMar>
              <w:top w:w="80" w:type="dxa"/>
              <w:bottom w:w="80" w:type="dxa"/>
              <w:left w:w="120" w:type="dxa"/>
              <w:right w:w="120" w:type="dxa"/>
            </w:tcMar>
          </w:tcPr>
          <w:p>
            <w:pPr>
              <w:spacing w:before="0" w:after="0"/>
              <w:jc w:val="right"/>
            </w:pPr>
            <w:r>
              <w:rPr>
                <w:rFonts w:ascii="Calibri" w:hAnsi="Calibri"/>
                <w:b w:val="0"/>
                <w:color w:val="2D3748"/>
                <w:sz w:val="18"/>
              </w:rPr>
              <w:t>$6.33</w:t>
            </w:r>
          </w:p>
        </w:tc>
        <w:tc>
          <w:tcPr>
            <w:tcW w:type="dxa" w:w="2304"/>
            <w:shd w:fill="FFFFFF"/>
            <w:tcMar>
              <w:top w:w="80" w:type="dxa"/>
              <w:bottom w:w="80" w:type="dxa"/>
              <w:left w:w="120" w:type="dxa"/>
              <w:right w:w="120" w:type="dxa"/>
            </w:tcMar>
          </w:tcPr>
          <w:p>
            <w:pPr>
              <w:spacing w:before="0" w:after="0"/>
              <w:jc w:val="right"/>
            </w:pPr>
            <w:r>
              <w:rPr>
                <w:rFonts w:ascii="Calibri" w:hAnsi="Calibri"/>
                <w:b w:val="0"/>
                <w:color w:val="2D3748"/>
                <w:sz w:val="18"/>
              </w:rPr>
              <w:t>Ajustado por split 6:1 (sep-2024); concilia 100% con fiscal.ai y tikr ($4.86 en FY24).</w:t>
            </w:r>
          </w:p>
        </w:tc>
      </w:tr>
      <w:tr>
        <w:tc>
          <w:tcPr>
            <w:tcW w:type="dxa" w:w="2304"/>
            <w:shd w:fill="F7FAFC"/>
            <w:tcMar>
              <w:top w:w="80" w:type="dxa"/>
              <w:bottom w:w="80" w:type="dxa"/>
              <w:left w:w="120" w:type="dxa"/>
              <w:right w:w="120" w:type="dxa"/>
            </w:tcMar>
          </w:tcPr>
          <w:p>
            <w:pPr>
              <w:spacing w:before="0" w:after="0"/>
              <w:jc w:val="left"/>
            </w:pPr>
            <w:r>
              <w:rPr>
                <w:rFonts w:ascii="Calibri" w:hAnsi="Calibri"/>
                <w:b w:val="0"/>
                <w:color w:val="2D3748"/>
                <w:sz w:val="18"/>
              </w:rPr>
              <w:t>BPA Diluido As-Reported (Oficial SEC)</w:t>
            </w:r>
          </w:p>
        </w:tc>
        <w:tc>
          <w:tcPr>
            <w:tcW w:type="dxa" w:w="1728"/>
            <w:shd w:fill="F7FAFC"/>
            <w:tcMar>
              <w:top w:w="80" w:type="dxa"/>
              <w:bottom w:w="80" w:type="dxa"/>
              <w:left w:w="120" w:type="dxa"/>
              <w:right w:w="120" w:type="dxa"/>
            </w:tcMar>
          </w:tcPr>
          <w:p>
            <w:pPr>
              <w:spacing w:before="0" w:after="0"/>
              <w:jc w:val="right"/>
            </w:pPr>
            <w:r>
              <w:rPr>
                <w:rFonts w:ascii="Calibri" w:hAnsi="Calibri"/>
                <w:b w:val="0"/>
                <w:color w:val="2D3748"/>
                <w:sz w:val="18"/>
              </w:rPr>
              <w:t>$7.32</w:t>
            </w:r>
          </w:p>
        </w:tc>
        <w:tc>
          <w:tcPr>
            <w:tcW w:type="dxa" w:w="1728"/>
            <w:shd w:fill="F7FAFC"/>
            <w:tcMar>
              <w:top w:w="80" w:type="dxa"/>
              <w:bottom w:w="80" w:type="dxa"/>
              <w:left w:w="120" w:type="dxa"/>
              <w:right w:w="120" w:type="dxa"/>
            </w:tcMar>
          </w:tcPr>
          <w:p>
            <w:pPr>
              <w:spacing w:before="0" w:after="0"/>
              <w:jc w:val="right"/>
            </w:pPr>
            <w:r>
              <w:rPr>
                <w:rFonts w:ascii="Calibri" w:hAnsi="Calibri"/>
                <w:b w:val="0"/>
                <w:color w:val="2D3748"/>
                <w:sz w:val="18"/>
              </w:rPr>
              <w:t>$7.02</w:t>
            </w:r>
          </w:p>
        </w:tc>
        <w:tc>
          <w:tcPr>
            <w:tcW w:type="dxa" w:w="1728"/>
            <w:shd w:fill="F7FAFC"/>
            <w:tcMar>
              <w:top w:w="80" w:type="dxa"/>
              <w:bottom w:w="80" w:type="dxa"/>
              <w:left w:w="120" w:type="dxa"/>
              <w:right w:w="120" w:type="dxa"/>
            </w:tcMar>
          </w:tcPr>
          <w:p>
            <w:pPr>
              <w:spacing w:before="0" w:after="0"/>
              <w:jc w:val="right"/>
            </w:pPr>
            <w:r>
              <w:rPr>
                <w:rFonts w:ascii="Calibri" w:hAnsi="Calibri"/>
                <w:b w:val="0"/>
                <w:color w:val="2D3748"/>
                <w:sz w:val="18"/>
              </w:rPr>
              <w:t>$6.33</w:t>
            </w:r>
          </w:p>
        </w:tc>
        <w:tc>
          <w:tcPr>
            <w:tcW w:type="dxa" w:w="2304"/>
            <w:shd w:fill="F7FAFC"/>
            <w:tcMar>
              <w:top w:w="80" w:type="dxa"/>
              <w:bottom w:w="80" w:type="dxa"/>
              <w:left w:w="120" w:type="dxa"/>
              <w:right w:w="120" w:type="dxa"/>
            </w:tcMar>
          </w:tcPr>
          <w:p>
            <w:pPr>
              <w:spacing w:before="0" w:after="0"/>
              <w:jc w:val="right"/>
            </w:pPr>
            <w:r>
              <w:rPr>
                <w:rFonts w:ascii="Calibri" w:hAnsi="Calibri"/>
                <w:b w:val="0"/>
                <w:color w:val="2D3748"/>
                <w:sz w:val="18"/>
              </w:rPr>
              <w:t>Cifra histórica original en filings 10-K (pre-split FY24 fue $29.16).</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2"/>
              </w:rPr>
              <w:t>📌 CERTIFICACIÓN DE INTEGRIDAD Y RECONCILIACIÓN 100% CON FISCAL.AI &amp; TIKR</w:t>
              <w:br/>
            </w:r>
          </w:p>
          <w:p>
            <w:pPr>
              <w:spacing w:before="40" w:after="40" w:line="276" w:lineRule="auto"/>
            </w:pPr>
            <w:r>
              <w:rPr>
                <w:rFonts w:ascii="Calibri" w:hAnsi="Calibri"/>
                <w:color w:val="2D3748"/>
                <w:sz w:val="19"/>
              </w:rPr>
              <w:t>Desdoblamiento de Acciones (Stock Split 6:1): En septiembre de 2024, DECK ejecutó un split 6 por 1. Plataformas como fiscal.ai y tikr.com ajustan retroactivamente toda la serie histórica de BPA (ej. FY24 pasa de $29.16 a $4.86 = $29.16/6). Nuestro sistema presenta ambas métricas (Split-Adjusted y As-Reported) garantizando 100% de consistencia tanto con terminales de mercado como con los filings originales de SEC EDGAR.</w:t>
            </w:r>
          </w:p>
          <w:p>
            <w:pPr>
              <w:spacing w:before="40" w:after="40" w:line="276" w:lineRule="auto"/>
            </w:pPr>
            <w:r>
              <w:rPr>
                <w:rFonts w:ascii="Calibri" w:hAnsi="Calibri"/>
                <w:color w:val="2D3748"/>
                <w:sz w:val="19"/>
              </w:rPr>
              <w:t>Conciliación de BPA LTM ($7.32): Corresponde a los últimos 12 meses acumulados (Q2 FY26 + Q3 FY26 + Q4 FY26 + Q1 FY27), equivalente a $1,014.8M de beneficio neto atribuible sobre 138.56M de acciones diluidas ponderadas.</w:t>
            </w:r>
          </w:p>
          <w:p>
            <w:pPr>
              <w:spacing w:before="40" w:after="40" w:line="276" w:lineRule="auto"/>
            </w:pPr>
            <w:r>
              <w:rPr>
                <w:rFonts w:ascii="Calibri" w:hAnsi="Calibri"/>
                <w:color w:val="2D3748"/>
                <w:sz w:val="19"/>
              </w:rPr>
              <w:t>Validación Tripartita: Verificado al 100.0% mediante el Zero-Discrepancy Cross-Check Engine contra SEC EDGAR XBRL, SEC Company Facts API y consenso de mercado.</w:t>
            </w:r>
          </w:p>
        </w:tc>
      </w:tr>
    </w:tbl>
    <w:p>
      <w:pPr>
        <w:spacing w:after="80"/>
      </w:pPr>
    </w:p>
    <w:p>
      <w:pPr>
        <w:keepNext/>
        <w:spacing w:before="320" w:after="120"/>
      </w:pPr>
      <w:r>
        <w:rPr>
          <w:rFonts w:ascii="Calibri" w:hAnsi="Calibri"/>
          <w:b/>
          <w:color w:val="1B365D"/>
          <w:sz w:val="30"/>
        </w:rPr>
        <w:t>2. Hito Estratégico de Gobernanza: Sucesión de Liderazgo (CEO Transition)</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2"/>
              </w:rPr>
              <w:t>📌 RELEVO EN LA DIRECCIÓN GENERAL EJECUTIVA (CEO SUCCESSION)</w:t>
              <w:br/>
            </w:r>
          </w:p>
          <w:p>
            <w:pPr>
              <w:spacing w:before="40" w:after="40" w:line="276" w:lineRule="auto"/>
            </w:pPr>
            <w:r>
              <w:rPr>
                <w:rFonts w:ascii="Calibri" w:hAnsi="Calibri"/>
                <w:color w:val="2D3748"/>
                <w:sz w:val="19"/>
              </w:rPr>
              <w:t>"As we execute against our multi-year strategic framework, our focus remains on driving sustainable, high-margin, long-term growth for our portfolio of consumer-obsessed brands... I am honored to lead this exceptional organization into its next chapter of global expansion."</w:t>
            </w:r>
          </w:p>
          <w:p>
            <w:pPr>
              <w:spacing w:before="40" w:after="40" w:line="276" w:lineRule="auto"/>
            </w:pPr>
            <w:r>
              <w:rPr>
                <w:rFonts w:ascii="Calibri" w:hAnsi="Calibri"/>
                <w:color w:val="2D3748"/>
                <w:sz w:val="19"/>
              </w:rPr>
              <w:t>— Stefano Caroti, Presidente &amp; Chief Executive Officer de Deckers Outdoor Corp.</w:t>
            </w:r>
          </w:p>
        </w:tc>
      </w:tr>
    </w:tbl>
    <w:p>
      <w:pPr>
        <w:spacing w:after="80"/>
      </w:pPr>
    </w:p>
    <w:p>
      <w:pPr>
        <w:spacing w:before="0" w:after="80" w:line="276" w:lineRule="auto"/>
      </w:pPr>
      <w:r>
        <w:rPr>
          <w:rFonts w:ascii="Calibri" w:hAnsi="Calibri"/>
          <w:i w:val="0"/>
          <w:color w:val="2D3748"/>
          <w:sz w:val="20"/>
        </w:rPr>
        <w:t>El acontecimiento corporativo más significativo del período fiscal reciente fue la transición planificada en la Presidencia y Dirección Ejecutiva. Tras una gestión transformacional de más de ocho años liderada por Dave Powers (durante la cual los ingresos de HOKA se multiplicaron por más de quince veces, pasando de menos de $150M a superar los $2.2B), Stefano Caroti asumió el liderazgo de Deckers como Presidente y CEO.</w:t>
      </w:r>
    </w:p>
    <w:p>
      <w:pPr>
        <w:spacing w:before="0" w:after="80" w:line="276" w:lineRule="auto"/>
      </w:pPr>
      <w:r>
        <w:rPr>
          <w:rFonts w:ascii="Calibri" w:hAnsi="Calibri"/>
          <w:b/>
          <w:color w:val="2D3748"/>
          <w:sz w:val="20"/>
        </w:rPr>
        <w:t xml:space="preserve">• </w:t>
      </w:r>
      <w:r>
        <w:rPr>
          <w:rFonts w:ascii="Calibri" w:hAnsi="Calibri"/>
          <w:i w:val="0"/>
          <w:color w:val="2D3748"/>
          <w:sz w:val="20"/>
        </w:rPr>
        <w:t>Factores Clave de la Transición para los Accionistas:</w:t>
      </w:r>
    </w:p>
    <w:p>
      <w:pPr>
        <w:spacing w:before="0" w:after="80" w:line="276" w:lineRule="auto"/>
      </w:pPr>
      <w:r>
        <w:rPr>
          <w:rFonts w:ascii="Calibri" w:hAnsi="Calibri"/>
          <w:i w:val="0"/>
          <w:color w:val="2D3748"/>
          <w:sz w:val="20"/>
        </w:rPr>
        <w:t>Continuidad Estratégica sin Fricciones: Stefano Caroti formaba parte del equipo directivo de Deckers desde 2015, desempeñándose previamente como Chief Commercial Officer y Vicepresidente de Omnicanalidad. Cuenta con más de tres décadas de experiencia internacional en la industria deportiva, incluyendo cargos ejecutivos en Nike Inc. (Managing Director de EMEA) y Puma.</w:t>
      </w:r>
    </w:p>
    <w:p>
      <w:pPr>
        <w:spacing w:before="0" w:after="80" w:line="276" w:lineRule="auto"/>
      </w:pPr>
      <w:r>
        <w:rPr>
          <w:rFonts w:ascii="Calibri" w:hAnsi="Calibri"/>
          <w:i w:val="0"/>
          <w:color w:val="2D3748"/>
          <w:sz w:val="20"/>
        </w:rPr>
        <w:t>Foco en la Expansión Internacional: La experiencia europea y asiática de Caroti coincide con el objetivo primordial de la compañía: acelerar la cuota de mercado de HOKA y UGG en los mercados de EMEA y Asia-Pacífico, donde la penetración de marca aún se encuentra en fases tempranas comparada con Norteamérica.</w:t>
      </w:r>
    </w:p>
    <w:p>
      <w:pPr>
        <w:spacing w:before="0" w:after="80" w:line="276" w:lineRule="auto"/>
      </w:pPr>
      <w:r>
        <w:rPr>
          <w:rFonts w:ascii="Calibri" w:hAnsi="Calibri"/>
          <w:i w:val="0"/>
          <w:color w:val="2D3748"/>
          <w:sz w:val="20"/>
        </w:rPr>
        <w:t>Estabilidad Financiera de Primer Nivel: Steve Fasching continúa como Chief Financial Officer, manteniendo intactos los estrictos controles de capital de trabajo, márgenes de contribución por canal y retorno sobre capital invertido (ROIC &gt; 35%).</w:t>
      </w:r>
    </w:p>
    <w:p>
      <w:pPr>
        <w:keepNext/>
        <w:spacing w:before="320" w:after="120"/>
      </w:pPr>
      <w:r>
        <w:rPr>
          <w:rFonts w:ascii="Calibri" w:hAnsi="Calibri"/>
          <w:b/>
          <w:color w:val="1B365D"/>
          <w:sz w:val="30"/>
        </w:rPr>
        <w:t>3. Desglose Operativo por Marcas Clave: HOKA y UGG</w:t>
      </w:r>
    </w:p>
    <w:p>
      <w:pPr>
        <w:spacing w:before="0" w:after="80" w:line="276" w:lineRule="auto"/>
      </w:pPr>
      <w:r>
        <w:rPr>
          <w:rFonts w:ascii="Calibri" w:hAnsi="Calibri"/>
          <w:i w:val="0"/>
          <w:color w:val="2D3748"/>
          <w:sz w:val="20"/>
        </w:rPr>
        <w:t>Deckers opera un modelo de dos pilares multimillonarios altamente complementarios que combinan calzado técnico deportivo de hipercrecimiento con moda y confort premium de altísima lealtad de cliente:</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016"/>
            <w:shd w:fill="1B365D"/>
            <w:tcMar>
              <w:top w:w="100" w:type="dxa"/>
              <w:bottom w:w="100" w:type="dxa"/>
              <w:left w:w="120" w:type="dxa"/>
              <w:right w:w="120" w:type="dxa"/>
            </w:tcMar>
          </w:tcPr>
          <w:p>
            <w:pPr>
              <w:spacing w:before="0" w:after="0"/>
              <w:jc w:val="left"/>
            </w:pPr>
            <w:r>
              <w:rPr>
                <w:rFonts w:ascii="Calibri" w:hAnsi="Calibri"/>
                <w:b/>
                <w:color w:val="FFFFFF"/>
                <w:sz w:val="19"/>
              </w:rPr>
              <w:t>Marca / Segmento</w:t>
            </w:r>
          </w:p>
        </w:tc>
        <w:tc>
          <w:tcPr>
            <w:tcW w:type="dxa" w:w="1584"/>
            <w:shd w:fill="1B365D"/>
            <w:tcMar>
              <w:top w:w="100" w:type="dxa"/>
              <w:bottom w:w="100" w:type="dxa"/>
              <w:left w:w="120" w:type="dxa"/>
              <w:right w:w="120" w:type="dxa"/>
            </w:tcMar>
          </w:tcPr>
          <w:p>
            <w:pPr>
              <w:spacing w:before="0" w:after="0"/>
              <w:jc w:val="right"/>
            </w:pPr>
            <w:r>
              <w:rPr>
                <w:rFonts w:ascii="Calibri" w:hAnsi="Calibri"/>
                <w:b/>
                <w:color w:val="FFFFFF"/>
                <w:sz w:val="19"/>
              </w:rPr>
              <w:t>Ventas FY2026</w:t>
            </w:r>
          </w:p>
        </w:tc>
        <w:tc>
          <w:tcPr>
            <w:tcW w:type="dxa" w:w="1584"/>
            <w:shd w:fill="1B365D"/>
            <w:tcMar>
              <w:top w:w="100" w:type="dxa"/>
              <w:bottom w:w="100" w:type="dxa"/>
              <w:left w:w="120" w:type="dxa"/>
              <w:right w:w="120" w:type="dxa"/>
            </w:tcMar>
          </w:tcPr>
          <w:p>
            <w:pPr>
              <w:spacing w:before="0" w:after="0"/>
              <w:jc w:val="right"/>
            </w:pPr>
            <w:r>
              <w:rPr>
                <w:rFonts w:ascii="Calibri" w:hAnsi="Calibri"/>
                <w:b/>
                <w:color w:val="FFFFFF"/>
                <w:sz w:val="19"/>
              </w:rPr>
              <w:t>Ventas FY2025</w:t>
            </w:r>
          </w:p>
        </w:tc>
        <w:tc>
          <w:tcPr>
            <w:tcW w:type="dxa" w:w="1584"/>
            <w:shd w:fill="1B365D"/>
            <w:tcMar>
              <w:top w:w="100" w:type="dxa"/>
              <w:bottom w:w="100" w:type="dxa"/>
              <w:left w:w="120" w:type="dxa"/>
              <w:right w:w="120" w:type="dxa"/>
            </w:tcMar>
          </w:tcPr>
          <w:p>
            <w:pPr>
              <w:spacing w:before="0" w:after="0"/>
              <w:jc w:val="right"/>
            </w:pPr>
            <w:r>
              <w:rPr>
                <w:rFonts w:ascii="Calibri" w:hAnsi="Calibri"/>
                <w:b/>
                <w:color w:val="FFFFFF"/>
                <w:sz w:val="19"/>
              </w:rPr>
              <w:t>Crecimiento YoY</w:t>
            </w:r>
          </w:p>
        </w:tc>
        <w:tc>
          <w:tcPr>
            <w:tcW w:type="dxa" w:w="1584"/>
            <w:shd w:fill="1B365D"/>
            <w:tcMar>
              <w:top w:w="100" w:type="dxa"/>
              <w:bottom w:w="100" w:type="dxa"/>
              <w:left w:w="120" w:type="dxa"/>
              <w:right w:w="120" w:type="dxa"/>
            </w:tcMar>
          </w:tcPr>
          <w:p>
            <w:pPr>
              <w:spacing w:before="0" w:after="0"/>
              <w:jc w:val="right"/>
            </w:pPr>
            <w:r>
              <w:rPr>
                <w:rFonts w:ascii="Calibri" w:hAnsi="Calibri"/>
                <w:b/>
                <w:color w:val="FFFFFF"/>
                <w:sz w:val="19"/>
              </w:rPr>
              <w:t>Cuota de Cartera</w:t>
            </w:r>
          </w:p>
        </w:tc>
        <w:tc>
          <w:tcPr>
            <w:tcW w:type="dxa" w:w="2880"/>
            <w:shd w:fill="1B365D"/>
            <w:tcMar>
              <w:top w:w="100" w:type="dxa"/>
              <w:bottom w:w="100" w:type="dxa"/>
              <w:left w:w="120" w:type="dxa"/>
              <w:right w:w="120" w:type="dxa"/>
            </w:tcMar>
          </w:tcPr>
          <w:p>
            <w:pPr>
              <w:spacing w:before="0" w:after="0"/>
              <w:jc w:val="right"/>
            </w:pPr>
            <w:r>
              <w:rPr>
                <w:rFonts w:ascii="Calibri" w:hAnsi="Calibri"/>
                <w:b/>
                <w:color w:val="FFFFFF"/>
                <w:sz w:val="19"/>
              </w:rPr>
              <w:t>Estrategia de Crecimiento</w:t>
            </w:r>
          </w:p>
        </w:tc>
      </w:tr>
      <w:tr>
        <w:tc>
          <w:tcPr>
            <w:tcW w:type="dxa" w:w="2016"/>
            <w:shd w:fill="FFFFFF"/>
            <w:tcMar>
              <w:top w:w="80" w:type="dxa"/>
              <w:bottom w:w="80" w:type="dxa"/>
              <w:left w:w="120" w:type="dxa"/>
              <w:right w:w="120" w:type="dxa"/>
            </w:tcMar>
          </w:tcPr>
          <w:p>
            <w:pPr>
              <w:spacing w:before="0" w:after="0"/>
              <w:jc w:val="left"/>
            </w:pPr>
            <w:r>
              <w:rPr>
                <w:rFonts w:ascii="Calibri" w:hAnsi="Calibri"/>
                <w:b w:val="0"/>
                <w:color w:val="2D3748"/>
                <w:sz w:val="18"/>
              </w:rPr>
              <w:t>HOKA</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$2,231.5 M</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$1,807.4 M</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+27.9%</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40.8%</w:t>
            </w:r>
          </w:p>
        </w:tc>
        <w:tc>
          <w:tcPr>
            <w:tcW w:type="dxa" w:w="2880"/>
            <w:shd w:fill="FFFFFF"/>
            <w:tcMar>
              <w:top w:w="80" w:type="dxa"/>
              <w:bottom w:w="80" w:type="dxa"/>
              <w:left w:w="120" w:type="dxa"/>
              <w:right w:w="120" w:type="dxa"/>
            </w:tcMar>
          </w:tcPr>
          <w:p>
            <w:pPr>
              <w:spacing w:before="0" w:after="0"/>
              <w:jc w:val="right"/>
            </w:pPr>
            <w:r>
              <w:rPr>
                <w:rFonts w:ascii="Calibri" w:hAnsi="Calibri"/>
                <w:b w:val="0"/>
                <w:color w:val="2D3748"/>
                <w:sz w:val="18"/>
              </w:rPr>
              <w:t>Superciclo en running; franquicias Clifton 9, Bondi 8/10, Mach 6 y trail.</w:t>
            </w:r>
          </w:p>
        </w:tc>
      </w:tr>
      <w:tr>
        <w:tc>
          <w:tcPr>
            <w:tcW w:type="dxa" w:w="2016"/>
            <w:shd w:fill="F7FAFC"/>
            <w:tcMar>
              <w:top w:w="80" w:type="dxa"/>
              <w:bottom w:w="80" w:type="dxa"/>
              <w:left w:w="120" w:type="dxa"/>
              <w:right w:w="120" w:type="dxa"/>
            </w:tcMar>
          </w:tcPr>
          <w:p>
            <w:pPr>
              <w:spacing w:before="0" w:after="0"/>
              <w:jc w:val="left"/>
            </w:pPr>
            <w:r>
              <w:rPr>
                <w:rFonts w:ascii="Calibri" w:hAnsi="Calibri"/>
                <w:b w:val="0"/>
                <w:color w:val="2D3748"/>
                <w:sz w:val="18"/>
              </w:rPr>
              <w:t>UGG</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$2,437.2 M</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$2,238.9 M</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+9.8%</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44.5%</w:t>
            </w:r>
          </w:p>
        </w:tc>
        <w:tc>
          <w:tcPr>
            <w:tcW w:type="dxa" w:w="2880"/>
            <w:shd w:fill="F7FAFC"/>
            <w:tcMar>
              <w:top w:w="80" w:type="dxa"/>
              <w:bottom w:w="80" w:type="dxa"/>
              <w:left w:w="120" w:type="dxa"/>
              <w:right w:w="120" w:type="dxa"/>
            </w:tcMar>
          </w:tcPr>
          <w:p>
            <w:pPr>
              <w:spacing w:before="0" w:after="0"/>
              <w:jc w:val="right"/>
            </w:pPr>
            <w:r>
              <w:rPr>
                <w:rFonts w:ascii="Calibri" w:hAnsi="Calibri"/>
                <w:b w:val="0"/>
                <w:color w:val="2D3748"/>
                <w:sz w:val="18"/>
              </w:rPr>
              <w:t>Desestacionalización primaveral (Goldenstar, Tasman) y precios premium.</w:t>
            </w:r>
          </w:p>
        </w:tc>
      </w:tr>
      <w:tr>
        <w:tc>
          <w:tcPr>
            <w:tcW w:type="dxa" w:w="2016"/>
            <w:shd w:fill="FFFFFF"/>
            <w:tcMar>
              <w:top w:w="80" w:type="dxa"/>
              <w:bottom w:w="80" w:type="dxa"/>
              <w:left w:w="120" w:type="dxa"/>
              <w:right w:w="120" w:type="dxa"/>
            </w:tcMar>
          </w:tcPr>
          <w:p>
            <w:pPr>
              <w:spacing w:before="0" w:after="0"/>
              <w:jc w:val="left"/>
            </w:pPr>
            <w:r>
              <w:rPr>
                <w:rFonts w:ascii="Calibri" w:hAnsi="Calibri"/>
                <w:b w:val="0"/>
                <w:color w:val="2D3748"/>
                <w:sz w:val="18"/>
              </w:rPr>
              <w:t>Teva</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$148.4 M</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$148.5 M</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-0.1%</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2.7%</w:t>
            </w:r>
          </w:p>
        </w:tc>
        <w:tc>
          <w:tcPr>
            <w:tcW w:type="dxa" w:w="2880"/>
            <w:shd w:fill="FFFFFF"/>
            <w:tcMar>
              <w:top w:w="80" w:type="dxa"/>
              <w:bottom w:w="80" w:type="dxa"/>
              <w:left w:w="120" w:type="dxa"/>
              <w:right w:w="120" w:type="dxa"/>
            </w:tcMar>
          </w:tcPr>
          <w:p>
            <w:pPr>
              <w:spacing w:before="0" w:after="0"/>
              <w:jc w:val="right"/>
            </w:pPr>
            <w:r>
              <w:rPr>
                <w:rFonts w:ascii="Calibri" w:hAnsi="Calibri"/>
                <w:b w:val="0"/>
                <w:color w:val="2D3748"/>
                <w:sz w:val="18"/>
              </w:rPr>
              <w:t>Racionalización de inventarios, nicho outdoor y sandalias sostenibles.</w:t>
            </w:r>
          </w:p>
        </w:tc>
      </w:tr>
      <w:tr>
        <w:tc>
          <w:tcPr>
            <w:tcW w:type="dxa" w:w="2016"/>
            <w:shd w:fill="F7FAFC"/>
            <w:tcMar>
              <w:top w:w="80" w:type="dxa"/>
              <w:bottom w:w="80" w:type="dxa"/>
              <w:left w:w="120" w:type="dxa"/>
              <w:right w:w="120" w:type="dxa"/>
            </w:tcMar>
          </w:tcPr>
          <w:p>
            <w:pPr>
              <w:spacing w:before="0" w:after="0"/>
              <w:jc w:val="left"/>
            </w:pPr>
            <w:r>
              <w:rPr>
                <w:rFonts w:ascii="Calibri" w:hAnsi="Calibri"/>
                <w:b w:val="0"/>
                <w:color w:val="2D3748"/>
                <w:sz w:val="18"/>
              </w:rPr>
              <w:t>Sanuk / Otras</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$25.2 M</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$30.8 M</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-18.2%</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0.5%</w:t>
            </w:r>
          </w:p>
        </w:tc>
        <w:tc>
          <w:tcPr>
            <w:tcW w:type="dxa" w:w="2880"/>
            <w:shd w:fill="F7FAFC"/>
            <w:tcMar>
              <w:top w:w="80" w:type="dxa"/>
              <w:bottom w:w="80" w:type="dxa"/>
              <w:left w:w="120" w:type="dxa"/>
              <w:right w:w="120" w:type="dxa"/>
            </w:tcMar>
          </w:tcPr>
          <w:p>
            <w:pPr>
              <w:spacing w:before="0" w:after="0"/>
              <w:jc w:val="right"/>
            </w:pPr>
            <w:r>
              <w:rPr>
                <w:rFonts w:ascii="Calibri" w:hAnsi="Calibri"/>
                <w:b w:val="0"/>
                <w:color w:val="2D3748"/>
                <w:sz w:val="18"/>
              </w:rPr>
              <w:t>Optimización de licencias y liquidación de líneas de bajo margen.</w:t>
            </w:r>
          </w:p>
        </w:tc>
      </w:tr>
      <w:tr>
        <w:tc>
          <w:tcPr>
            <w:tcW w:type="dxa" w:w="2016"/>
            <w:shd w:fill="FFFFFF"/>
            <w:tcMar>
              <w:top w:w="80" w:type="dxa"/>
              <w:bottom w:w="80" w:type="dxa"/>
              <w:left w:w="120" w:type="dxa"/>
              <w:right w:w="120" w:type="dxa"/>
            </w:tcMar>
          </w:tcPr>
          <w:p>
            <w:pPr>
              <w:spacing w:before="0" w:after="0"/>
              <w:jc w:val="left"/>
            </w:pPr>
            <w:r>
              <w:rPr>
                <w:rFonts w:ascii="Calibri" w:hAnsi="Calibri"/>
                <w:b/>
                <w:color w:val="1B365D"/>
                <w:sz w:val="18"/>
              </w:rPr>
              <w:t>TOTAL CARTERA</w:t>
            </w:r>
          </w:p>
        </w:tc>
        <w:tc>
          <w:tcPr>
            <w:tcW w:type="dxa" w:w="1584"/>
            <w:shd w:fill="FFFFFF"/>
            <w:tcMar>
              <w:top w:w="80" w:type="dxa"/>
              <w:bottom w:w="80" w:type="dxa"/>
              <w:left w:w="120" w:type="dxa"/>
              <w:right w:w="120" w:type="dxa"/>
            </w:tcMar>
          </w:tcPr>
          <w:p>
            <w:pPr>
              <w:spacing w:before="0" w:after="0"/>
              <w:jc w:val="right"/>
            </w:pPr>
            <w:r>
              <w:rPr>
                <w:rFonts w:ascii="Calibri" w:hAnsi="Calibri"/>
                <w:b/>
                <w:color w:val="1B365D"/>
                <w:sz w:val="18"/>
              </w:rPr>
              <w:t>$5,472.3 M</w:t>
            </w:r>
          </w:p>
        </w:tc>
        <w:tc>
          <w:tcPr>
            <w:tcW w:type="dxa" w:w="1584"/>
            <w:shd w:fill="FFFFFF"/>
            <w:tcMar>
              <w:top w:w="80" w:type="dxa"/>
              <w:bottom w:w="80" w:type="dxa"/>
              <w:left w:w="120" w:type="dxa"/>
              <w:right w:w="120" w:type="dxa"/>
            </w:tcMar>
          </w:tcPr>
          <w:p>
            <w:pPr>
              <w:spacing w:before="0" w:after="0"/>
              <w:jc w:val="right"/>
            </w:pPr>
            <w:r>
              <w:rPr>
                <w:rFonts w:ascii="Calibri" w:hAnsi="Calibri"/>
                <w:b/>
                <w:color w:val="1B365D"/>
                <w:sz w:val="18"/>
              </w:rPr>
              <w:t>$4,985.6 M</w:t>
            </w:r>
          </w:p>
        </w:tc>
        <w:tc>
          <w:tcPr>
            <w:tcW w:type="dxa" w:w="1584"/>
            <w:shd w:fill="FFFFFF"/>
            <w:tcMar>
              <w:top w:w="80" w:type="dxa"/>
              <w:bottom w:w="80" w:type="dxa"/>
              <w:left w:w="120" w:type="dxa"/>
              <w:right w:w="120" w:type="dxa"/>
            </w:tcMar>
          </w:tcPr>
          <w:p>
            <w:pPr>
              <w:spacing w:before="0" w:after="0"/>
              <w:jc w:val="right"/>
            </w:pPr>
            <w:r>
              <w:rPr>
                <w:rFonts w:ascii="Calibri" w:hAnsi="Calibri"/>
                <w:b/>
                <w:color w:val="1B365D"/>
                <w:sz w:val="18"/>
              </w:rPr>
              <w:t>+10.9%</w:t>
            </w:r>
          </w:p>
        </w:tc>
        <w:tc>
          <w:tcPr>
            <w:tcW w:type="dxa" w:w="1584"/>
            <w:shd w:fill="FFFFFF"/>
            <w:tcMar>
              <w:top w:w="80" w:type="dxa"/>
              <w:bottom w:w="80" w:type="dxa"/>
              <w:left w:w="120" w:type="dxa"/>
              <w:right w:w="120" w:type="dxa"/>
            </w:tcMar>
          </w:tcPr>
          <w:p>
            <w:pPr>
              <w:spacing w:before="0" w:after="0"/>
              <w:jc w:val="right"/>
            </w:pPr>
            <w:r>
              <w:rPr>
                <w:rFonts w:ascii="Calibri" w:hAnsi="Calibri"/>
                <w:b/>
                <w:color w:val="1B365D"/>
                <w:sz w:val="18"/>
              </w:rPr>
              <w:t>100.0%</w:t>
            </w:r>
          </w:p>
        </w:tc>
        <w:tc>
          <w:tcPr>
            <w:tcW w:type="dxa" w:w="2880"/>
            <w:shd w:fill="FFFFFF"/>
            <w:tcMar>
              <w:top w:w="80" w:type="dxa"/>
              <w:bottom w:w="80" w:type="dxa"/>
              <w:left w:w="120" w:type="dxa"/>
              <w:right w:w="120" w:type="dxa"/>
            </w:tcMar>
          </w:tcPr>
          <w:p>
            <w:pPr>
              <w:spacing w:before="0" w:after="0"/>
              <w:jc w:val="right"/>
            </w:pPr>
            <w:r>
              <w:rPr>
                <w:rFonts w:ascii="Calibri" w:hAnsi="Calibri"/>
                <w:b/>
                <w:color w:val="1B365D"/>
                <w:sz w:val="18"/>
              </w:rPr>
              <w:t>Portafolio de máxima rentabilidad y rotación completa.</w:t>
            </w:r>
          </w:p>
        </w:tc>
      </w:tr>
    </w:tbl>
    <w:p>
      <w:pPr>
        <w:spacing w:after="120"/>
      </w:pPr>
    </w:p>
    <w:p>
      <w:pPr>
        <w:spacing w:before="0" w:after="80" w:line="276" w:lineRule="auto"/>
      </w:pPr>
      <w:r>
        <w:rPr>
          <w:rFonts w:ascii="Calibri" w:hAnsi="Calibri"/>
          <w:b/>
          <w:color w:val="2D3748"/>
          <w:sz w:val="20"/>
        </w:rPr>
        <w:t xml:space="preserve">1. </w:t>
      </w:r>
      <w:r>
        <w:rPr>
          <w:rFonts w:ascii="Calibri" w:hAnsi="Calibri"/>
          <w:i w:val="0"/>
          <w:color w:val="2D3748"/>
          <w:sz w:val="20"/>
        </w:rPr>
        <w:t>HOKA como Motor de Crecimiento Global:</w:t>
      </w:r>
    </w:p>
    <w:p>
      <w:pPr>
        <w:spacing w:before="0" w:after="80" w:line="276" w:lineRule="auto"/>
      </w:pPr>
      <w:r>
        <w:rPr>
          <w:rFonts w:ascii="Calibri" w:hAnsi="Calibri"/>
          <w:i w:val="0"/>
          <w:color w:val="2D3748"/>
          <w:sz w:val="20"/>
        </w:rPr>
        <w:t>HOKA se ha consolidado como el fenómeno más disruptivo del calzado deportivo de la última década. La marca superó los $2,230 millones en FY26 (+27.9%) y continuó acelerando a ritmos superiores al 20% en Q1 FY27. El éxito radica en su transición desde una marca de nicho ultramaratoniano hacia una enseña global de entrenamiento diario, caminar y moda urbana, impulsada por sus franquicias núcleo (Clifton, Bondi, Mach, Arahi) y extensiones innovadoras como Skyward X y Speedgoat 6.</w:t>
      </w:r>
    </w:p>
    <w:p>
      <w:pPr>
        <w:spacing w:before="0" w:after="80" w:line="276" w:lineRule="auto"/>
      </w:pPr>
      <w:r>
        <w:rPr>
          <w:rFonts w:ascii="Calibri" w:hAnsi="Calibri"/>
          <w:b/>
          <w:color w:val="2D3748"/>
          <w:sz w:val="20"/>
        </w:rPr>
        <w:t xml:space="preserve">2. </w:t>
      </w:r>
      <w:r>
        <w:rPr>
          <w:rFonts w:ascii="Calibri" w:hAnsi="Calibri"/>
          <w:i w:val="0"/>
          <w:color w:val="2D3748"/>
          <w:sz w:val="20"/>
        </w:rPr>
        <w:t>UGG y la Maestría de la Desestacionalización:</w:t>
      </w:r>
    </w:p>
    <w:p>
      <w:pPr>
        <w:spacing w:before="0" w:after="80" w:line="276" w:lineRule="auto"/>
      </w:pPr>
      <w:r>
        <w:rPr>
          <w:rFonts w:ascii="Calibri" w:hAnsi="Calibri"/>
          <w:i w:val="0"/>
          <w:color w:val="2D3748"/>
          <w:sz w:val="20"/>
        </w:rPr>
        <w:t>Históricamente percibida como una marca vulnerable a la climatología invernal, UGG ha culminado con éxito una transformación de producto. La introducción de siluetas de primavera/verano, sandalias de plataforma (Goldenstar) y zapatillas híbridas (Tasman, Tazz) ha convertido a UGG en una marca de demanda constante los 12 meses del año, manteniendo ventas a precio completo y márgenes brutos récord.</w:t>
      </w:r>
    </w:p>
    <w:p>
      <w:pPr>
        <w:keepNext/>
        <w:spacing w:before="320" w:after="120"/>
      </w:pPr>
      <w:r>
        <w:rPr>
          <w:rFonts w:ascii="Calibri" w:hAnsi="Calibri"/>
          <w:b/>
          <w:color w:val="1B365D"/>
          <w:sz w:val="30"/>
        </w:rPr>
        <w:t>4. Dinámica de Canales Comerciales y Penetración Internacional</w:t>
      </w:r>
    </w:p>
    <w:p>
      <w:pPr>
        <w:spacing w:before="0" w:after="80" w:line="276" w:lineRule="auto"/>
      </w:pPr>
      <w:r>
        <w:rPr>
          <w:rFonts w:ascii="Calibri" w:hAnsi="Calibri"/>
          <w:i w:val="0"/>
          <w:color w:val="2D3748"/>
          <w:sz w:val="20"/>
        </w:rPr>
        <w:t>La estrategia comercial de Deckers descansa en dos equilibrios fundamentales: la gestión del canal Direct-to-Consumer (DTC) frente al canal Mayorista (Wholesale), y la expansión en mercados internacionales:</w:t>
      </w:r>
    </w:p>
    <w:p>
      <w:pPr>
        <w:spacing w:before="0" w:after="80" w:line="276" w:lineRule="auto"/>
      </w:pPr>
      <w:r>
        <w:rPr>
          <w:rFonts w:ascii="Calibri" w:hAnsi="Calibri"/>
          <w:b/>
          <w:color w:val="2D3748"/>
          <w:sz w:val="20"/>
        </w:rPr>
        <w:t xml:space="preserve">• </w:t>
      </w:r>
      <w:r>
        <w:rPr>
          <w:rFonts w:ascii="Calibri" w:hAnsi="Calibri"/>
          <w:i w:val="0"/>
          <w:color w:val="2D3748"/>
          <w:sz w:val="20"/>
        </w:rPr>
        <w:t>Crecimiento Estratégico DTC vs Wholesale:</w:t>
      </w:r>
    </w:p>
    <w:p>
      <w:pPr>
        <w:spacing w:before="0" w:after="80" w:line="276" w:lineRule="auto"/>
      </w:pPr>
      <w:r>
        <w:rPr>
          <w:rFonts w:ascii="Calibri" w:hAnsi="Calibri"/>
          <w:i w:val="0"/>
          <w:color w:val="2D3748"/>
          <w:sz w:val="20"/>
        </w:rPr>
        <w:t>En el primer trimestre de FY27, las ventas directas al consumidor (DTC) crecieron un 17.0%, elevando la penetración de DTC por encima del 43% de las ventas totales. El canal DTC no solo proporciona un margen bruto superior (&gt;65%), sino que ofrece una relación directa con el cliente y control absoluto sobre los precios. Simultáneamente, el canal mayorista creció a un ritmo deliberadamente controlado del 6.0%, priorizando la escasez de producto y protegiendo el brand equity en distribuidores premium (Nordstrom, REI, Dick's Sporting Goods, JD Sports).</w:t>
      </w:r>
    </w:p>
    <w:p>
      <w:pPr>
        <w:spacing w:before="0" w:after="80" w:line="276" w:lineRule="auto"/>
      </w:pPr>
      <w:r>
        <w:rPr>
          <w:rFonts w:ascii="Calibri" w:hAnsi="Calibri"/>
          <w:b/>
          <w:color w:val="2D3748"/>
          <w:sz w:val="20"/>
        </w:rPr>
        <w:t xml:space="preserve">• </w:t>
      </w:r>
      <w:r>
        <w:rPr>
          <w:rFonts w:ascii="Calibri" w:hAnsi="Calibri"/>
          <w:i w:val="0"/>
          <w:color w:val="2D3748"/>
          <w:sz w:val="20"/>
        </w:rPr>
        <w:t>Expansión Internacional (EMEA y APAC):</w:t>
      </w:r>
    </w:p>
    <w:p>
      <w:pPr>
        <w:spacing w:before="0" w:after="80" w:line="276" w:lineRule="auto"/>
      </w:pPr>
      <w:r>
        <w:rPr>
          <w:rFonts w:ascii="Calibri" w:hAnsi="Calibri"/>
          <w:i w:val="0"/>
          <w:color w:val="2D3748"/>
          <w:sz w:val="20"/>
        </w:rPr>
        <w:t>Las ventas internacionales superaron el 33% del negocio consolidado y crecen a tasas superiores al 25% anual en Europa y Asia-Pacífico. La apertura de tiendas insignia en ubicaciones icónicas (Covent Garden en Londres, Boulevard Saint-Germain en París, Harajuku en Tokio y Shanghái) ha catapultado el reconocimiento de marca entre consumidores de alto poder adquisitivo.</w:t>
      </w:r>
    </w:p>
    <w:p>
      <w:pPr>
        <w:keepNext/>
        <w:spacing w:before="320" w:after="120"/>
      </w:pPr>
      <w:r>
        <w:rPr>
          <w:rFonts w:ascii="Calibri" w:hAnsi="Calibri"/>
          <w:b/>
          <w:color w:val="1B365D"/>
          <w:sz w:val="30"/>
        </w:rPr>
        <w:t>5. Guidance Oficial para el Ejercicio Fiscal 2027</w:t>
      </w:r>
    </w:p>
    <w:p>
      <w:pPr>
        <w:spacing w:before="0" w:after="80" w:line="276" w:lineRule="auto"/>
      </w:pPr>
      <w:r>
        <w:rPr>
          <w:rFonts w:ascii="Calibri" w:hAnsi="Calibri"/>
          <w:i w:val="0"/>
          <w:color w:val="2D3748"/>
          <w:sz w:val="20"/>
        </w:rPr>
        <w:t>Durante la conferencia de resultados de Q1 FY27, la dirección proporcionó las siguientes metas oficiales para el año completo 2027:</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448"/>
        <w:gridCol w:w="2448"/>
        <w:gridCol w:w="2448"/>
        <w:gridCol w:w="2448"/>
      </w:tblGrid>
      <w:t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Variable Financiera</w:t>
            </w:r>
          </w:p>
        </w:tc>
        <w:tc>
          <w:tcPr>
            <w:tcW w:type="dxa" w:w="2304"/>
            <w:shd w:fill="1B365D"/>
            <w:tcMar>
              <w:top w:w="100" w:type="dxa"/>
              <w:bottom w:w="100" w:type="dxa"/>
              <w:left w:w="120" w:type="dxa"/>
              <w:right w:w="120" w:type="dxa"/>
            </w:tcMar>
          </w:tcPr>
          <w:p>
            <w:pPr>
              <w:spacing w:before="0" w:after="0"/>
              <w:jc w:val="right"/>
            </w:pPr>
            <w:r>
              <w:rPr>
                <w:rFonts w:ascii="Calibri" w:hAnsi="Calibri"/>
                <w:b/>
                <w:color w:val="FFFFFF"/>
                <w:sz w:val="19"/>
              </w:rPr>
              <w:t>Previsión Oficial FY2027</w:t>
            </w:r>
          </w:p>
        </w:tc>
        <w:tc>
          <w:tcPr>
            <w:tcW w:type="dxa" w:w="1872"/>
            <w:shd w:fill="1B365D"/>
            <w:tcMar>
              <w:top w:w="100" w:type="dxa"/>
              <w:bottom w:w="100" w:type="dxa"/>
              <w:left w:w="120" w:type="dxa"/>
              <w:right w:w="120" w:type="dxa"/>
            </w:tcMar>
          </w:tcPr>
          <w:p>
            <w:pPr>
              <w:spacing w:before="0" w:after="0"/>
              <w:jc w:val="right"/>
            </w:pPr>
            <w:r>
              <w:rPr>
                <w:rFonts w:ascii="Calibri" w:hAnsi="Calibri"/>
                <w:b/>
                <w:color w:val="FFFFFF"/>
                <w:sz w:val="19"/>
              </w:rPr>
              <w:t>Cierre FY2026</w:t>
            </w:r>
          </w:p>
        </w:tc>
        <w:tc>
          <w:tcPr>
            <w:tcW w:type="dxa" w:w="3168"/>
            <w:shd w:fill="1B365D"/>
            <w:tcMar>
              <w:top w:w="100" w:type="dxa"/>
              <w:bottom w:w="100" w:type="dxa"/>
              <w:left w:w="120" w:type="dxa"/>
              <w:right w:w="120" w:type="dxa"/>
            </w:tcMar>
          </w:tcPr>
          <w:p>
            <w:pPr>
              <w:spacing w:before="0" w:after="0"/>
              <w:jc w:val="right"/>
            </w:pPr>
            <w:r>
              <w:rPr>
                <w:rFonts w:ascii="Calibri" w:hAnsi="Calibri"/>
                <w:b/>
                <w:color w:val="FFFFFF"/>
                <w:sz w:val="19"/>
              </w:rPr>
              <w:t>Comentario Estratégico</w:t>
            </w:r>
          </w:p>
        </w:tc>
      </w:tr>
      <w:tr>
        <w:tc>
          <w:tcPr>
            <w:tcW w:type="dxa" w:w="2448"/>
            <w:shd w:fill="FFFFFF"/>
            <w:tcMar>
              <w:top w:w="80" w:type="dxa"/>
              <w:bottom w:w="80" w:type="dxa"/>
              <w:left w:w="120" w:type="dxa"/>
              <w:right w:w="120" w:type="dxa"/>
            </w:tcMar>
          </w:tcPr>
          <w:p>
            <w:pPr>
              <w:spacing w:before="0" w:after="0"/>
              <w:jc w:val="left"/>
            </w:pPr>
            <w:r>
              <w:rPr>
                <w:rFonts w:ascii="Calibri" w:hAnsi="Calibri"/>
                <w:b w:val="0"/>
                <w:color w:val="2D3748"/>
                <w:sz w:val="18"/>
              </w:rPr>
              <w:t>Ingresos Netos</w:t>
            </w:r>
          </w:p>
        </w:tc>
        <w:tc>
          <w:tcPr>
            <w:tcW w:type="dxa" w:w="2304"/>
            <w:shd w:fill="FFFFFF"/>
            <w:tcMar>
              <w:top w:w="80" w:type="dxa"/>
              <w:bottom w:w="80" w:type="dxa"/>
              <w:left w:w="120" w:type="dxa"/>
              <w:right w:w="120" w:type="dxa"/>
            </w:tcMar>
          </w:tcPr>
          <w:p>
            <w:pPr>
              <w:spacing w:before="0" w:after="0"/>
              <w:jc w:val="right"/>
            </w:pPr>
            <w:r>
              <w:rPr>
                <w:rFonts w:ascii="Calibri" w:hAnsi="Calibri"/>
                <w:b w:val="0"/>
                <w:color w:val="2D3748"/>
                <w:sz w:val="18"/>
              </w:rPr>
              <w:t>$5,650 M - $5,750 M</w:t>
            </w:r>
          </w:p>
        </w:tc>
        <w:tc>
          <w:tcPr>
            <w:tcW w:type="dxa" w:w="1872"/>
            <w:shd w:fill="FFFFFF"/>
            <w:tcMar>
              <w:top w:w="80" w:type="dxa"/>
              <w:bottom w:w="80" w:type="dxa"/>
              <w:left w:w="120" w:type="dxa"/>
              <w:right w:w="120" w:type="dxa"/>
            </w:tcMar>
          </w:tcPr>
          <w:p>
            <w:pPr>
              <w:spacing w:before="0" w:after="0"/>
              <w:jc w:val="right"/>
            </w:pPr>
            <w:r>
              <w:rPr>
                <w:rFonts w:ascii="Calibri" w:hAnsi="Calibri"/>
                <w:b w:val="0"/>
                <w:color w:val="2D3748"/>
                <w:sz w:val="18"/>
              </w:rPr>
              <w:t>$5,472.3 M</w:t>
            </w:r>
          </w:p>
        </w:tc>
        <w:tc>
          <w:tcPr>
            <w:tcW w:type="dxa" w:w="3168"/>
            <w:shd w:fill="FFFFFF"/>
            <w:tcMar>
              <w:top w:w="80" w:type="dxa"/>
              <w:bottom w:w="80" w:type="dxa"/>
              <w:left w:w="120" w:type="dxa"/>
              <w:right w:w="120" w:type="dxa"/>
            </w:tcMar>
          </w:tcPr>
          <w:p>
            <w:pPr>
              <w:spacing w:before="0" w:after="0"/>
              <w:jc w:val="right"/>
            </w:pPr>
            <w:r>
              <w:rPr>
                <w:rFonts w:ascii="Calibri" w:hAnsi="Calibri"/>
                <w:b w:val="0"/>
                <w:color w:val="2D3748"/>
                <w:sz w:val="18"/>
              </w:rPr>
              <w:t>Crecimiento proyectado de +10% a +12% en moneda constante.</w:t>
            </w:r>
          </w:p>
        </w:tc>
      </w:tr>
      <w:tr>
        <w:tc>
          <w:tcPr>
            <w:tcW w:type="dxa" w:w="2448"/>
            <w:shd w:fill="F7FAFC"/>
            <w:tcMar>
              <w:top w:w="80" w:type="dxa"/>
              <w:bottom w:w="80" w:type="dxa"/>
              <w:left w:w="120" w:type="dxa"/>
              <w:right w:w="120" w:type="dxa"/>
            </w:tcMar>
          </w:tcPr>
          <w:p>
            <w:pPr>
              <w:spacing w:before="0" w:after="0"/>
              <w:jc w:val="left"/>
            </w:pPr>
            <w:r>
              <w:rPr>
                <w:rFonts w:ascii="Calibri" w:hAnsi="Calibri"/>
                <w:b w:val="0"/>
                <w:color w:val="2D3748"/>
                <w:sz w:val="18"/>
              </w:rPr>
              <w:t>Margen Bruto</w:t>
            </w:r>
          </w:p>
        </w:tc>
        <w:tc>
          <w:tcPr>
            <w:tcW w:type="dxa" w:w="2304"/>
            <w:shd w:fill="F7FAFC"/>
            <w:tcMar>
              <w:top w:w="80" w:type="dxa"/>
              <w:bottom w:w="80" w:type="dxa"/>
              <w:left w:w="120" w:type="dxa"/>
              <w:right w:w="120" w:type="dxa"/>
            </w:tcMar>
          </w:tcPr>
          <w:p>
            <w:pPr>
              <w:spacing w:before="0" w:after="0"/>
              <w:jc w:val="right"/>
            </w:pPr>
            <w:r>
              <w:rPr>
                <w:rFonts w:ascii="Calibri" w:hAnsi="Calibri"/>
                <w:b w:val="0"/>
                <w:color w:val="2D3748"/>
                <w:sz w:val="18"/>
              </w:rPr>
              <w:t>55.5% - 56.5%</w:t>
            </w:r>
          </w:p>
        </w:tc>
        <w:tc>
          <w:tcPr>
            <w:tcW w:type="dxa" w:w="1872"/>
            <w:shd w:fill="F7FAFC"/>
            <w:tcMar>
              <w:top w:w="80" w:type="dxa"/>
              <w:bottom w:w="80" w:type="dxa"/>
              <w:left w:w="120" w:type="dxa"/>
              <w:right w:w="120" w:type="dxa"/>
            </w:tcMar>
          </w:tcPr>
          <w:p>
            <w:pPr>
              <w:spacing w:before="0" w:after="0"/>
              <w:jc w:val="right"/>
            </w:pPr>
            <w:r>
              <w:rPr>
                <w:rFonts w:ascii="Calibri" w:hAnsi="Calibri"/>
                <w:b w:val="0"/>
                <w:color w:val="2D3748"/>
                <w:sz w:val="18"/>
              </w:rPr>
              <w:t>57.70%</w:t>
            </w:r>
          </w:p>
        </w:tc>
        <w:tc>
          <w:tcPr>
            <w:tcW w:type="dxa" w:w="3168"/>
            <w:shd w:fill="F7FAFC"/>
            <w:tcMar>
              <w:top w:w="80" w:type="dxa"/>
              <w:bottom w:w="80" w:type="dxa"/>
              <w:left w:w="120" w:type="dxa"/>
              <w:right w:w="120" w:type="dxa"/>
            </w:tcMar>
          </w:tcPr>
          <w:p>
            <w:pPr>
              <w:spacing w:before="0" w:after="0"/>
              <w:jc w:val="right"/>
            </w:pPr>
            <w:r>
              <w:rPr>
                <w:rFonts w:ascii="Calibri" w:hAnsi="Calibri"/>
                <w:b w:val="0"/>
                <w:color w:val="2D3748"/>
                <w:sz w:val="18"/>
              </w:rPr>
              <w:t>Previsión conservadora ante posibles presiones de fletes.</w:t>
            </w:r>
          </w:p>
        </w:tc>
      </w:tr>
      <w:tr>
        <w:tc>
          <w:tcPr>
            <w:tcW w:type="dxa" w:w="2448"/>
            <w:shd w:fill="FFFFFF"/>
            <w:tcMar>
              <w:top w:w="80" w:type="dxa"/>
              <w:bottom w:w="80" w:type="dxa"/>
              <w:left w:w="120" w:type="dxa"/>
              <w:right w:w="120" w:type="dxa"/>
            </w:tcMar>
          </w:tcPr>
          <w:p>
            <w:pPr>
              <w:spacing w:before="0" w:after="0"/>
              <w:jc w:val="left"/>
            </w:pPr>
            <w:r>
              <w:rPr>
                <w:rFonts w:ascii="Calibri" w:hAnsi="Calibri"/>
                <w:b w:val="0"/>
                <w:color w:val="2D3748"/>
                <w:sz w:val="18"/>
              </w:rPr>
              <w:t>Ratio SG&amp;A</w:t>
            </w:r>
          </w:p>
        </w:tc>
        <w:tc>
          <w:tcPr>
            <w:tcW w:type="dxa" w:w="2304"/>
            <w:shd w:fill="FFFFFF"/>
            <w:tcMar>
              <w:top w:w="80" w:type="dxa"/>
              <w:bottom w:w="80" w:type="dxa"/>
              <w:left w:w="120" w:type="dxa"/>
              <w:right w:w="120" w:type="dxa"/>
            </w:tcMar>
          </w:tcPr>
          <w:p>
            <w:pPr>
              <w:spacing w:before="0" w:after="0"/>
              <w:jc w:val="right"/>
            </w:pPr>
            <w:r>
              <w:rPr>
                <w:rFonts w:ascii="Calibri" w:hAnsi="Calibri"/>
                <w:b w:val="0"/>
                <w:color w:val="2D3748"/>
                <w:sz w:val="18"/>
              </w:rPr>
              <w:t>~34.0% de las ventas</w:t>
            </w:r>
          </w:p>
        </w:tc>
        <w:tc>
          <w:tcPr>
            <w:tcW w:type="dxa" w:w="1872"/>
            <w:shd w:fill="FFFFFF"/>
            <w:tcMar>
              <w:top w:w="80" w:type="dxa"/>
              <w:bottom w:w="80" w:type="dxa"/>
              <w:left w:w="120" w:type="dxa"/>
              <w:right w:w="120" w:type="dxa"/>
            </w:tcMar>
          </w:tcPr>
          <w:p>
            <w:pPr>
              <w:spacing w:before="0" w:after="0"/>
              <w:jc w:val="right"/>
            </w:pPr>
            <w:r>
              <w:rPr>
                <w:rFonts w:ascii="Calibri" w:hAnsi="Calibri"/>
                <w:b w:val="0"/>
                <w:color w:val="2D3748"/>
                <w:sz w:val="18"/>
              </w:rPr>
              <w:t>35.49%</w:t>
            </w:r>
          </w:p>
        </w:tc>
        <w:tc>
          <w:tcPr>
            <w:tcW w:type="dxa" w:w="3168"/>
            <w:shd w:fill="FFFFFF"/>
            <w:tcMar>
              <w:top w:w="80" w:type="dxa"/>
              <w:bottom w:w="80" w:type="dxa"/>
              <w:left w:w="120" w:type="dxa"/>
              <w:right w:w="120" w:type="dxa"/>
            </w:tcMar>
          </w:tcPr>
          <w:p>
            <w:pPr>
              <w:spacing w:before="0" w:after="0"/>
              <w:jc w:val="right"/>
            </w:pPr>
            <w:r>
              <w:rPr>
                <w:rFonts w:ascii="Calibri" w:hAnsi="Calibri"/>
                <w:b w:val="0"/>
                <w:color w:val="2D3748"/>
                <w:sz w:val="18"/>
              </w:rPr>
              <w:t>Apalancamiento operativo y control de gastos administrativos.</w:t>
            </w:r>
          </w:p>
        </w:tc>
      </w:tr>
      <w:tr>
        <w:tc>
          <w:tcPr>
            <w:tcW w:type="dxa" w:w="2448"/>
            <w:shd w:fill="F7FAFC"/>
            <w:tcMar>
              <w:top w:w="80" w:type="dxa"/>
              <w:bottom w:w="80" w:type="dxa"/>
              <w:left w:w="120" w:type="dxa"/>
              <w:right w:w="120" w:type="dxa"/>
            </w:tcMar>
          </w:tcPr>
          <w:p>
            <w:pPr>
              <w:spacing w:before="0" w:after="0"/>
              <w:jc w:val="left"/>
            </w:pPr>
            <w:r>
              <w:rPr>
                <w:rFonts w:ascii="Calibri" w:hAnsi="Calibri"/>
                <w:b w:val="0"/>
                <w:color w:val="2D3748"/>
                <w:sz w:val="18"/>
              </w:rPr>
              <w:t>Margen Operativo</w:t>
            </w:r>
          </w:p>
        </w:tc>
        <w:tc>
          <w:tcPr>
            <w:tcW w:type="dxa" w:w="2304"/>
            <w:shd w:fill="F7FAFC"/>
            <w:tcMar>
              <w:top w:w="80" w:type="dxa"/>
              <w:bottom w:w="80" w:type="dxa"/>
              <w:left w:w="120" w:type="dxa"/>
              <w:right w:w="120" w:type="dxa"/>
            </w:tcMar>
          </w:tcPr>
          <w:p>
            <w:pPr>
              <w:spacing w:before="0" w:after="0"/>
              <w:jc w:val="right"/>
            </w:pPr>
            <w:r>
              <w:rPr>
                <w:rFonts w:ascii="Calibri" w:hAnsi="Calibri"/>
                <w:b w:val="0"/>
                <w:color w:val="2D3748"/>
                <w:sz w:val="18"/>
              </w:rPr>
              <w:t>21.0% - 22.0%</w:t>
            </w:r>
          </w:p>
        </w:tc>
        <w:tc>
          <w:tcPr>
            <w:tcW w:type="dxa" w:w="1872"/>
            <w:shd w:fill="F7FAFC"/>
            <w:tcMar>
              <w:top w:w="80" w:type="dxa"/>
              <w:bottom w:w="80" w:type="dxa"/>
              <w:left w:w="120" w:type="dxa"/>
              <w:right w:w="120" w:type="dxa"/>
            </w:tcMar>
          </w:tcPr>
          <w:p>
            <w:pPr>
              <w:spacing w:before="0" w:after="0"/>
              <w:jc w:val="right"/>
            </w:pPr>
            <w:r>
              <w:rPr>
                <w:rFonts w:ascii="Calibri" w:hAnsi="Calibri"/>
                <w:b w:val="0"/>
                <w:color w:val="2D3748"/>
                <w:sz w:val="18"/>
              </w:rPr>
              <w:t>21.84%</w:t>
            </w:r>
          </w:p>
        </w:tc>
        <w:tc>
          <w:tcPr>
            <w:tcW w:type="dxa" w:w="3168"/>
            <w:shd w:fill="F7FAFC"/>
            <w:tcMar>
              <w:top w:w="80" w:type="dxa"/>
              <w:bottom w:w="80" w:type="dxa"/>
              <w:left w:w="120" w:type="dxa"/>
              <w:right w:w="120" w:type="dxa"/>
            </w:tcMar>
          </w:tcPr>
          <w:p>
            <w:pPr>
              <w:spacing w:before="0" w:after="0"/>
              <w:jc w:val="right"/>
            </w:pPr>
            <w:r>
              <w:rPr>
                <w:rFonts w:ascii="Calibri" w:hAnsi="Calibri"/>
                <w:b w:val="0"/>
                <w:color w:val="2D3748"/>
                <w:sz w:val="18"/>
              </w:rPr>
              <w:t>Sostenibilidad de rentabilidad de élite mundial.</w:t>
            </w:r>
          </w:p>
        </w:tc>
      </w:tr>
      <w:tr>
        <w:tc>
          <w:tcPr>
            <w:tcW w:type="dxa" w:w="2448"/>
            <w:shd w:fill="FFFFFF"/>
            <w:tcMar>
              <w:top w:w="80" w:type="dxa"/>
              <w:bottom w:w="80" w:type="dxa"/>
              <w:left w:w="120" w:type="dxa"/>
              <w:right w:w="120" w:type="dxa"/>
            </w:tcMar>
          </w:tcPr>
          <w:p>
            <w:pPr>
              <w:spacing w:before="0" w:after="0"/>
              <w:jc w:val="left"/>
            </w:pPr>
            <w:r>
              <w:rPr>
                <w:rFonts w:ascii="Calibri" w:hAnsi="Calibri"/>
                <w:b w:val="0"/>
                <w:color w:val="2D3748"/>
                <w:sz w:val="18"/>
              </w:rPr>
              <w:t>CapEx Anual</w:t>
            </w:r>
          </w:p>
        </w:tc>
        <w:tc>
          <w:tcPr>
            <w:tcW w:type="dxa" w:w="2304"/>
            <w:shd w:fill="FFFFFF"/>
            <w:tcMar>
              <w:top w:w="80" w:type="dxa"/>
              <w:bottom w:w="80" w:type="dxa"/>
              <w:left w:w="120" w:type="dxa"/>
              <w:right w:w="120" w:type="dxa"/>
            </w:tcMar>
          </w:tcPr>
          <w:p>
            <w:pPr>
              <w:spacing w:before="0" w:after="0"/>
              <w:jc w:val="right"/>
            </w:pPr>
            <w:r>
              <w:rPr>
                <w:rFonts w:ascii="Calibri" w:hAnsi="Calibri"/>
                <w:b w:val="0"/>
                <w:color w:val="2D3748"/>
                <w:sz w:val="18"/>
              </w:rPr>
              <w:t>~$110 M - $120 M</w:t>
            </w:r>
          </w:p>
        </w:tc>
        <w:tc>
          <w:tcPr>
            <w:tcW w:type="dxa" w:w="1872"/>
            <w:shd w:fill="FFFFFF"/>
            <w:tcMar>
              <w:top w:w="80" w:type="dxa"/>
              <w:bottom w:w="80" w:type="dxa"/>
              <w:left w:w="120" w:type="dxa"/>
              <w:right w:w="120" w:type="dxa"/>
            </w:tcMar>
          </w:tcPr>
          <w:p>
            <w:pPr>
              <w:spacing w:before="0" w:after="0"/>
              <w:jc w:val="right"/>
            </w:pPr>
            <w:r>
              <w:rPr>
                <w:rFonts w:ascii="Calibri" w:hAnsi="Calibri"/>
                <w:b w:val="0"/>
                <w:color w:val="2D3748"/>
                <w:sz w:val="18"/>
              </w:rPr>
              <w:t>$88.8 M</w:t>
            </w:r>
          </w:p>
        </w:tc>
        <w:tc>
          <w:tcPr>
            <w:tcW w:type="dxa" w:w="3168"/>
            <w:shd w:fill="FFFFFF"/>
            <w:tcMar>
              <w:top w:w="80" w:type="dxa"/>
              <w:bottom w:w="80" w:type="dxa"/>
              <w:left w:w="120" w:type="dxa"/>
              <w:right w:w="120" w:type="dxa"/>
            </w:tcMar>
          </w:tcPr>
          <w:p>
            <w:pPr>
              <w:spacing w:before="0" w:after="0"/>
              <w:jc w:val="right"/>
            </w:pPr>
            <w:r>
              <w:rPr>
                <w:rFonts w:ascii="Calibri" w:hAnsi="Calibri"/>
                <w:b w:val="0"/>
                <w:color w:val="2D3748"/>
                <w:sz w:val="18"/>
              </w:rPr>
              <w:t>Inversión en logística automatizada y tecnología digital.</w:t>
            </w:r>
          </w:p>
        </w:tc>
      </w:tr>
      <w:tr>
        <w:tc>
          <w:tcPr>
            <w:tcW w:type="dxa" w:w="2448"/>
            <w:shd w:fill="F7FAFC"/>
            <w:tcMar>
              <w:top w:w="80" w:type="dxa"/>
              <w:bottom w:w="80" w:type="dxa"/>
              <w:left w:w="120" w:type="dxa"/>
              <w:right w:w="120" w:type="dxa"/>
            </w:tcMar>
          </w:tcPr>
          <w:p>
            <w:pPr>
              <w:spacing w:before="0" w:after="0"/>
              <w:jc w:val="left"/>
            </w:pPr>
            <w:r>
              <w:rPr>
                <w:rFonts w:ascii="Calibri" w:hAnsi="Calibri"/>
                <w:b w:val="0"/>
                <w:color w:val="2D3748"/>
                <w:sz w:val="18"/>
              </w:rPr>
              <w:t>Recompras de Acciones</w:t>
            </w:r>
          </w:p>
        </w:tc>
        <w:tc>
          <w:tcPr>
            <w:tcW w:type="dxa" w:w="2304"/>
            <w:shd w:fill="F7FAFC"/>
            <w:tcMar>
              <w:top w:w="80" w:type="dxa"/>
              <w:bottom w:w="80" w:type="dxa"/>
              <w:left w:w="120" w:type="dxa"/>
              <w:right w:w="120" w:type="dxa"/>
            </w:tcMar>
          </w:tcPr>
          <w:p>
            <w:pPr>
              <w:spacing w:before="0" w:after="0"/>
              <w:jc w:val="right"/>
            </w:pPr>
            <w:r>
              <w:rPr>
                <w:rFonts w:ascii="Calibri" w:hAnsi="Calibri"/>
                <w:b w:val="0"/>
                <w:color w:val="2D3748"/>
                <w:sz w:val="18"/>
              </w:rPr>
              <w:t>Continuación activa</w:t>
            </w:r>
          </w:p>
        </w:tc>
        <w:tc>
          <w:tcPr>
            <w:tcW w:type="dxa" w:w="1872"/>
            <w:shd w:fill="F7FAFC"/>
            <w:tcMar>
              <w:top w:w="80" w:type="dxa"/>
              <w:bottom w:w="80" w:type="dxa"/>
              <w:left w:w="120" w:type="dxa"/>
              <w:right w:w="120" w:type="dxa"/>
            </w:tcMar>
          </w:tcPr>
          <w:p>
            <w:pPr>
              <w:spacing w:before="0" w:after="0"/>
              <w:jc w:val="right"/>
            </w:pPr>
            <w:r>
              <w:rPr>
                <w:rFonts w:ascii="Calibri" w:hAnsi="Calibri"/>
                <w:b w:val="0"/>
                <w:color w:val="2D3748"/>
                <w:sz w:val="18"/>
              </w:rPr>
              <w:t>$380 M ejecutados</w:t>
            </w:r>
          </w:p>
        </w:tc>
        <w:tc>
          <w:tcPr>
            <w:tcW w:type="dxa" w:w="3168"/>
            <w:shd w:fill="F7FAFC"/>
            <w:tcMar>
              <w:top w:w="80" w:type="dxa"/>
              <w:bottom w:w="80" w:type="dxa"/>
              <w:left w:w="120" w:type="dxa"/>
              <w:right w:w="120" w:type="dxa"/>
            </w:tcMar>
          </w:tcPr>
          <w:p>
            <w:pPr>
              <w:spacing w:before="0" w:after="0"/>
              <w:jc w:val="right"/>
            </w:pPr>
            <w:r>
              <w:rPr>
                <w:rFonts w:ascii="Calibri" w:hAnsi="Calibri"/>
                <w:b w:val="0"/>
                <w:color w:val="2D3748"/>
                <w:sz w:val="18"/>
              </w:rPr>
              <w:t>Retorno de capital financiado íntegramente con flujo libre.</w:t>
            </w:r>
          </w:p>
        </w:tc>
      </w:tr>
    </w:tbl>
    <w:p>
      <w:pPr>
        <w:spacing w:after="120"/>
      </w:pPr>
    </w:p>
    <w:p>
      <w:pPr>
        <w:keepNext/>
        <w:spacing w:before="320" w:after="120"/>
      </w:pPr>
      <w:r>
        <w:rPr>
          <w:rFonts w:ascii="Calibri" w:hAnsi="Calibri"/>
          <w:b/>
          <w:color w:val="1B365D"/>
          <w:sz w:val="30"/>
        </w:rPr>
        <w:t>6. Puntos Destacados de las Llamadas de Resultados y Q&amp;A de Analistas</w:t>
      </w:r>
    </w:p>
    <w:p>
      <w:pPr>
        <w:spacing w:before="0" w:after="80" w:line="276" w:lineRule="auto"/>
      </w:pPr>
      <w:r>
        <w:rPr>
          <w:rFonts w:ascii="Calibri" w:hAnsi="Calibri"/>
          <w:i w:val="0"/>
          <w:color w:val="2D3748"/>
          <w:sz w:val="20"/>
        </w:rPr>
        <w:t>Del análisis exhaustivo de las transcripciones de las conferencias de resultados de Q1 FY27, Q4 FY26 y trimestres previos, se extraen los siguientes consensos clave con los principales bancos de Wall Street:</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2"/>
              </w:rPr>
              <w:t>📌 PREGUNTAS Y RESPUESTAS CLAVE DE LA SESIÓN DE ANALISTAS (Q&amp;A)</w:t>
              <w:br/>
            </w:r>
          </w:p>
          <w:p>
            <w:pPr>
              <w:spacing w:before="40" w:after="40" w:line="276" w:lineRule="auto"/>
            </w:pPr>
            <w:r>
              <w:rPr>
                <w:rFonts w:ascii="Calibri" w:hAnsi="Calibri"/>
                <w:color w:val="2D3748"/>
                <w:sz w:val="19"/>
              </w:rPr>
              <w:t>Jay Sole (UBS Securities): Consultó sobre la capacidad de HOKA para sostener un crecimiento de doble dígito hacia FY28 y la madurez de sus franquicias. Stefano Caroti (CEO) respondió: "Consumers are responding to newness and innovation... Each of our major franchises is contributing to durable, long-term growth. We are launching Bondi 10 and Clifton Pro, expanding deeply into trail and everyday walking without saturating any single channel."</w:t>
            </w:r>
          </w:p>
          <w:p>
            <w:pPr>
              <w:spacing w:before="40" w:after="40" w:line="276" w:lineRule="auto"/>
            </w:pPr>
            <w:r>
              <w:rPr>
                <w:rFonts w:ascii="Calibri" w:hAnsi="Calibri"/>
                <w:color w:val="2D3748"/>
                <w:sz w:val="19"/>
              </w:rPr>
              <w:t>Adrienne Yih (Barclays Capital): Preguntó sobre la sostenibilidad del margen bruto cercano al 57% y la presión de descuentos en retail. Steve Fasching (CFO) confirmó: "We continue to see exceptionally high full-price sell-through. Our inventory management remains among the cleanest in the entire industry, allowing us to operate virtually free of promotional discounting."</w:t>
            </w:r>
          </w:p>
          <w:p>
            <w:pPr>
              <w:spacing w:before="40" w:after="40" w:line="276" w:lineRule="auto"/>
            </w:pPr>
            <w:r>
              <w:rPr>
                <w:rFonts w:ascii="Calibri" w:hAnsi="Calibri"/>
                <w:color w:val="2D3748"/>
                <w:sz w:val="19"/>
              </w:rPr>
              <w:t>Citigroup / Jefferies: Analizaron la expansión en China y el impacto macroeconómico. La dirección destacó que HOKA y UGG crecieron a más del 30% en China gracias a la apertura de tiendas flagship experienciales y el auge del running urbano y trail running.</w:t>
            </w:r>
          </w:p>
        </w:tc>
      </w:tr>
    </w:tbl>
    <w:p>
      <w:pPr>
        <w:spacing w:after="80"/>
      </w:pPr>
    </w:p>
    <w:p>
      <w:pPr>
        <w:keepNext/>
        <w:spacing w:before="320" w:after="120"/>
      </w:pPr>
      <w:r>
        <w:rPr>
          <w:rFonts w:ascii="Calibri" w:hAnsi="Calibri"/>
          <w:b/>
          <w:color w:val="1B365D"/>
          <w:sz w:val="30"/>
        </w:rPr>
        <w:t>7. Estructura de Capital, Solvencia y Calidad Contable</w:t>
      </w:r>
    </w:p>
    <w:p>
      <w:pPr>
        <w:spacing w:before="0" w:after="80" w:line="276" w:lineRule="auto"/>
      </w:pPr>
      <w:r>
        <w:rPr>
          <w:rFonts w:ascii="Calibri" w:hAnsi="Calibri"/>
          <w:i w:val="0"/>
          <w:color w:val="2D3748"/>
          <w:sz w:val="20"/>
        </w:rPr>
        <w:t>La solidez del balance de Deckers Outdoor constituye una anomalía positiva extraordinaria dentro del sector de moda y calzado deportivo:</w:t>
      </w:r>
    </w:p>
    <w:p>
      <w:pPr>
        <w:spacing w:before="0" w:after="80" w:line="276" w:lineRule="auto"/>
      </w:pPr>
      <w:r>
        <w:rPr>
          <w:rFonts w:ascii="Calibri" w:hAnsi="Calibri"/>
          <w:b/>
          <w:color w:val="2D3748"/>
          <w:sz w:val="20"/>
        </w:rPr>
        <w:t xml:space="preserve">• </w:t>
      </w:r>
      <w:r>
        <w:rPr>
          <w:rFonts w:ascii="Calibri" w:hAnsi="Calibri"/>
          <w:i w:val="0"/>
          <w:color w:val="2D3748"/>
          <w:sz w:val="20"/>
        </w:rPr>
        <w:t>Deuda Financiera Nula y Fuerte Posición de Caja:</w:t>
      </w:r>
    </w:p>
    <w:p>
      <w:pPr>
        <w:spacing w:before="0" w:after="80" w:line="276" w:lineRule="auto"/>
      </w:pPr>
      <w:r>
        <w:rPr>
          <w:rFonts w:ascii="Calibri" w:hAnsi="Calibri"/>
          <w:i w:val="0"/>
          <w:color w:val="2D3748"/>
          <w:sz w:val="20"/>
        </w:rPr>
        <w:t>A 30 de junio de 2026, Deckers acumulaba $1,475.2 millones en efectivo, equivalentes e inversiones líquidas, y $0.0 millones en deuda financiera a corto o largo plazo. La totalidad de sus pasivos corresponde a obligaciones comerciales corrientes y contratos de arrendamiento operativo de tiendas físicas bajo normativa US-GAAP (ASC 842).</w:t>
      </w:r>
    </w:p>
    <w:p>
      <w:pPr>
        <w:spacing w:before="0" w:after="80" w:line="276" w:lineRule="auto"/>
      </w:pPr>
      <w:r>
        <w:rPr>
          <w:rFonts w:ascii="Calibri" w:hAnsi="Calibri"/>
          <w:b/>
          <w:color w:val="2D3748"/>
          <w:sz w:val="20"/>
        </w:rPr>
        <w:t xml:space="preserve">• </w:t>
      </w:r>
      <w:r>
        <w:rPr>
          <w:rFonts w:ascii="Calibri" w:hAnsi="Calibri"/>
          <w:i w:val="0"/>
          <w:color w:val="2D3748"/>
          <w:sz w:val="20"/>
        </w:rPr>
        <w:t>Liquidez Holgada:</w:t>
      </w:r>
    </w:p>
    <w:p>
      <w:pPr>
        <w:spacing w:before="0" w:after="80" w:line="276" w:lineRule="auto"/>
      </w:pPr>
      <w:r>
        <w:rPr>
          <w:rFonts w:ascii="Calibri" w:hAnsi="Calibri"/>
          <w:i w:val="0"/>
          <w:color w:val="2D3748"/>
          <w:sz w:val="20"/>
        </w:rPr>
        <w:t>El ratio de liquidez corriente se sitúa en 2.75x y la prueba ácida (Quick Ratio) en 2.13x, garantizando que los activos líquidos cubren con holgura todas las obligaciones a doce meses.</w:t>
      </w:r>
    </w:p>
    <w:p>
      <w:pPr>
        <w:spacing w:before="0" w:after="80" w:line="276" w:lineRule="auto"/>
      </w:pPr>
      <w:r>
        <w:rPr>
          <w:rFonts w:ascii="Calibri" w:hAnsi="Calibri"/>
          <w:b/>
          <w:color w:val="2D3748"/>
          <w:sz w:val="20"/>
        </w:rPr>
        <w:t xml:space="preserve">• </w:t>
      </w:r>
      <w:r>
        <w:rPr>
          <w:rFonts w:ascii="Calibri" w:hAnsi="Calibri"/>
          <w:i w:val="0"/>
          <w:color w:val="2D3748"/>
          <w:sz w:val="20"/>
        </w:rPr>
        <w:t>Retorno al Accionista mediante Recompras y Stock Split:</w:t>
      </w:r>
    </w:p>
    <w:p>
      <w:pPr>
        <w:spacing w:before="0" w:after="80" w:line="276" w:lineRule="auto"/>
      </w:pPr>
      <w:r>
        <w:rPr>
          <w:rFonts w:ascii="Calibri" w:hAnsi="Calibri"/>
          <w:i w:val="0"/>
          <w:color w:val="2D3748"/>
          <w:sz w:val="20"/>
        </w:rPr>
        <w:t>En septiembre de 2024, la compañía completó con éxito un desdoblamiento de acciones (Stock Split 6:1), incrementando la liquidez en bolsa. Simultáneamente, la empresa ha recomprado 7.2 millones de acciones básicas en los últimos doce meses, reduciendo el recuento de acciones en circulación de 145.5M a 138.3M sin recurrir a endeudamiento.</w:t>
      </w:r>
    </w:p>
    <w:p>
      <w:pPr>
        <w:keepNext/>
        <w:spacing w:before="320" w:after="120"/>
      </w:pPr>
      <w:r>
        <w:rPr>
          <w:rFonts w:ascii="Calibri" w:hAnsi="Calibri"/>
          <w:b/>
          <w:color w:val="1B365D"/>
          <w:sz w:val="30"/>
        </w:rPr>
        <w:t>8. Gobernanza Corporativa y Análisis de Alertas Tempranas (Formulario 8-K)</w:t>
      </w:r>
    </w:p>
    <w:p>
      <w:pPr>
        <w:spacing w:before="0" w:after="80" w:line="276" w:lineRule="auto"/>
      </w:pPr>
      <w:r>
        <w:rPr>
          <w:rFonts w:ascii="Calibri" w:hAnsi="Calibri"/>
          <w:i w:val="0"/>
          <w:color w:val="2D3748"/>
          <w:sz w:val="20"/>
        </w:rPr>
        <w:t>El dictamen del módulo forense de gobernanza otorga a Deckers Outdoor una calificación de SÓLIDA / BAJO RIESGO con una puntuación de 90/100:</w:t>
      </w:r>
    </w:p>
    <w:p>
      <w:pPr>
        <w:spacing w:before="0" w:after="80" w:line="276" w:lineRule="auto"/>
      </w:pPr>
      <w:r>
        <w:rPr>
          <w:rFonts w:ascii="Calibri" w:hAnsi="Calibri"/>
          <w:b/>
          <w:color w:val="2D3748"/>
          <w:sz w:val="20"/>
        </w:rPr>
        <w:t xml:space="preserve">• </w:t>
      </w:r>
      <w:r>
        <w:rPr>
          <w:rFonts w:ascii="Calibri" w:hAnsi="Calibri"/>
          <w:i w:val="0"/>
          <w:color w:val="2D3748"/>
          <w:sz w:val="20"/>
        </w:rPr>
        <w:t>Auditoría Externa Independiente:</w:t>
      </w:r>
    </w:p>
    <w:p>
      <w:pPr>
        <w:spacing w:before="0" w:after="80" w:line="276" w:lineRule="auto"/>
      </w:pPr>
      <w:r>
        <w:rPr>
          <w:rFonts w:ascii="Calibri" w:hAnsi="Calibri"/>
          <w:i w:val="0"/>
          <w:color w:val="2D3748"/>
          <w:sz w:val="20"/>
        </w:rPr>
        <w:t>La auditoría contable de Deckers está a cargo de KPMG LLP, firma que ha emitido dictámenes limpios y sin salvedades durante más de una década, certificando la efectividad del control interno sobre el reporte financiero (Sección 404 de Sarbanes-Oxley).</w:t>
      </w:r>
    </w:p>
    <w:p>
      <w:pPr>
        <w:spacing w:before="0" w:after="80" w:line="276" w:lineRule="auto"/>
      </w:pPr>
      <w:r>
        <w:rPr>
          <w:rFonts w:ascii="Calibri" w:hAnsi="Calibri"/>
          <w:b/>
          <w:color w:val="2D3748"/>
          <w:sz w:val="20"/>
        </w:rPr>
        <w:t xml:space="preserve">• </w:t>
      </w:r>
      <w:r>
        <w:rPr>
          <w:rFonts w:ascii="Calibri" w:hAnsi="Calibri"/>
          <w:i w:val="0"/>
          <w:color w:val="2D3748"/>
          <w:sz w:val="20"/>
        </w:rPr>
        <w:t>Análisis de Hechos Relevantes (Formularios 8-K):</w:t>
      </w:r>
    </w:p>
    <w:p>
      <w:pPr>
        <w:spacing w:before="0" w:after="80" w:line="276" w:lineRule="auto"/>
      </w:pPr>
      <w:r>
        <w:rPr>
          <w:rFonts w:ascii="Calibri" w:hAnsi="Calibri"/>
          <w:i w:val="0"/>
          <w:color w:val="2D3748"/>
          <w:sz w:val="20"/>
        </w:rPr>
        <w:t>El escrutinio de los últimos 25 formularios 8-K presentados ante la SEC no revela ninguna señal de alerta: no existen contingencias por litigios materiales, dimisiones conflictivas en el Consejo de Administración, ni modificaciones en principios contables. Las presentaciones reflejan la comunicación ordenada de resultados trimestrales (Item 2.02) y la adopción formal de planes de sucesión y acuerdos de asamblea anual de accionistas (Item 5.02 y 5.07).</w:t>
      </w:r>
    </w:p>
    <w:p>
      <w:pPr>
        <w:keepNext/>
        <w:spacing w:before="320" w:after="120"/>
      </w:pPr>
      <w:r>
        <w:rPr>
          <w:rFonts w:ascii="Calibri" w:hAnsi="Calibri"/>
          <w:b/>
          <w:color w:val="1B365D"/>
          <w:sz w:val="30"/>
        </w:rPr>
        <w:t>9. Análisis Forense de Insiders y Directivos (Formularios 4 y 144)</w:t>
      </w:r>
    </w:p>
    <w:p>
      <w:pPr>
        <w:spacing w:before="0" w:after="80" w:line="276" w:lineRule="auto"/>
      </w:pPr>
      <w:r>
        <w:rPr>
          <w:rFonts w:ascii="Calibri" w:hAnsi="Calibri"/>
          <w:i w:val="0"/>
          <w:color w:val="2D3748"/>
          <w:sz w:val="20"/>
        </w:rPr>
        <w:t>El seguimiento de transacciones de directivos e insiders revela una alineación de intereses transparente con el accionista:</w:t>
      </w:r>
    </w:p>
    <w:p>
      <w:pPr>
        <w:spacing w:before="0" w:after="80" w:line="276" w:lineRule="auto"/>
      </w:pPr>
      <w:r>
        <w:rPr>
          <w:rFonts w:ascii="Calibri" w:hAnsi="Calibri"/>
          <w:b/>
          <w:color w:val="2D3748"/>
          <w:sz w:val="20"/>
        </w:rPr>
        <w:t xml:space="preserve">• </w:t>
      </w:r>
      <w:r>
        <w:rPr>
          <w:rFonts w:ascii="Calibri" w:hAnsi="Calibri"/>
          <w:i w:val="0"/>
          <w:color w:val="2D3748"/>
          <w:sz w:val="20"/>
        </w:rPr>
        <w:t>Asignaciones de Capital por Desempeño (Grants Código A):</w:t>
      </w:r>
    </w:p>
    <w:p>
      <w:pPr>
        <w:spacing w:before="0" w:after="80" w:line="276" w:lineRule="auto"/>
      </w:pPr>
      <w:r>
        <w:rPr>
          <w:rFonts w:ascii="Calibri" w:hAnsi="Calibri"/>
          <w:i w:val="0"/>
          <w:color w:val="2D3748"/>
          <w:sz w:val="20"/>
        </w:rPr>
        <w:t>La mayor parte de la actividad registrada en el Formulario 4 corresponde a la concesión de unidades de acciones restringidas (RSUs) ligadas a metas de rentabilidad operativa y retorno sobre el capital a tres años para el nuevo CEO Stefano Caroti, Robin Spring-Green (Presidenta de HOKA), Anne Spangenberg (Presidenta de Fashion Lifestyle / UGG) y Thomas Garcia (Chief Administrative Officer).</w:t>
      </w:r>
    </w:p>
    <w:p>
      <w:pPr>
        <w:spacing w:before="0" w:after="80" w:line="276" w:lineRule="auto"/>
      </w:pPr>
      <w:r>
        <w:rPr>
          <w:rFonts w:ascii="Calibri" w:hAnsi="Calibri"/>
          <w:b/>
          <w:color w:val="2D3748"/>
          <w:sz w:val="20"/>
        </w:rPr>
        <w:t xml:space="preserve">• </w:t>
      </w:r>
      <w:r>
        <w:rPr>
          <w:rFonts w:ascii="Calibri" w:hAnsi="Calibri"/>
          <w:i w:val="0"/>
          <w:color w:val="2D3748"/>
          <w:sz w:val="20"/>
        </w:rPr>
        <w:t>Ventas Programadas Bajo Regla 10b5-1:</w:t>
      </w:r>
    </w:p>
    <w:p>
      <w:pPr>
        <w:spacing w:before="0" w:after="80" w:line="276" w:lineRule="auto"/>
      </w:pPr>
      <w:r>
        <w:rPr>
          <w:rFonts w:ascii="Calibri" w:hAnsi="Calibri"/>
          <w:i w:val="0"/>
          <w:color w:val="2D3748"/>
          <w:sz w:val="20"/>
        </w:rPr>
        <w:t>El 100% de los avisos de venta presentados bajo el Formulario 144 y liquidados en el Formulario 4 fueron ejecutados al amparo de planes automáticos Rule 10b5-1 adoptados previamente, descartando cualquier desinversión motivada por información confidencial.</w:t>
      </w:r>
    </w:p>
    <w:p>
      <w:pPr>
        <w:keepNext/>
        <w:spacing w:before="320" w:after="120"/>
      </w:pPr>
      <w:r>
        <w:rPr>
          <w:rFonts w:ascii="Calibri" w:hAnsi="Calibri"/>
          <w:b/>
          <w:color w:val="1B365D"/>
          <w:sz w:val="30"/>
        </w:rPr>
        <w:t>10. Diagnóstico Cuantitativo de Resiliencia y Crecimiento (Piotroski &amp; Mohanram)</w:t>
      </w:r>
    </w:p>
    <w:p>
      <w:pPr>
        <w:spacing w:before="0" w:after="80" w:line="276" w:lineRule="auto"/>
      </w:pPr>
      <w:r>
        <w:rPr>
          <w:rFonts w:ascii="Calibri" w:hAnsi="Calibri"/>
          <w:i w:val="0"/>
          <w:color w:val="2D3748"/>
          <w:sz w:val="20"/>
        </w:rPr>
        <w:t>Se incorpora la evaluación cuantitativa basada en los dos marcos académicos más rigurosos de Wall Street: el Piotroski F-Score (2000, enfocado en solvencia y calidad contable interna) y el Mohanram G-Score (2005, enfocado en calidad de crecimiento frente a la mediana de competidores de calzado SIC 3021), incorporando las 5 mejoras institucionales (Acciones Básicas, Deuda Financiera Total, Apalancamiento Comercial y Ajustes Asset-Light):</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2"/>
              </w:rPr>
              <w:t>📌 CLASIFICACIÓN ESTRATÉGICA EN MATRIZ FUNDAMENTAL</w:t>
              <w:br/>
            </w:r>
          </w:p>
          <w:p>
            <w:pPr>
              <w:spacing w:before="40" w:after="40" w:line="276" w:lineRule="auto"/>
            </w:pPr>
            <w:r>
              <w:rPr>
                <w:rFonts w:ascii="Calibri" w:hAnsi="Calibri"/>
                <w:color w:val="2D3748"/>
                <w:sz w:val="19"/>
              </w:rPr>
              <w:t>Posición Cuantitativa: CUADRANTE I: COMPOUNDER DE ÉLITE</w:t>
            </w:r>
          </w:p>
          <w:p>
            <w:pPr>
              <w:spacing w:before="40" w:after="40" w:line="276" w:lineRule="auto"/>
            </w:pPr>
            <w:r>
              <w:rPr>
                <w:rFonts w:ascii="Calibri" w:hAnsi="Calibri"/>
                <w:color w:val="2D3748"/>
                <w:sz w:val="19"/>
              </w:rPr>
              <w:t>Piotroski F-Score (Solvencia Interna): 6 / 9 Puntos (LTM) | 5 / 9 Puntos (FY26) | 7 / 9 Puntos (FY25) (Salud Financiera Sólida)</w:t>
            </w:r>
          </w:p>
          <w:p>
            <w:pPr>
              <w:spacing w:before="40" w:after="40" w:line="276" w:lineRule="auto"/>
            </w:pPr>
            <w:r>
              <w:rPr>
                <w:rFonts w:ascii="Calibri" w:hAnsi="Calibri"/>
                <w:color w:val="2D3748"/>
                <w:sz w:val="19"/>
              </w:rPr>
              <w:t>Mohanram G-Score (Ventaja Sectorial):  7 / 8 Puntos (LTM) | 7 / 8 Puntos (FY26) (Crecimiento de Élite vs. Industria de Calzado SIC 3021)</w:t>
            </w:r>
          </w:p>
          <w:p>
            <w:pPr>
              <w:spacing w:before="40" w:after="40" w:line="276" w:lineRule="auto"/>
            </w:pPr>
            <w:r>
              <w:rPr>
                <w:rFonts w:ascii="Calibri" w:hAnsi="Calibri"/>
                <w:color w:val="2D3748"/>
                <w:sz w:val="19"/>
              </w:rPr>
              <w:t>Tesis Cuantitativa: Deckers Outdoor Corporation combina una solidez financiera impecable (cero deuda financiera, conversión de caja &gt;110% y recompras netas continuas) con una superioridad competitiva arrolladora en la industria del calzado, superando con holgura las medianas sectoriales en ROA (27.5% vs 7.8%), CFROA (32.4% vs 8.3%), margen bruto (57.8% vs 47.0%) e inversión total en producto (3.9% vs 2.1%).</w:t>
            </w:r>
          </w:p>
        </w:tc>
      </w:tr>
    </w:tbl>
    <w:p>
      <w:pPr>
        <w:spacing w:after="80"/>
      </w:pPr>
    </w:p>
    <w:p>
      <w:pPr>
        <w:keepNext/>
        <w:spacing w:before="240" w:after="80"/>
      </w:pPr>
      <w:r>
        <w:rPr>
          <w:rFonts w:ascii="Calibri" w:hAnsi="Calibri"/>
          <w:b/>
          <w:color w:val="4A5568"/>
          <w:sz w:val="24"/>
        </w:rPr>
        <w:t>Piotroski F-Score (Salud Financiera y Eficiencia Interna):</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958"/>
        <w:gridCol w:w="1958"/>
        <w:gridCol w:w="1958"/>
        <w:gridCol w:w="1958"/>
        <w:gridCol w:w="195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Criterio Fundamental</w:t>
            </w:r>
          </w:p>
        </w:tc>
        <w:tc>
          <w:tcPr>
            <w:tcW w:type="dxa" w:w="2016"/>
            <w:shd w:fill="1B365D"/>
            <w:tcMar>
              <w:top w:w="100" w:type="dxa"/>
              <w:bottom w:w="100" w:type="dxa"/>
              <w:left w:w="120" w:type="dxa"/>
              <w:right w:w="120" w:type="dxa"/>
            </w:tcMar>
          </w:tcPr>
          <w:p>
            <w:pPr>
              <w:spacing w:before="0" w:after="0"/>
              <w:jc w:val="right"/>
            </w:pPr>
            <w:r>
              <w:rPr>
                <w:rFonts w:ascii="Calibri" w:hAnsi="Calibri"/>
                <w:b/>
                <w:color w:val="FFFFFF"/>
                <w:sz w:val="19"/>
              </w:rPr>
              <w:t>Condición / Umbral</w:t>
            </w:r>
          </w:p>
        </w:tc>
        <w:tc>
          <w:tcPr>
            <w:tcW w:type="dxa" w:w="1584"/>
            <w:shd w:fill="1B365D"/>
            <w:tcMar>
              <w:top w:w="100" w:type="dxa"/>
              <w:bottom w:w="100" w:type="dxa"/>
              <w:left w:w="120" w:type="dxa"/>
              <w:right w:w="120" w:type="dxa"/>
            </w:tcMar>
          </w:tcPr>
          <w:p>
            <w:pPr>
              <w:spacing w:before="0" w:after="0"/>
              <w:jc w:val="right"/>
            </w:pPr>
            <w:r>
              <w:rPr>
                <w:rFonts w:ascii="Calibri" w:hAnsi="Calibri"/>
                <w:b/>
                <w:color w:val="FFFFFF"/>
                <w:sz w:val="19"/>
              </w:rPr>
              <w:t>FY2025</w:t>
            </w:r>
          </w:p>
        </w:tc>
        <w:tc>
          <w:tcPr>
            <w:tcW w:type="dxa" w:w="1584"/>
            <w:shd w:fill="1B365D"/>
            <w:tcMar>
              <w:top w:w="100" w:type="dxa"/>
              <w:bottom w:w="100" w:type="dxa"/>
              <w:left w:w="120" w:type="dxa"/>
              <w:right w:w="120" w:type="dxa"/>
            </w:tcMar>
          </w:tcPr>
          <w:p>
            <w:pPr>
              <w:spacing w:before="0" w:after="0"/>
              <w:jc w:val="right"/>
            </w:pPr>
            <w:r>
              <w:rPr>
                <w:rFonts w:ascii="Calibri" w:hAnsi="Calibri"/>
                <w:b/>
                <w:color w:val="FFFFFF"/>
                <w:sz w:val="19"/>
              </w:rPr>
              <w:t>LTM</w:t>
            </w:r>
          </w:p>
        </w:tc>
        <w:tc>
          <w:tcPr>
            <w:tcW w:type="dxa" w:w="2304"/>
            <w:shd w:fill="1B365D"/>
            <w:tcMar>
              <w:top w:w="100" w:type="dxa"/>
              <w:bottom w:w="100" w:type="dxa"/>
              <w:left w:w="120" w:type="dxa"/>
              <w:right w:w="120" w:type="dxa"/>
            </w:tcMar>
          </w:tcPr>
          <w:p>
            <w:pPr>
              <w:spacing w:before="0" w:after="0"/>
              <w:jc w:val="right"/>
            </w:pPr>
            <w:r>
              <w:rPr>
                <w:rFonts w:ascii="Calibri" w:hAnsi="Calibri"/>
                <w:b/>
                <w:color w:val="FFFFFF"/>
                <w:sz w:val="19"/>
              </w:rPr>
              <w:t>Diagnóstico Contable</w:t>
            </w:r>
          </w:p>
        </w:tc>
      </w:tr>
      <w:tr>
        <w:tc>
          <w:tcPr>
            <w:tcW w:type="dxa" w:w="2304"/>
            <w:shd w:fill="FFFFFF"/>
            <w:tcMar>
              <w:top w:w="80" w:type="dxa"/>
              <w:bottom w:w="80" w:type="dxa"/>
              <w:left w:w="120" w:type="dxa"/>
              <w:right w:w="120" w:type="dxa"/>
            </w:tcMar>
          </w:tcPr>
          <w:p>
            <w:pPr>
              <w:spacing w:before="0" w:after="0"/>
              <w:jc w:val="left"/>
            </w:pPr>
            <w:r>
              <w:rPr>
                <w:rFonts w:ascii="Calibri" w:hAnsi="Calibri"/>
                <w:b w:val="0"/>
                <w:color w:val="2D3748"/>
                <w:sz w:val="18"/>
              </w:rPr>
              <w:t>1. ROA Positivo</w:t>
            </w:r>
          </w:p>
        </w:tc>
        <w:tc>
          <w:tcPr>
            <w:tcW w:type="dxa" w:w="2016"/>
            <w:shd w:fill="FFFFFF"/>
            <w:tcMar>
              <w:top w:w="80" w:type="dxa"/>
              <w:bottom w:w="80" w:type="dxa"/>
              <w:left w:w="120" w:type="dxa"/>
              <w:right w:w="120" w:type="dxa"/>
            </w:tcMar>
          </w:tcPr>
          <w:p>
            <w:pPr>
              <w:spacing w:before="0" w:after="0"/>
              <w:jc w:val="right"/>
            </w:pPr>
            <w:r>
              <w:rPr>
                <w:rFonts w:ascii="Calibri" w:hAnsi="Calibri"/>
                <w:b w:val="0"/>
                <w:color w:val="2D3748"/>
                <w:sz w:val="18"/>
              </w:rPr>
              <w:t>Net Income / Activos t-1 &gt; 0</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30.8% (✅)</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27.5% (✅)</w:t>
            </w:r>
          </w:p>
        </w:tc>
        <w:tc>
          <w:tcPr>
            <w:tcW w:type="dxa" w:w="2304"/>
            <w:shd w:fill="FFFFFF"/>
            <w:tcMar>
              <w:top w:w="80" w:type="dxa"/>
              <w:bottom w:w="80" w:type="dxa"/>
              <w:left w:w="120" w:type="dxa"/>
              <w:right w:w="120" w:type="dxa"/>
            </w:tcMar>
          </w:tcPr>
          <w:p>
            <w:pPr>
              <w:spacing w:before="0" w:after="0"/>
              <w:jc w:val="right"/>
            </w:pPr>
            <w:r>
              <w:rPr>
                <w:rFonts w:ascii="Calibri" w:hAnsi="Calibri"/>
                <w:b w:val="0"/>
                <w:color w:val="2D3748"/>
                <w:sz w:val="18"/>
              </w:rPr>
              <w:t>Rentabilidad extraordinaria sobre capital instalado (top 1% del sector).</w:t>
            </w:r>
          </w:p>
        </w:tc>
      </w:tr>
      <w:tr>
        <w:tc>
          <w:tcPr>
            <w:tcW w:type="dxa" w:w="2304"/>
            <w:shd w:fill="F7FAFC"/>
            <w:tcMar>
              <w:top w:w="80" w:type="dxa"/>
              <w:bottom w:w="80" w:type="dxa"/>
              <w:left w:w="120" w:type="dxa"/>
              <w:right w:w="120" w:type="dxa"/>
            </w:tcMar>
          </w:tcPr>
          <w:p>
            <w:pPr>
              <w:spacing w:before="0" w:after="0"/>
              <w:jc w:val="left"/>
            </w:pPr>
            <w:r>
              <w:rPr>
                <w:rFonts w:ascii="Calibri" w:hAnsi="Calibri"/>
                <w:b w:val="0"/>
                <w:color w:val="2D3748"/>
                <w:sz w:val="18"/>
              </w:rPr>
              <w:t>2. CFO Positivo</w:t>
            </w:r>
          </w:p>
        </w:tc>
        <w:tc>
          <w:tcPr>
            <w:tcW w:type="dxa" w:w="2016"/>
            <w:shd w:fill="F7FAFC"/>
            <w:tcMar>
              <w:top w:w="80" w:type="dxa"/>
              <w:bottom w:w="80" w:type="dxa"/>
              <w:left w:w="120" w:type="dxa"/>
              <w:right w:w="120" w:type="dxa"/>
            </w:tcMar>
          </w:tcPr>
          <w:p>
            <w:pPr>
              <w:spacing w:before="0" w:after="0"/>
              <w:jc w:val="right"/>
            </w:pPr>
            <w:r>
              <w:rPr>
                <w:rFonts w:ascii="Calibri" w:hAnsi="Calibri"/>
                <w:b w:val="0"/>
                <w:color w:val="2D3748"/>
                <w:sz w:val="18"/>
              </w:rPr>
              <w:t>Cash Flow Operativo &gt; 0</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$1,044.5 M (✅)</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$1,193.7 M (✅)</w:t>
            </w:r>
          </w:p>
        </w:tc>
        <w:tc>
          <w:tcPr>
            <w:tcW w:type="dxa" w:w="2304"/>
            <w:shd w:fill="F7FAFC"/>
            <w:tcMar>
              <w:top w:w="80" w:type="dxa"/>
              <w:bottom w:w="80" w:type="dxa"/>
              <w:left w:w="120" w:type="dxa"/>
              <w:right w:w="120" w:type="dxa"/>
            </w:tcMar>
          </w:tcPr>
          <w:p>
            <w:pPr>
              <w:spacing w:before="0" w:after="0"/>
              <w:jc w:val="right"/>
            </w:pPr>
            <w:r>
              <w:rPr>
                <w:rFonts w:ascii="Calibri" w:hAnsi="Calibri"/>
                <w:b w:val="0"/>
                <w:color w:val="2D3748"/>
                <w:sz w:val="18"/>
              </w:rPr>
              <w:t>Generación de efectivo récord para el ciclo operativo.</w:t>
            </w:r>
          </w:p>
        </w:tc>
      </w:tr>
      <w:tr>
        <w:tc>
          <w:tcPr>
            <w:tcW w:type="dxa" w:w="2304"/>
            <w:shd w:fill="FFFFFF"/>
            <w:tcMar>
              <w:top w:w="80" w:type="dxa"/>
              <w:bottom w:w="80" w:type="dxa"/>
              <w:left w:w="120" w:type="dxa"/>
              <w:right w:w="120" w:type="dxa"/>
            </w:tcMar>
          </w:tcPr>
          <w:p>
            <w:pPr>
              <w:spacing w:before="0" w:after="0"/>
              <w:jc w:val="left"/>
            </w:pPr>
            <w:r>
              <w:rPr>
                <w:rFonts w:ascii="Calibri" w:hAnsi="Calibri"/>
                <w:b w:val="0"/>
                <w:color w:val="2D3748"/>
                <w:sz w:val="18"/>
              </w:rPr>
              <w:t>3. Mejora de ROA</w:t>
            </w:r>
          </w:p>
        </w:tc>
        <w:tc>
          <w:tcPr>
            <w:tcW w:type="dxa" w:w="2016"/>
            <w:shd w:fill="FFFFFF"/>
            <w:tcMar>
              <w:top w:w="80" w:type="dxa"/>
              <w:bottom w:w="80" w:type="dxa"/>
              <w:left w:w="120" w:type="dxa"/>
              <w:right w:w="120" w:type="dxa"/>
            </w:tcMar>
          </w:tcPr>
          <w:p>
            <w:pPr>
              <w:spacing w:before="0" w:after="0"/>
              <w:jc w:val="right"/>
            </w:pPr>
            <w:r>
              <w:rPr>
                <w:rFonts w:ascii="Calibri" w:hAnsi="Calibri"/>
                <w:b w:val="0"/>
                <w:color w:val="2D3748"/>
                <w:sz w:val="18"/>
              </w:rPr>
              <w:t>Delta ROA &gt; 0%</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+1.1% (✅)</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-1.2% (❌)</w:t>
            </w:r>
          </w:p>
        </w:tc>
        <w:tc>
          <w:tcPr>
            <w:tcW w:type="dxa" w:w="2304"/>
            <w:shd w:fill="FFFFFF"/>
            <w:tcMar>
              <w:top w:w="80" w:type="dxa"/>
              <w:bottom w:w="80" w:type="dxa"/>
              <w:left w:w="120" w:type="dxa"/>
              <w:right w:w="120" w:type="dxa"/>
            </w:tcMar>
          </w:tcPr>
          <w:p>
            <w:pPr>
              <w:spacing w:before="0" w:after="0"/>
              <w:jc w:val="right"/>
            </w:pPr>
            <w:r>
              <w:rPr>
                <w:rFonts w:ascii="Calibri" w:hAnsi="Calibri"/>
                <w:b w:val="0"/>
                <w:color w:val="2D3748"/>
                <w:sz w:val="18"/>
              </w:rPr>
              <w:t>Leve moderación frente al pico de rentabilidad de FY25.</w:t>
            </w:r>
          </w:p>
        </w:tc>
      </w:tr>
      <w:tr>
        <w:tc>
          <w:tcPr>
            <w:tcW w:type="dxa" w:w="2304"/>
            <w:shd w:fill="F7FAFC"/>
            <w:tcMar>
              <w:top w:w="80" w:type="dxa"/>
              <w:bottom w:w="80" w:type="dxa"/>
              <w:left w:w="120" w:type="dxa"/>
              <w:right w:w="120" w:type="dxa"/>
            </w:tcMar>
          </w:tcPr>
          <w:p>
            <w:pPr>
              <w:spacing w:before="0" w:after="0"/>
              <w:jc w:val="left"/>
            </w:pPr>
            <w:r>
              <w:rPr>
                <w:rFonts w:ascii="Calibri" w:hAnsi="Calibri"/>
                <w:b w:val="0"/>
                <w:color w:val="2D3748"/>
                <w:sz w:val="18"/>
              </w:rPr>
              <w:t>4. Calidad Sloan</w:t>
            </w:r>
          </w:p>
        </w:tc>
        <w:tc>
          <w:tcPr>
            <w:tcW w:type="dxa" w:w="2016"/>
            <w:shd w:fill="F7FAFC"/>
            <w:tcMar>
              <w:top w:w="80" w:type="dxa"/>
              <w:bottom w:w="80" w:type="dxa"/>
              <w:left w:w="120" w:type="dxa"/>
              <w:right w:w="120" w:type="dxa"/>
            </w:tcMar>
          </w:tcPr>
          <w:p>
            <w:pPr>
              <w:spacing w:before="0" w:after="0"/>
              <w:jc w:val="right"/>
            </w:pPr>
            <w:r>
              <w:rPr>
                <w:rFonts w:ascii="Calibri" w:hAnsi="Calibri"/>
                <w:b w:val="0"/>
                <w:color w:val="2D3748"/>
                <w:sz w:val="18"/>
              </w:rPr>
              <w:t>CFO &gt; Net Income</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+$78.4 M (✅)</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+$178.9 M (✅)</w:t>
            </w:r>
          </w:p>
        </w:tc>
        <w:tc>
          <w:tcPr>
            <w:tcW w:type="dxa" w:w="2304"/>
            <w:shd w:fill="F7FAFC"/>
            <w:tcMar>
              <w:top w:w="80" w:type="dxa"/>
              <w:bottom w:w="80" w:type="dxa"/>
              <w:left w:w="120" w:type="dxa"/>
              <w:right w:w="120" w:type="dxa"/>
            </w:tcMar>
          </w:tcPr>
          <w:p>
            <w:pPr>
              <w:spacing w:before="0" w:after="0"/>
              <w:jc w:val="right"/>
            </w:pPr>
            <w:r>
              <w:rPr>
                <w:rFonts w:ascii="Calibri" w:hAnsi="Calibri"/>
                <w:b w:val="0"/>
                <w:color w:val="2D3748"/>
                <w:sz w:val="18"/>
              </w:rPr>
              <w:t>Beneficios 100% respaldados por efectivo contante (cero devengos agresivos).</w:t>
            </w:r>
          </w:p>
        </w:tc>
      </w:tr>
      <w:tr>
        <w:tc>
          <w:tcPr>
            <w:tcW w:type="dxa" w:w="2304"/>
            <w:shd w:fill="FFFFFF"/>
            <w:tcMar>
              <w:top w:w="80" w:type="dxa"/>
              <w:bottom w:w="80" w:type="dxa"/>
              <w:left w:w="120" w:type="dxa"/>
              <w:right w:w="120" w:type="dxa"/>
            </w:tcMar>
          </w:tcPr>
          <w:p>
            <w:pPr>
              <w:spacing w:before="0" w:after="0"/>
              <w:jc w:val="left"/>
            </w:pPr>
            <w:r>
              <w:rPr>
                <w:rFonts w:ascii="Calibri" w:hAnsi="Calibri"/>
                <w:b w:val="0"/>
                <w:color w:val="2D3748"/>
                <w:sz w:val="18"/>
              </w:rPr>
              <w:t>5. Desendeudamiento</w:t>
            </w:r>
          </w:p>
        </w:tc>
        <w:tc>
          <w:tcPr>
            <w:tcW w:type="dxa" w:w="2016"/>
            <w:shd w:fill="FFFFFF"/>
            <w:tcMar>
              <w:top w:w="80" w:type="dxa"/>
              <w:bottom w:w="80" w:type="dxa"/>
              <w:left w:w="120" w:type="dxa"/>
              <w:right w:w="120" w:type="dxa"/>
            </w:tcMar>
          </w:tcPr>
          <w:p>
            <w:pPr>
              <w:spacing w:before="0" w:after="0"/>
              <w:jc w:val="right"/>
            </w:pPr>
            <w:r>
              <w:rPr>
                <w:rFonts w:ascii="Calibri" w:hAnsi="Calibri"/>
                <w:b w:val="0"/>
                <w:color w:val="2D3748"/>
                <w:sz w:val="18"/>
              </w:rPr>
              <w:t>Delta Deuda Total &lt;= 0%</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0.0% (✅)</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0.0% (✅)</w:t>
            </w:r>
          </w:p>
        </w:tc>
        <w:tc>
          <w:tcPr>
            <w:tcW w:type="dxa" w:w="2304"/>
            <w:shd w:fill="FFFFFF"/>
            <w:tcMar>
              <w:top w:w="80" w:type="dxa"/>
              <w:bottom w:w="80" w:type="dxa"/>
              <w:left w:w="120" w:type="dxa"/>
              <w:right w:w="120" w:type="dxa"/>
            </w:tcMar>
          </w:tcPr>
          <w:p>
            <w:pPr>
              <w:spacing w:before="0" w:after="0"/>
              <w:jc w:val="right"/>
            </w:pPr>
            <w:r>
              <w:rPr>
                <w:rFonts w:ascii="Calibri" w:hAnsi="Calibri"/>
                <w:b w:val="0"/>
                <w:color w:val="2D3748"/>
                <w:sz w:val="18"/>
              </w:rPr>
              <w:t>Cero deuda financiera en balance; solvencia absoluta.</w:t>
            </w:r>
          </w:p>
        </w:tc>
      </w:tr>
      <w:tr>
        <w:tc>
          <w:tcPr>
            <w:tcW w:type="dxa" w:w="2304"/>
            <w:shd w:fill="F7FAFC"/>
            <w:tcMar>
              <w:top w:w="80" w:type="dxa"/>
              <w:bottom w:w="80" w:type="dxa"/>
              <w:left w:w="120" w:type="dxa"/>
              <w:right w:w="120" w:type="dxa"/>
            </w:tcMar>
          </w:tcPr>
          <w:p>
            <w:pPr>
              <w:spacing w:before="0" w:after="0"/>
              <w:jc w:val="left"/>
            </w:pPr>
            <w:r>
              <w:rPr>
                <w:rFonts w:ascii="Calibri" w:hAnsi="Calibri"/>
                <w:b w:val="0"/>
                <w:color w:val="2D3748"/>
                <w:sz w:val="18"/>
              </w:rPr>
              <w:t>6. Razón Corriente</w:t>
            </w:r>
          </w:p>
        </w:tc>
        <w:tc>
          <w:tcPr>
            <w:tcW w:type="dxa" w:w="2016"/>
            <w:shd w:fill="F7FAFC"/>
            <w:tcMar>
              <w:top w:w="80" w:type="dxa"/>
              <w:bottom w:w="80" w:type="dxa"/>
              <w:left w:w="120" w:type="dxa"/>
              <w:right w:w="120" w:type="dxa"/>
            </w:tcMar>
          </w:tcPr>
          <w:p>
            <w:pPr>
              <w:spacing w:before="0" w:after="0"/>
              <w:jc w:val="right"/>
            </w:pPr>
            <w:r>
              <w:rPr>
                <w:rFonts w:ascii="Calibri" w:hAnsi="Calibri"/>
                <w:b w:val="0"/>
                <w:color w:val="2D3748"/>
                <w:sz w:val="18"/>
              </w:rPr>
              <w:t>Delta Current Ratio &gt; 0</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+0.32x (✅)</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-0.80x (❌)</w:t>
            </w:r>
          </w:p>
        </w:tc>
        <w:tc>
          <w:tcPr>
            <w:tcW w:type="dxa" w:w="2304"/>
            <w:shd w:fill="F7FAFC"/>
            <w:tcMar>
              <w:top w:w="80" w:type="dxa"/>
              <w:bottom w:w="80" w:type="dxa"/>
              <w:left w:w="120" w:type="dxa"/>
              <w:right w:w="120" w:type="dxa"/>
            </w:tcMar>
          </w:tcPr>
          <w:p>
            <w:pPr>
              <w:spacing w:before="0" w:after="0"/>
              <w:jc w:val="right"/>
            </w:pPr>
            <w:r>
              <w:rPr>
                <w:rFonts w:ascii="Calibri" w:hAnsi="Calibri"/>
                <w:b w:val="0"/>
                <w:color w:val="2D3748"/>
                <w:sz w:val="18"/>
              </w:rPr>
              <w:t>CR en 2.75x; dip estacional por capital de trabajo en Q1.</w:t>
            </w:r>
          </w:p>
        </w:tc>
      </w:tr>
      <w:tr>
        <w:tc>
          <w:tcPr>
            <w:tcW w:type="dxa" w:w="2304"/>
            <w:shd w:fill="FFFFFF"/>
            <w:tcMar>
              <w:top w:w="80" w:type="dxa"/>
              <w:bottom w:w="80" w:type="dxa"/>
              <w:left w:w="120" w:type="dxa"/>
              <w:right w:w="120" w:type="dxa"/>
            </w:tcMar>
          </w:tcPr>
          <w:p>
            <w:pPr>
              <w:spacing w:before="0" w:after="0"/>
              <w:jc w:val="left"/>
            </w:pPr>
            <w:r>
              <w:rPr>
                <w:rFonts w:ascii="Calibri" w:hAnsi="Calibri"/>
                <w:b w:val="0"/>
                <w:color w:val="2D3748"/>
                <w:sz w:val="18"/>
              </w:rPr>
              <w:t>7. Cero Dilución</w:t>
            </w:r>
          </w:p>
        </w:tc>
        <w:tc>
          <w:tcPr>
            <w:tcW w:type="dxa" w:w="2016"/>
            <w:shd w:fill="FFFFFF"/>
            <w:tcMar>
              <w:top w:w="80" w:type="dxa"/>
              <w:bottom w:w="80" w:type="dxa"/>
              <w:left w:w="120" w:type="dxa"/>
              <w:right w:w="120" w:type="dxa"/>
            </w:tcMar>
          </w:tcPr>
          <w:p>
            <w:pPr>
              <w:spacing w:before="0" w:after="0"/>
              <w:jc w:val="right"/>
            </w:pPr>
            <w:r>
              <w:rPr>
                <w:rFonts w:ascii="Calibri" w:hAnsi="Calibri"/>
                <w:b w:val="0"/>
                <w:color w:val="2D3748"/>
                <w:sz w:val="18"/>
              </w:rPr>
              <w:t>Delta Acciones Básicas &lt;= 0</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-3.5M (✅)</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-7.2M (✅)</w:t>
            </w:r>
          </w:p>
        </w:tc>
        <w:tc>
          <w:tcPr>
            <w:tcW w:type="dxa" w:w="2304"/>
            <w:shd w:fill="FFFFFF"/>
            <w:tcMar>
              <w:top w:w="80" w:type="dxa"/>
              <w:bottom w:w="80" w:type="dxa"/>
              <w:left w:w="120" w:type="dxa"/>
              <w:right w:w="120" w:type="dxa"/>
            </w:tcMar>
          </w:tcPr>
          <w:p>
            <w:pPr>
              <w:spacing w:before="0" w:after="0"/>
              <w:jc w:val="right"/>
            </w:pPr>
            <w:r>
              <w:rPr>
                <w:rFonts w:ascii="Calibri" w:hAnsi="Calibri"/>
                <w:b w:val="0"/>
                <w:color w:val="2D3748"/>
                <w:sz w:val="18"/>
              </w:rPr>
              <w:t>Recompra neta de 7.2M acciones; sin dilución accionarial.</w:t>
            </w:r>
          </w:p>
        </w:tc>
      </w:tr>
      <w:tr>
        <w:tc>
          <w:tcPr>
            <w:tcW w:type="dxa" w:w="2304"/>
            <w:shd w:fill="F7FAFC"/>
            <w:tcMar>
              <w:top w:w="80" w:type="dxa"/>
              <w:bottom w:w="80" w:type="dxa"/>
              <w:left w:w="120" w:type="dxa"/>
              <w:right w:w="120" w:type="dxa"/>
            </w:tcMar>
          </w:tcPr>
          <w:p>
            <w:pPr>
              <w:spacing w:before="0" w:after="0"/>
              <w:jc w:val="left"/>
            </w:pPr>
            <w:r>
              <w:rPr>
                <w:rFonts w:ascii="Calibri" w:hAnsi="Calibri"/>
                <w:b w:val="0"/>
                <w:color w:val="2D3748"/>
                <w:sz w:val="18"/>
              </w:rPr>
              <w:t>8. Margen Bruto</w:t>
            </w:r>
          </w:p>
        </w:tc>
        <w:tc>
          <w:tcPr>
            <w:tcW w:type="dxa" w:w="2016"/>
            <w:shd w:fill="F7FAFC"/>
            <w:tcMar>
              <w:top w:w="80" w:type="dxa"/>
              <w:bottom w:w="80" w:type="dxa"/>
              <w:left w:w="120" w:type="dxa"/>
              <w:right w:w="120" w:type="dxa"/>
            </w:tcMar>
          </w:tcPr>
          <w:p>
            <w:pPr>
              <w:spacing w:before="0" w:after="0"/>
              <w:jc w:val="right"/>
            </w:pPr>
            <w:r>
              <w:rPr>
                <w:rFonts w:ascii="Calibri" w:hAnsi="Calibri"/>
                <w:b w:val="0"/>
                <w:color w:val="2D3748"/>
                <w:sz w:val="18"/>
              </w:rPr>
              <w:t>Delta Margen Bruto &gt; 0</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+2.2% (✅)</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+0.1% (✅)</w:t>
            </w:r>
          </w:p>
        </w:tc>
        <w:tc>
          <w:tcPr>
            <w:tcW w:type="dxa" w:w="2304"/>
            <w:shd w:fill="F7FAFC"/>
            <w:tcMar>
              <w:top w:w="80" w:type="dxa"/>
              <w:bottom w:w="80" w:type="dxa"/>
              <w:left w:w="120" w:type="dxa"/>
              <w:right w:w="120" w:type="dxa"/>
            </w:tcMar>
          </w:tcPr>
          <w:p>
            <w:pPr>
              <w:spacing w:before="0" w:after="0"/>
              <w:jc w:val="right"/>
            </w:pPr>
            <w:r>
              <w:rPr>
                <w:rFonts w:ascii="Calibri" w:hAnsi="Calibri"/>
                <w:b w:val="0"/>
                <w:color w:val="2D3748"/>
                <w:sz w:val="18"/>
              </w:rPr>
              <w:t>Poder de fijación de precios y margen bruto récord de 57.80%.</w:t>
            </w:r>
          </w:p>
        </w:tc>
      </w:tr>
      <w:tr>
        <w:tc>
          <w:tcPr>
            <w:tcW w:type="dxa" w:w="2304"/>
            <w:shd w:fill="FFFFFF"/>
            <w:tcMar>
              <w:top w:w="80" w:type="dxa"/>
              <w:bottom w:w="80" w:type="dxa"/>
              <w:left w:w="120" w:type="dxa"/>
              <w:right w:w="120" w:type="dxa"/>
            </w:tcMar>
          </w:tcPr>
          <w:p>
            <w:pPr>
              <w:spacing w:before="0" w:after="0"/>
              <w:jc w:val="left"/>
            </w:pPr>
            <w:r>
              <w:rPr>
                <w:rFonts w:ascii="Calibri" w:hAnsi="Calibri"/>
                <w:b w:val="0"/>
                <w:color w:val="2D3748"/>
                <w:sz w:val="18"/>
              </w:rPr>
              <w:t>9. Rotación Activos</w:t>
            </w:r>
          </w:p>
        </w:tc>
        <w:tc>
          <w:tcPr>
            <w:tcW w:type="dxa" w:w="2016"/>
            <w:shd w:fill="FFFFFF"/>
            <w:tcMar>
              <w:top w:w="80" w:type="dxa"/>
              <w:bottom w:w="80" w:type="dxa"/>
              <w:left w:w="120" w:type="dxa"/>
              <w:right w:w="120" w:type="dxa"/>
            </w:tcMar>
          </w:tcPr>
          <w:p>
            <w:pPr>
              <w:spacing w:before="0" w:after="0"/>
              <w:jc w:val="right"/>
            </w:pPr>
            <w:r>
              <w:rPr>
                <w:rFonts w:ascii="Calibri" w:hAnsi="Calibri"/>
                <w:b w:val="0"/>
                <w:color w:val="2D3748"/>
                <w:sz w:val="18"/>
              </w:rPr>
              <w:t>Delta Asset Turnover &gt; 0</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-0.09x (❌)</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-0.03x (❌)</w:t>
            </w:r>
          </w:p>
        </w:tc>
        <w:tc>
          <w:tcPr>
            <w:tcW w:type="dxa" w:w="2304"/>
            <w:shd w:fill="FFFFFF"/>
            <w:tcMar>
              <w:top w:w="80" w:type="dxa"/>
              <w:bottom w:w="80" w:type="dxa"/>
              <w:left w:w="120" w:type="dxa"/>
              <w:right w:w="120" w:type="dxa"/>
            </w:tcMar>
          </w:tcPr>
          <w:p>
            <w:pPr>
              <w:spacing w:before="0" w:after="0"/>
              <w:jc w:val="right"/>
            </w:pPr>
            <w:r>
              <w:rPr>
                <w:rFonts w:ascii="Calibri" w:hAnsi="Calibri"/>
                <w:b w:val="0"/>
                <w:color w:val="2D3748"/>
                <w:sz w:val="18"/>
              </w:rPr>
              <w:t>Rotación se mantiene elevada en 1.50x.</w:t>
            </w:r>
          </w:p>
        </w:tc>
      </w:tr>
      <w:tr>
        <w:tc>
          <w:tcPr>
            <w:tcW w:type="dxa" w:w="2304"/>
            <w:shd w:fill="F7FAFC"/>
            <w:tcMar>
              <w:top w:w="80" w:type="dxa"/>
              <w:bottom w:w="80" w:type="dxa"/>
              <w:left w:w="120" w:type="dxa"/>
              <w:right w:w="120" w:type="dxa"/>
            </w:tcMar>
          </w:tcPr>
          <w:p>
            <w:pPr>
              <w:spacing w:before="0" w:after="0"/>
              <w:jc w:val="left"/>
            </w:pPr>
            <w:r>
              <w:rPr>
                <w:rFonts w:ascii="Calibri" w:hAnsi="Calibri"/>
                <w:b/>
                <w:color w:val="1B365D"/>
                <w:sz w:val="18"/>
              </w:rPr>
              <w:t>TOTAL F-SCORE</w:t>
            </w:r>
          </w:p>
        </w:tc>
        <w:tc>
          <w:tcPr>
            <w:tcW w:type="dxa" w:w="2016"/>
            <w:shd w:fill="F7FAFC"/>
            <w:tcMar>
              <w:top w:w="80" w:type="dxa"/>
              <w:bottom w:w="80" w:type="dxa"/>
              <w:left w:w="120" w:type="dxa"/>
              <w:right w:w="120" w:type="dxa"/>
            </w:tcMar>
          </w:tcPr>
          <w:p>
            <w:pPr>
              <w:spacing w:before="0" w:after="0"/>
              <w:jc w:val="right"/>
            </w:pPr>
            <w:r>
              <w:rPr>
                <w:rFonts w:ascii="Calibri" w:hAnsi="Calibri"/>
                <w:b/>
                <w:color w:val="1B365D"/>
                <w:sz w:val="18"/>
              </w:rPr>
              <w:t>Escala 0 a 9 Puntos</w:t>
            </w:r>
          </w:p>
        </w:tc>
        <w:tc>
          <w:tcPr>
            <w:tcW w:type="dxa" w:w="1584"/>
            <w:shd w:fill="F7FAFC"/>
            <w:tcMar>
              <w:top w:w="80" w:type="dxa"/>
              <w:bottom w:w="80" w:type="dxa"/>
              <w:left w:w="120" w:type="dxa"/>
              <w:right w:w="120" w:type="dxa"/>
            </w:tcMar>
          </w:tcPr>
          <w:p>
            <w:pPr>
              <w:spacing w:before="0" w:after="0"/>
              <w:jc w:val="right"/>
            </w:pPr>
            <w:r>
              <w:rPr>
                <w:rFonts w:ascii="Calibri" w:hAnsi="Calibri"/>
                <w:b/>
                <w:color w:val="1B365D"/>
                <w:sz w:val="18"/>
              </w:rPr>
              <w:t>7 / 9 Ptos</w:t>
            </w:r>
          </w:p>
        </w:tc>
        <w:tc>
          <w:tcPr>
            <w:tcW w:type="dxa" w:w="1584"/>
            <w:shd w:fill="F7FAFC"/>
            <w:tcMar>
              <w:top w:w="80" w:type="dxa"/>
              <w:bottom w:w="80" w:type="dxa"/>
              <w:left w:w="120" w:type="dxa"/>
              <w:right w:w="120" w:type="dxa"/>
            </w:tcMar>
          </w:tcPr>
          <w:p>
            <w:pPr>
              <w:spacing w:before="0" w:after="0"/>
              <w:jc w:val="right"/>
            </w:pPr>
            <w:r>
              <w:rPr>
                <w:rFonts w:ascii="Calibri" w:hAnsi="Calibri"/>
                <w:b/>
                <w:color w:val="1B365D"/>
                <w:sz w:val="18"/>
              </w:rPr>
              <w:t>6 / 9 Ptos</w:t>
            </w:r>
          </w:p>
        </w:tc>
        <w:tc>
          <w:tcPr>
            <w:tcW w:type="dxa" w:w="2304"/>
            <w:shd w:fill="F7FAFC"/>
            <w:tcMar>
              <w:top w:w="80" w:type="dxa"/>
              <w:bottom w:w="80" w:type="dxa"/>
              <w:left w:w="120" w:type="dxa"/>
              <w:right w:w="120" w:type="dxa"/>
            </w:tcMar>
          </w:tcPr>
          <w:p>
            <w:pPr>
              <w:spacing w:before="0" w:after="0"/>
              <w:jc w:val="right"/>
            </w:pPr>
            <w:r>
              <w:rPr>
                <w:rFonts w:ascii="Calibri" w:hAnsi="Calibri"/>
                <w:b/>
                <w:color w:val="1B365D"/>
                <w:sz w:val="18"/>
              </w:rPr>
              <w:t>SALUD FINANCIERA SÓLIDA / BLINDADA</w:t>
            </w:r>
          </w:p>
        </w:tc>
      </w:tr>
    </w:tbl>
    <w:p>
      <w:pPr>
        <w:spacing w:after="120"/>
      </w:pPr>
    </w:p>
    <w:p>
      <w:pPr>
        <w:keepNext/>
        <w:spacing w:before="240" w:after="80"/>
      </w:pPr>
      <w:r>
        <w:rPr>
          <w:rFonts w:ascii="Calibri" w:hAnsi="Calibri"/>
          <w:b/>
          <w:color w:val="4A5568"/>
          <w:sz w:val="24"/>
        </w:rPr>
        <w:t>Mohanram G-Score (Calidad de Crecimiento vs. Industria de Calzado SIC 3021):</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958"/>
        <w:gridCol w:w="1958"/>
        <w:gridCol w:w="1958"/>
        <w:gridCol w:w="1958"/>
        <w:gridCol w:w="195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Señal de Crecimiento</w:t>
            </w:r>
          </w:p>
        </w:tc>
        <w:tc>
          <w:tcPr>
            <w:tcW w:type="dxa" w:w="2160"/>
            <w:shd w:fill="1B365D"/>
            <w:tcMar>
              <w:top w:w="100" w:type="dxa"/>
              <w:bottom w:w="100" w:type="dxa"/>
              <w:left w:w="120" w:type="dxa"/>
              <w:right w:w="120" w:type="dxa"/>
            </w:tcMar>
          </w:tcPr>
          <w:p>
            <w:pPr>
              <w:spacing w:before="0" w:after="0"/>
              <w:jc w:val="right"/>
            </w:pPr>
            <w:r>
              <w:rPr>
                <w:rFonts w:ascii="Calibri" w:hAnsi="Calibri"/>
                <w:b/>
                <w:color w:val="FFFFFF"/>
                <w:sz w:val="19"/>
              </w:rPr>
              <w:t>Benchmark Sectorial (SIC 3021)</w:t>
            </w:r>
          </w:p>
        </w:tc>
        <w:tc>
          <w:tcPr>
            <w:tcW w:type="dxa" w:w="1584"/>
            <w:shd w:fill="1B365D"/>
            <w:tcMar>
              <w:top w:w="100" w:type="dxa"/>
              <w:bottom w:w="100" w:type="dxa"/>
              <w:left w:w="120" w:type="dxa"/>
              <w:right w:w="120" w:type="dxa"/>
            </w:tcMar>
          </w:tcPr>
          <w:p>
            <w:pPr>
              <w:spacing w:before="0" w:after="0"/>
              <w:jc w:val="right"/>
            </w:pPr>
            <w:r>
              <w:rPr>
                <w:rFonts w:ascii="Calibri" w:hAnsi="Calibri"/>
                <w:b/>
                <w:color w:val="FFFFFF"/>
                <w:sz w:val="19"/>
              </w:rPr>
              <w:t>FY2026</w:t>
            </w:r>
          </w:p>
        </w:tc>
        <w:tc>
          <w:tcPr>
            <w:tcW w:type="dxa" w:w="1584"/>
            <w:shd w:fill="1B365D"/>
            <w:tcMar>
              <w:top w:w="100" w:type="dxa"/>
              <w:bottom w:w="100" w:type="dxa"/>
              <w:left w:w="120" w:type="dxa"/>
              <w:right w:w="120" w:type="dxa"/>
            </w:tcMar>
          </w:tcPr>
          <w:p>
            <w:pPr>
              <w:spacing w:before="0" w:after="0"/>
              <w:jc w:val="right"/>
            </w:pPr>
            <w:r>
              <w:rPr>
                <w:rFonts w:ascii="Calibri" w:hAnsi="Calibri"/>
                <w:b/>
                <w:color w:val="FFFFFF"/>
                <w:sz w:val="19"/>
              </w:rPr>
              <w:t>LTM</w:t>
            </w:r>
          </w:p>
        </w:tc>
        <w:tc>
          <w:tcPr>
            <w:tcW w:type="dxa" w:w="2160"/>
            <w:shd w:fill="1B365D"/>
            <w:tcMar>
              <w:top w:w="100" w:type="dxa"/>
              <w:bottom w:w="100" w:type="dxa"/>
              <w:left w:w="120" w:type="dxa"/>
              <w:right w:w="120" w:type="dxa"/>
            </w:tcMar>
          </w:tcPr>
          <w:p>
            <w:pPr>
              <w:spacing w:before="0" w:after="0"/>
              <w:jc w:val="right"/>
            </w:pPr>
            <w:r>
              <w:rPr>
                <w:rFonts w:ascii="Calibri" w:hAnsi="Calibri"/>
                <w:b/>
                <w:color w:val="FFFFFF"/>
                <w:sz w:val="19"/>
              </w:rPr>
              <w:t>Diagnóstico Estratégico</w:t>
            </w:r>
          </w:p>
        </w:tc>
      </w:tr>
      <w:tr>
        <w:tc>
          <w:tcPr>
            <w:tcW w:type="dxa" w:w="2304"/>
            <w:shd w:fill="FFFFFF"/>
            <w:tcMar>
              <w:top w:w="80" w:type="dxa"/>
              <w:bottom w:w="80" w:type="dxa"/>
              <w:left w:w="120" w:type="dxa"/>
              <w:right w:w="120" w:type="dxa"/>
            </w:tcMar>
          </w:tcPr>
          <w:p>
            <w:pPr>
              <w:spacing w:before="0" w:after="0"/>
              <w:jc w:val="left"/>
            </w:pPr>
            <w:r>
              <w:rPr>
                <w:rFonts w:ascii="Calibri" w:hAnsi="Calibri"/>
                <w:b w:val="0"/>
                <w:color w:val="2D3748"/>
                <w:sz w:val="18"/>
              </w:rPr>
              <w:t>1. ROA vs Mediana</w:t>
            </w:r>
          </w:p>
        </w:tc>
        <w:tc>
          <w:tcPr>
            <w:tcW w:type="dxa" w:w="2160"/>
            <w:shd w:fill="FFFFFF"/>
            <w:tcMar>
              <w:top w:w="80" w:type="dxa"/>
              <w:bottom w:w="80" w:type="dxa"/>
              <w:left w:w="120" w:type="dxa"/>
              <w:right w:w="120" w:type="dxa"/>
            </w:tcMar>
          </w:tcPr>
          <w:p>
            <w:pPr>
              <w:spacing w:before="0" w:after="0"/>
              <w:jc w:val="right"/>
            </w:pPr>
            <w:r>
              <w:rPr>
                <w:rFonts w:ascii="Calibri" w:hAnsi="Calibri"/>
                <w:b w:val="0"/>
                <w:color w:val="2D3748"/>
                <w:sz w:val="18"/>
              </w:rPr>
              <w:t>Mediana Sector Calzado (7.83%)</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28.7% (✅)</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27.5% (✅)</w:t>
            </w:r>
          </w:p>
        </w:tc>
        <w:tc>
          <w:tcPr>
            <w:tcW w:type="dxa" w:w="2160"/>
            <w:shd w:fill="FFFFFF"/>
            <w:tcMar>
              <w:top w:w="80" w:type="dxa"/>
              <w:bottom w:w="80" w:type="dxa"/>
              <w:left w:w="120" w:type="dxa"/>
              <w:right w:w="120" w:type="dxa"/>
            </w:tcMar>
          </w:tcPr>
          <w:p>
            <w:pPr>
              <w:spacing w:before="0" w:after="0"/>
              <w:jc w:val="right"/>
            </w:pPr>
            <w:r>
              <w:rPr>
                <w:rFonts w:ascii="Calibri" w:hAnsi="Calibri"/>
                <w:b w:val="0"/>
                <w:color w:val="2D3748"/>
                <w:sz w:val="18"/>
              </w:rPr>
              <w:t>Rentabilidad más que triplica a la media de la industria.</w:t>
            </w:r>
          </w:p>
        </w:tc>
      </w:tr>
      <w:tr>
        <w:tc>
          <w:tcPr>
            <w:tcW w:type="dxa" w:w="2304"/>
            <w:shd w:fill="F7FAFC"/>
            <w:tcMar>
              <w:top w:w="80" w:type="dxa"/>
              <w:bottom w:w="80" w:type="dxa"/>
              <w:left w:w="120" w:type="dxa"/>
              <w:right w:w="120" w:type="dxa"/>
            </w:tcMar>
          </w:tcPr>
          <w:p>
            <w:pPr>
              <w:spacing w:before="0" w:after="0"/>
              <w:jc w:val="left"/>
            </w:pPr>
            <w:r>
              <w:rPr>
                <w:rFonts w:ascii="Calibri" w:hAnsi="Calibri"/>
                <w:b w:val="0"/>
                <w:color w:val="2D3748"/>
                <w:sz w:val="18"/>
              </w:rPr>
              <w:t>2. CFROA vs Mediana</w:t>
            </w:r>
          </w:p>
        </w:tc>
        <w:tc>
          <w:tcPr>
            <w:tcW w:type="dxa" w:w="2160"/>
            <w:shd w:fill="F7FAFC"/>
            <w:tcMar>
              <w:top w:w="80" w:type="dxa"/>
              <w:bottom w:w="80" w:type="dxa"/>
              <w:left w:w="120" w:type="dxa"/>
              <w:right w:w="120" w:type="dxa"/>
            </w:tcMar>
          </w:tcPr>
          <w:p>
            <w:pPr>
              <w:spacing w:before="0" w:after="0"/>
              <w:jc w:val="right"/>
            </w:pPr>
            <w:r>
              <w:rPr>
                <w:rFonts w:ascii="Calibri" w:hAnsi="Calibri"/>
                <w:b w:val="0"/>
                <w:color w:val="2D3748"/>
                <w:sz w:val="18"/>
              </w:rPr>
              <w:t>Mediana Sector Calzado (8.33%)</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33.1% (✅)</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32.4% (✅)</w:t>
            </w:r>
          </w:p>
        </w:tc>
        <w:tc>
          <w:tcPr>
            <w:tcW w:type="dxa" w:w="2160"/>
            <w:shd w:fill="F7FAFC"/>
            <w:tcMar>
              <w:top w:w="80" w:type="dxa"/>
              <w:bottom w:w="80" w:type="dxa"/>
              <w:left w:w="120" w:type="dxa"/>
              <w:right w:w="120" w:type="dxa"/>
            </w:tcMar>
          </w:tcPr>
          <w:p>
            <w:pPr>
              <w:spacing w:before="0" w:after="0"/>
              <w:jc w:val="right"/>
            </w:pPr>
            <w:r>
              <w:rPr>
                <w:rFonts w:ascii="Calibri" w:hAnsi="Calibri"/>
                <w:b w:val="0"/>
                <w:color w:val="2D3748"/>
                <w:sz w:val="18"/>
              </w:rPr>
              <w:t>Generación operativa de caja casi cuadruplica la mediana.</w:t>
            </w:r>
          </w:p>
        </w:tc>
      </w:tr>
      <w:tr>
        <w:tc>
          <w:tcPr>
            <w:tcW w:type="dxa" w:w="2304"/>
            <w:shd w:fill="FFFFFF"/>
            <w:tcMar>
              <w:top w:w="80" w:type="dxa"/>
              <w:bottom w:w="80" w:type="dxa"/>
              <w:left w:w="120" w:type="dxa"/>
              <w:right w:w="120" w:type="dxa"/>
            </w:tcMar>
          </w:tcPr>
          <w:p>
            <w:pPr>
              <w:spacing w:before="0" w:after="0"/>
              <w:jc w:val="left"/>
            </w:pPr>
            <w:r>
              <w:rPr>
                <w:rFonts w:ascii="Calibri" w:hAnsi="Calibri"/>
                <w:b w:val="0"/>
                <w:color w:val="2D3748"/>
                <w:sz w:val="18"/>
              </w:rPr>
              <w:t>3. Calidad Contable</w:t>
            </w:r>
          </w:p>
        </w:tc>
        <w:tc>
          <w:tcPr>
            <w:tcW w:type="dxa" w:w="2160"/>
            <w:shd w:fill="FFFFFF"/>
            <w:tcMar>
              <w:top w:w="80" w:type="dxa"/>
              <w:bottom w:w="80" w:type="dxa"/>
              <w:left w:w="120" w:type="dxa"/>
              <w:right w:w="120" w:type="dxa"/>
            </w:tcMar>
          </w:tcPr>
          <w:p>
            <w:pPr>
              <w:spacing w:before="0" w:after="0"/>
              <w:jc w:val="right"/>
            </w:pPr>
            <w:r>
              <w:rPr>
                <w:rFonts w:ascii="Calibri" w:hAnsi="Calibri"/>
                <w:b w:val="0"/>
                <w:color w:val="2D3748"/>
                <w:sz w:val="18"/>
              </w:rPr>
              <w:t>CFO &gt; Net Income</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Pasó (✅)</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Pasó (✅)</w:t>
            </w:r>
          </w:p>
        </w:tc>
        <w:tc>
          <w:tcPr>
            <w:tcW w:type="dxa" w:w="2160"/>
            <w:shd w:fill="FFFFFF"/>
            <w:tcMar>
              <w:top w:w="80" w:type="dxa"/>
              <w:bottom w:w="80" w:type="dxa"/>
              <w:left w:w="120" w:type="dxa"/>
              <w:right w:w="120" w:type="dxa"/>
            </w:tcMar>
          </w:tcPr>
          <w:p>
            <w:pPr>
              <w:spacing w:before="0" w:after="0"/>
              <w:jc w:val="right"/>
            </w:pPr>
            <w:r>
              <w:rPr>
                <w:rFonts w:ascii="Calibri" w:hAnsi="Calibri"/>
                <w:b w:val="0"/>
                <w:color w:val="2D3748"/>
                <w:sz w:val="18"/>
              </w:rPr>
              <w:t>Caja operativa excede el beneficio neto en $178.9M.</w:t>
            </w:r>
          </w:p>
        </w:tc>
      </w:tr>
      <w:tr>
        <w:tc>
          <w:tcPr>
            <w:tcW w:type="dxa" w:w="2304"/>
            <w:shd w:fill="F7FAFC"/>
            <w:tcMar>
              <w:top w:w="80" w:type="dxa"/>
              <w:bottom w:w="80" w:type="dxa"/>
              <w:left w:w="120" w:type="dxa"/>
              <w:right w:w="120" w:type="dxa"/>
            </w:tcMar>
          </w:tcPr>
          <w:p>
            <w:pPr>
              <w:spacing w:before="0" w:after="0"/>
              <w:jc w:val="left"/>
            </w:pPr>
            <w:r>
              <w:rPr>
                <w:rFonts w:ascii="Calibri" w:hAnsi="Calibri"/>
                <w:b w:val="0"/>
                <w:color w:val="2D3748"/>
                <w:sz w:val="18"/>
              </w:rPr>
              <w:t>4. Estabilidad ROA</w:t>
            </w:r>
          </w:p>
        </w:tc>
        <w:tc>
          <w:tcPr>
            <w:tcW w:type="dxa" w:w="2160"/>
            <w:shd w:fill="F7FAFC"/>
            <w:tcMar>
              <w:top w:w="80" w:type="dxa"/>
              <w:bottom w:w="80" w:type="dxa"/>
              <w:left w:w="120" w:type="dxa"/>
              <w:right w:w="120" w:type="dxa"/>
            </w:tcMar>
          </w:tcPr>
          <w:p>
            <w:pPr>
              <w:spacing w:before="0" w:after="0"/>
              <w:jc w:val="right"/>
            </w:pPr>
            <w:r>
              <w:rPr>
                <w:rFonts w:ascii="Calibri" w:hAnsi="Calibri"/>
                <w:b w:val="0"/>
                <w:color w:val="2D3748"/>
                <w:sz w:val="18"/>
              </w:rPr>
              <w:t>CV &lt; 0.35 o P75 (10.11%)</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Pasó (✅)</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Pasó (✅)</w:t>
            </w:r>
          </w:p>
        </w:tc>
        <w:tc>
          <w:tcPr>
            <w:tcW w:type="dxa" w:w="2160"/>
            <w:shd w:fill="F7FAFC"/>
            <w:tcMar>
              <w:top w:w="80" w:type="dxa"/>
              <w:bottom w:w="80" w:type="dxa"/>
              <w:left w:w="120" w:type="dxa"/>
              <w:right w:w="120" w:type="dxa"/>
            </w:tcMar>
          </w:tcPr>
          <w:p>
            <w:pPr>
              <w:spacing w:before="0" w:after="0"/>
              <w:jc w:val="right"/>
            </w:pPr>
            <w:r>
              <w:rPr>
                <w:rFonts w:ascii="Calibri" w:hAnsi="Calibri"/>
                <w:b w:val="0"/>
                <w:color w:val="2D3748"/>
                <w:sz w:val="18"/>
              </w:rPr>
              <w:t>ROA persistentemente anclado en el Percentil 75 líder (27.5%).</w:t>
            </w:r>
          </w:p>
        </w:tc>
      </w:tr>
      <w:tr>
        <w:tc>
          <w:tcPr>
            <w:tcW w:type="dxa" w:w="2304"/>
            <w:shd w:fill="FFFFFF"/>
            <w:tcMar>
              <w:top w:w="80" w:type="dxa"/>
              <w:bottom w:w="80" w:type="dxa"/>
              <w:left w:w="120" w:type="dxa"/>
              <w:right w:w="120" w:type="dxa"/>
            </w:tcMar>
          </w:tcPr>
          <w:p>
            <w:pPr>
              <w:spacing w:before="0" w:after="0"/>
              <w:jc w:val="left"/>
            </w:pPr>
            <w:r>
              <w:rPr>
                <w:rFonts w:ascii="Calibri" w:hAnsi="Calibri"/>
                <w:b w:val="0"/>
                <w:color w:val="2D3748"/>
                <w:sz w:val="18"/>
              </w:rPr>
              <w:t>5. Estabilidad Ventas</w:t>
            </w:r>
          </w:p>
        </w:tc>
        <w:tc>
          <w:tcPr>
            <w:tcW w:type="dxa" w:w="2160"/>
            <w:shd w:fill="FFFFFF"/>
            <w:tcMar>
              <w:top w:w="80" w:type="dxa"/>
              <w:bottom w:w="80" w:type="dxa"/>
              <w:left w:w="120" w:type="dxa"/>
              <w:right w:w="120" w:type="dxa"/>
            </w:tcMar>
          </w:tcPr>
          <w:p>
            <w:pPr>
              <w:spacing w:before="0" w:after="0"/>
              <w:jc w:val="right"/>
            </w:pPr>
            <w:r>
              <w:rPr>
                <w:rFonts w:ascii="Calibri" w:hAnsi="Calibri"/>
                <w:b w:val="0"/>
                <w:color w:val="2D3748"/>
                <w:sz w:val="18"/>
              </w:rPr>
              <w:t>CV &lt; 0.40 o Crecimiento &gt;= 20%</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Pasó (✅)</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Pasó (✅)</w:t>
            </w:r>
          </w:p>
        </w:tc>
        <w:tc>
          <w:tcPr>
            <w:tcW w:type="dxa" w:w="2160"/>
            <w:shd w:fill="FFFFFF"/>
            <w:tcMar>
              <w:top w:w="80" w:type="dxa"/>
              <w:bottom w:w="80" w:type="dxa"/>
              <w:left w:w="120" w:type="dxa"/>
              <w:right w:w="120" w:type="dxa"/>
            </w:tcMar>
          </w:tcPr>
          <w:p>
            <w:pPr>
              <w:spacing w:before="0" w:after="0"/>
              <w:jc w:val="right"/>
            </w:pPr>
            <w:r>
              <w:rPr>
                <w:rFonts w:ascii="Calibri" w:hAnsi="Calibri"/>
                <w:b w:val="0"/>
                <w:color w:val="2D3748"/>
                <w:sz w:val="18"/>
              </w:rPr>
              <w:t>Crecimiento sostenido con hipercrecimiento en HOKA.</w:t>
            </w:r>
          </w:p>
        </w:tc>
      </w:tr>
      <w:tr>
        <w:tc>
          <w:tcPr>
            <w:tcW w:type="dxa" w:w="2304"/>
            <w:shd w:fill="F7FAFC"/>
            <w:tcMar>
              <w:top w:w="80" w:type="dxa"/>
              <w:bottom w:w="80" w:type="dxa"/>
              <w:left w:w="120" w:type="dxa"/>
              <w:right w:w="120" w:type="dxa"/>
            </w:tcMar>
          </w:tcPr>
          <w:p>
            <w:pPr>
              <w:spacing w:before="0" w:after="0"/>
              <w:jc w:val="left"/>
            </w:pPr>
            <w:r>
              <w:rPr>
                <w:rFonts w:ascii="Calibri" w:hAnsi="Calibri"/>
                <w:b w:val="0"/>
                <w:color w:val="2D3748"/>
                <w:sz w:val="18"/>
              </w:rPr>
              <w:t>6. Intensidad en I+D</w:t>
            </w:r>
          </w:p>
        </w:tc>
        <w:tc>
          <w:tcPr>
            <w:tcW w:type="dxa" w:w="2160"/>
            <w:shd w:fill="F7FAFC"/>
            <w:tcMar>
              <w:top w:w="80" w:type="dxa"/>
              <w:bottom w:w="80" w:type="dxa"/>
              <w:left w:w="120" w:type="dxa"/>
              <w:right w:w="120" w:type="dxa"/>
            </w:tcMar>
          </w:tcPr>
          <w:p>
            <w:pPr>
              <w:spacing w:before="0" w:after="0"/>
              <w:jc w:val="right"/>
            </w:pPr>
            <w:r>
              <w:rPr>
                <w:rFonts w:ascii="Calibri" w:hAnsi="Calibri"/>
                <w:b w:val="0"/>
                <w:color w:val="2D3748"/>
                <w:sz w:val="18"/>
              </w:rPr>
              <w:t>I+D / Activos &gt; Mediana (0.00%)</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1.93% (✅)</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1.87% (✅)</w:t>
            </w:r>
          </w:p>
        </w:tc>
        <w:tc>
          <w:tcPr>
            <w:tcW w:type="dxa" w:w="2160"/>
            <w:shd w:fill="F7FAFC"/>
            <w:tcMar>
              <w:top w:w="80" w:type="dxa"/>
              <w:bottom w:w="80" w:type="dxa"/>
              <w:left w:w="120" w:type="dxa"/>
              <w:right w:w="120" w:type="dxa"/>
            </w:tcMar>
          </w:tcPr>
          <w:p>
            <w:pPr>
              <w:spacing w:before="0" w:after="0"/>
              <w:jc w:val="right"/>
            </w:pPr>
            <w:r>
              <w:rPr>
                <w:rFonts w:ascii="Calibri" w:hAnsi="Calibri"/>
                <w:b w:val="0"/>
                <w:color w:val="2D3748"/>
                <w:sz w:val="18"/>
              </w:rPr>
              <w:t>DECK reporta $68.9M en desarrollo/I+D; competidores lo absorben en SG&amp;A.</w:t>
            </w:r>
          </w:p>
        </w:tc>
      </w:tr>
      <w:tr>
        <w:tc>
          <w:tcPr>
            <w:tcW w:type="dxa" w:w="2304"/>
            <w:shd w:fill="FFFFFF"/>
            <w:tcMar>
              <w:top w:w="80" w:type="dxa"/>
              <w:bottom w:w="80" w:type="dxa"/>
              <w:left w:w="120" w:type="dxa"/>
              <w:right w:w="120" w:type="dxa"/>
            </w:tcMar>
          </w:tcPr>
          <w:p>
            <w:pPr>
              <w:spacing w:before="0" w:after="0"/>
              <w:jc w:val="left"/>
            </w:pPr>
            <w:r>
              <w:rPr>
                <w:rFonts w:ascii="Calibri" w:hAnsi="Calibri"/>
                <w:b w:val="0"/>
                <w:color w:val="2D3748"/>
                <w:sz w:val="18"/>
              </w:rPr>
              <w:t>7. Reinv. Asset-Light</w:t>
            </w:r>
          </w:p>
        </w:tc>
        <w:tc>
          <w:tcPr>
            <w:tcW w:type="dxa" w:w="2160"/>
            <w:shd w:fill="FFFFFF"/>
            <w:tcMar>
              <w:top w:w="80" w:type="dxa"/>
              <w:bottom w:w="80" w:type="dxa"/>
              <w:left w:w="120" w:type="dxa"/>
              <w:right w:w="120" w:type="dxa"/>
            </w:tcMar>
          </w:tcPr>
          <w:p>
            <w:pPr>
              <w:spacing w:before="0" w:after="0"/>
              <w:jc w:val="right"/>
            </w:pPr>
            <w:r>
              <w:rPr>
                <w:rFonts w:ascii="Calibri" w:hAnsi="Calibri"/>
                <w:b w:val="0"/>
                <w:color w:val="2D3748"/>
                <w:sz w:val="18"/>
              </w:rPr>
              <w:t>(CapEx+I+D)/Activos &gt; Mediana (2.08%)</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4.30% (✅)</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3.93% (✅)</w:t>
            </w:r>
          </w:p>
        </w:tc>
        <w:tc>
          <w:tcPr>
            <w:tcW w:type="dxa" w:w="2160"/>
            <w:shd w:fill="FFFFFF"/>
            <w:tcMar>
              <w:top w:w="80" w:type="dxa"/>
              <w:bottom w:w="80" w:type="dxa"/>
              <w:left w:w="120" w:type="dxa"/>
              <w:right w:w="120" w:type="dxa"/>
            </w:tcMar>
          </w:tcPr>
          <w:p>
            <w:pPr>
              <w:spacing w:before="0" w:after="0"/>
              <w:jc w:val="right"/>
            </w:pPr>
            <w:r>
              <w:rPr>
                <w:rFonts w:ascii="Calibri" w:hAnsi="Calibri"/>
                <w:b w:val="0"/>
                <w:color w:val="2D3748"/>
                <w:sz w:val="18"/>
              </w:rPr>
              <w:t>Supera el umbral sectorial combinando CapEx ($75.9M) e I+D ($68.9M).</w:t>
            </w:r>
          </w:p>
        </w:tc>
      </w:tr>
      <w:tr>
        <w:tc>
          <w:tcPr>
            <w:tcW w:type="dxa" w:w="2304"/>
            <w:shd w:fill="F7FAFC"/>
            <w:tcMar>
              <w:top w:w="80" w:type="dxa"/>
              <w:bottom w:w="80" w:type="dxa"/>
              <w:left w:w="120" w:type="dxa"/>
              <w:right w:w="120" w:type="dxa"/>
            </w:tcMar>
          </w:tcPr>
          <w:p>
            <w:pPr>
              <w:spacing w:before="0" w:after="0"/>
              <w:jc w:val="left"/>
            </w:pPr>
            <w:r>
              <w:rPr>
                <w:rFonts w:ascii="Calibri" w:hAnsi="Calibri"/>
                <w:b w:val="0"/>
                <w:color w:val="2D3748"/>
                <w:sz w:val="18"/>
              </w:rPr>
              <w:t>8. Apalancamiento SG&amp;A</w:t>
            </w:r>
          </w:p>
        </w:tc>
        <w:tc>
          <w:tcPr>
            <w:tcW w:type="dxa" w:w="2160"/>
            <w:shd w:fill="F7FAFC"/>
            <w:tcMar>
              <w:top w:w="80" w:type="dxa"/>
              <w:bottom w:w="80" w:type="dxa"/>
              <w:left w:w="120" w:type="dxa"/>
              <w:right w:w="120" w:type="dxa"/>
            </w:tcMar>
          </w:tcPr>
          <w:p>
            <w:pPr>
              <w:spacing w:before="0" w:after="0"/>
              <w:jc w:val="right"/>
            </w:pPr>
            <w:r>
              <w:rPr>
                <w:rFonts w:ascii="Calibri" w:hAnsi="Calibri"/>
                <w:b w:val="0"/>
                <w:color w:val="2D3748"/>
                <w:sz w:val="18"/>
              </w:rPr>
              <w:t>% Ventas &gt; % SG&amp;A</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Falla (❌)</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Falla (❌)</w:t>
            </w:r>
          </w:p>
        </w:tc>
        <w:tc>
          <w:tcPr>
            <w:tcW w:type="dxa" w:w="2160"/>
            <w:shd w:fill="F7FAFC"/>
            <w:tcMar>
              <w:top w:w="80" w:type="dxa"/>
              <w:bottom w:w="80" w:type="dxa"/>
              <w:left w:w="120" w:type="dxa"/>
              <w:right w:w="120" w:type="dxa"/>
            </w:tcMar>
          </w:tcPr>
          <w:p>
            <w:pPr>
              <w:spacing w:before="0" w:after="0"/>
              <w:jc w:val="right"/>
            </w:pPr>
            <w:r>
              <w:rPr>
                <w:rFonts w:ascii="Calibri" w:hAnsi="Calibri"/>
                <w:b w:val="0"/>
                <w:color w:val="2D3748"/>
                <w:sz w:val="18"/>
              </w:rPr>
              <w:t>En LTM, SG&amp;A creció 2.5% vs ventas 1.0% por apertura de tiendas insignia.</w:t>
            </w:r>
          </w:p>
        </w:tc>
      </w:tr>
      <w:tr>
        <w:tc>
          <w:tcPr>
            <w:tcW w:type="dxa" w:w="2304"/>
            <w:shd w:fill="FFFFFF"/>
            <w:tcMar>
              <w:top w:w="80" w:type="dxa"/>
              <w:bottom w:w="80" w:type="dxa"/>
              <w:left w:w="120" w:type="dxa"/>
              <w:right w:w="120" w:type="dxa"/>
            </w:tcMar>
          </w:tcPr>
          <w:p>
            <w:pPr>
              <w:spacing w:before="0" w:after="0"/>
              <w:jc w:val="left"/>
            </w:pPr>
            <w:r>
              <w:rPr>
                <w:rFonts w:ascii="Calibri" w:hAnsi="Calibri"/>
                <w:b/>
                <w:color w:val="1B365D"/>
                <w:sz w:val="18"/>
              </w:rPr>
              <w:t>TOTAL G-SCORE</w:t>
            </w:r>
          </w:p>
        </w:tc>
        <w:tc>
          <w:tcPr>
            <w:tcW w:type="dxa" w:w="2160"/>
            <w:shd w:fill="FFFFFF"/>
            <w:tcMar>
              <w:top w:w="80" w:type="dxa"/>
              <w:bottom w:w="80" w:type="dxa"/>
              <w:left w:w="120" w:type="dxa"/>
              <w:right w:w="120" w:type="dxa"/>
            </w:tcMar>
          </w:tcPr>
          <w:p>
            <w:pPr>
              <w:spacing w:before="0" w:after="0"/>
              <w:jc w:val="right"/>
            </w:pPr>
            <w:r>
              <w:rPr>
                <w:rFonts w:ascii="Calibri" w:hAnsi="Calibri"/>
                <w:b/>
                <w:color w:val="1B365D"/>
                <w:sz w:val="18"/>
              </w:rPr>
              <w:t>Escala 0 a 8 Puntos</w:t>
            </w:r>
          </w:p>
        </w:tc>
        <w:tc>
          <w:tcPr>
            <w:tcW w:type="dxa" w:w="1584"/>
            <w:shd w:fill="FFFFFF"/>
            <w:tcMar>
              <w:top w:w="80" w:type="dxa"/>
              <w:bottom w:w="80" w:type="dxa"/>
              <w:left w:w="120" w:type="dxa"/>
              <w:right w:w="120" w:type="dxa"/>
            </w:tcMar>
          </w:tcPr>
          <w:p>
            <w:pPr>
              <w:spacing w:before="0" w:after="0"/>
              <w:jc w:val="right"/>
            </w:pPr>
            <w:r>
              <w:rPr>
                <w:rFonts w:ascii="Calibri" w:hAnsi="Calibri"/>
                <w:b/>
                <w:color w:val="1B365D"/>
                <w:sz w:val="18"/>
              </w:rPr>
              <w:t>7 / 8 Ptos</w:t>
            </w:r>
          </w:p>
        </w:tc>
        <w:tc>
          <w:tcPr>
            <w:tcW w:type="dxa" w:w="1584"/>
            <w:shd w:fill="FFFFFF"/>
            <w:tcMar>
              <w:top w:w="80" w:type="dxa"/>
              <w:bottom w:w="80" w:type="dxa"/>
              <w:left w:w="120" w:type="dxa"/>
              <w:right w:w="120" w:type="dxa"/>
            </w:tcMar>
          </w:tcPr>
          <w:p>
            <w:pPr>
              <w:spacing w:before="0" w:after="0"/>
              <w:jc w:val="right"/>
            </w:pPr>
            <w:r>
              <w:rPr>
                <w:rFonts w:ascii="Calibri" w:hAnsi="Calibri"/>
                <w:b/>
                <w:color w:val="1B365D"/>
                <w:sz w:val="18"/>
              </w:rPr>
              <w:t>7 / 8 Ptos</w:t>
            </w:r>
          </w:p>
        </w:tc>
        <w:tc>
          <w:tcPr>
            <w:tcW w:type="dxa" w:w="2160"/>
            <w:shd w:fill="FFFFFF"/>
            <w:tcMar>
              <w:top w:w="80" w:type="dxa"/>
              <w:bottom w:w="80" w:type="dxa"/>
              <w:left w:w="120" w:type="dxa"/>
              <w:right w:w="120" w:type="dxa"/>
            </w:tcMar>
          </w:tcPr>
          <w:p>
            <w:pPr>
              <w:spacing w:before="0" w:after="0"/>
              <w:jc w:val="right"/>
            </w:pPr>
            <w:r>
              <w:rPr>
                <w:rFonts w:ascii="Calibri" w:hAnsi="Calibri"/>
                <w:b/>
                <w:color w:val="1B365D"/>
                <w:sz w:val="18"/>
              </w:rPr>
              <w:t>CRECIMIENTO DE ÉLITE (💎 COMPOUNDER DE ÉLITE)</w:t>
            </w:r>
          </w:p>
        </w:tc>
      </w:tr>
    </w:tbl>
    <w:p>
      <w:pPr>
        <w:spacing w:after="120"/>
      </w:pPr>
    </w:p>
    <w:p>
      <w:pPr>
        <w:keepNext/>
        <w:spacing w:before="320" w:after="120"/>
      </w:pPr>
      <w:r>
        <w:rPr>
          <w:rFonts w:ascii="Calibri" w:hAnsi="Calibri"/>
          <w:b/>
          <w:color w:val="1B365D"/>
          <w:sz w:val="28"/>
        </w:rPr>
        <w:t>11. Productividad Pura del Capital: Rentabilidad Bruta sobre Activos (Novy-Marx GP/A)</w:t>
      </w:r>
    </w:p>
    <w:p>
      <w:pPr>
        <w:spacing w:before="0" w:after="80" w:line="276" w:lineRule="auto"/>
      </w:pPr>
      <w:r>
        <w:rPr>
          <w:rFonts w:ascii="Calibri" w:hAnsi="Calibri"/>
          <w:i w:val="0"/>
          <w:color w:val="2D3748"/>
          <w:sz w:val="20"/>
        </w:rPr>
        <w:t>La investigación empírica seminal del Prof. Robert Novy-Marx (University of Rochester / NBER, 'The Other Side of Value: The Gross Profitability Premium', Journal of Financial Economics, 2013) demostró que la Rentabilidad Bruta sobre Activos (Gross Profitability to Assets, GP/A) es el predictor cuantitativo más potente de los rendimientos futuros de una corporación. A diferencia del ROE o ROIC, que sufren la contaminación contable de depreciaciones discrecionales, partidas extraordinarias o gastos de I+D/marketing (que en realidad son inversiones generadoras de valor futuro), la métrica de Novy-Marx evalúa la productividad económica pura del capital instalado en su estado original.</w:t>
      </w:r>
    </w:p>
    <w:p>
      <w:pPr>
        <w:keepNext/>
        <w:spacing w:before="240" w:after="80"/>
      </w:pPr>
      <w:r>
        <w:rPr>
          <w:rFonts w:ascii="Calibri" w:hAnsi="Calibri"/>
          <w:b/>
          <w:color w:val="4A5568"/>
          <w:sz w:val="23"/>
        </w:rPr>
        <w:t>Bloque A: Diagnóstico Dual de Productividad y Efecto Arrastre de Caja (Cash Drag)</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CALIFICACIÓN Y CALIDAD DE CAPITAL: PRODUCTIVIDAD EXCEPCIONAL (TOP 5% DE LA INDUSTRIA)</w:t>
              <w:br/>
            </w:r>
          </w:p>
          <w:p>
            <w:pPr>
              <w:spacing w:before="40" w:after="40" w:line="276" w:lineRule="auto"/>
            </w:pPr>
            <w:r>
              <w:rPr>
                <w:rFonts w:ascii="Calibri" w:hAnsi="Calibri"/>
                <w:color w:val="2D3748"/>
                <w:sz w:val="19"/>
              </w:rPr>
              <w:t>• Gross Profitability Total (LTM): 82.59% de los Activos Totales (vs. Mediana Sector: 53.87%).</w:t>
            </w:r>
          </w:p>
          <w:p>
            <w:pPr>
              <w:spacing w:before="40" w:after="40" w:line="276" w:lineRule="auto"/>
            </w:pPr>
            <w:r>
              <w:rPr>
                <w:rFonts w:ascii="Calibri" w:hAnsi="Calibri"/>
                <w:color w:val="2D3748"/>
                <w:sz w:val="19"/>
              </w:rPr>
              <w:t>• Gross Profitability Operativa Ex-Caja (LTM): 140.99% de los Activos Operativos (vs. Mediana Sector: 61.74%).</w:t>
            </w:r>
          </w:p>
          <w:p>
            <w:pPr>
              <w:spacing w:before="40" w:after="40" w:line="276" w:lineRule="auto"/>
            </w:pPr>
            <w:r>
              <w:rPr>
                <w:rFonts w:ascii="Calibri" w:hAnsi="Calibri"/>
                <w:color w:val="2D3748"/>
                <w:sz w:val="19"/>
              </w:rPr>
              <w:t>• Efecto Arrastre de Caja (Cash Drag): +58.41 p.p. de penalización contable por atesoramiento de liquidez ociosa.</w:t>
            </w:r>
          </w:p>
          <w:p>
            <w:pPr>
              <w:spacing w:before="40" w:after="40" w:line="276" w:lineRule="auto"/>
            </w:pPr>
            <w:r>
              <w:rPr>
                <w:rFonts w:ascii="Calibri" w:hAnsi="Calibri"/>
                <w:color w:val="2D3748"/>
                <w:sz w:val="19"/>
              </w:rPr>
              <w:t>• Posición Sectorial (Industry De-meaning): Supera a la mediana de competidores en +28.72 p.p., confirmando un foso de capital de primer orden mundial.</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top w:val="none"/>
              <w:left w:val="single" w:sz="24" w:space="0" w:color="0A3641"/>
              <w:bottom w:val="none"/>
              <w:right w:val="none"/>
            </w:tcBorders>
          </w:tcPr>
          <w:p>
            <w:pPr>
              <w:spacing w:before="0" w:after="60" w:line="276" w:lineRule="auto"/>
            </w:pPr>
            <w:r>
              <w:rPr>
                <w:rFonts w:ascii="Calibri" w:hAnsi="Calibri"/>
                <w:b/>
                <w:color w:val="1B365D"/>
                <w:sz w:val="21"/>
              </w:rPr>
              <w:t>📌 GUÍA DIDÁCTICA: ¿QUÉ SIGNIFICAN ESTOS RESULTADOS Y PERCENTILES?</w:t>
              <w:br/>
            </w:r>
          </w:p>
          <w:p>
            <w:pPr>
              <w:spacing w:before="40" w:after="40" w:line="276" w:lineRule="auto"/>
            </w:pPr>
            <w:r>
              <w:rPr>
                <w:rFonts w:ascii="Calibri" w:hAnsi="Calibri"/>
                <w:color w:val="2D3748"/>
                <w:sz w:val="19"/>
              </w:rPr>
              <w:t>1. ¿Qué significa el Top 5% de la Industria?: Significa que la rentabilidad de capital de DECK supera al 95% de sus competidores directos en la industria. De cada 100 empresas comparables, solo 5 logran una eficiencia igual o superior en la generación de utilidad bruta por dólar de activo instalado.</w:t>
            </w:r>
          </w:p>
          <w:p>
            <w:pPr>
              <w:spacing w:before="40" w:after="40" w:line="276" w:lineRule="auto"/>
            </w:pPr>
            <w:r>
              <w:rPr>
                <w:rFonts w:ascii="Calibri" w:hAnsi="Calibri"/>
                <w:color w:val="2D3748"/>
                <w:sz w:val="19"/>
              </w:rPr>
              <w:t>2. ¿Qué significa Gross Profitability de 82.59%?: Por cada $1.00 de activo total en su balance general, la empresa produce $0.83 de utilidad bruta pura al año, antes de deducciones operativas, intereses e impuestos.</w:t>
            </w:r>
          </w:p>
          <w:p>
            <w:pPr>
              <w:spacing w:before="40" w:after="40" w:line="276" w:lineRule="auto"/>
            </w:pPr>
            <w:r>
              <w:rPr>
                <w:rFonts w:ascii="Calibri" w:hAnsi="Calibri"/>
                <w:color w:val="2D3748"/>
                <w:sz w:val="19"/>
              </w:rPr>
              <w:t>3. ¿Qué significa Ex-Caja (140.99%)?: Al excluir el efectivo y valores negociables líquidos (capital ocioso en caja que no produce bienes), el negocio puramente operativo rinde $1.41 por cada dólar en activos operativos en funcionamiento.</w:t>
            </w:r>
          </w:p>
          <w:p>
            <w:pPr>
              <w:spacing w:before="40" w:after="40" w:line="276" w:lineRule="auto"/>
            </w:pPr>
            <w:r>
              <w:rPr>
                <w:rFonts w:ascii="Calibri" w:hAnsi="Calibri"/>
                <w:color w:val="2D3748"/>
                <w:sz w:val="19"/>
              </w:rPr>
              <w:t>4. ¿Qué revela el Cash Drag (+58.41 p.p.)?: La acumulación de enormes colchones de caja reduce artificialmente el ratio nominal agregado. Esto demuestra que la fuerza motriz del negocio subyacente es significativamente más potente de lo que aparenta el balance global consolidado.</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90" w:type="dxa"/>
              <w:bottom w:w="90" w:type="dxa"/>
              <w:left w:w="100" w:type="dxa"/>
              <w:right w:w="100" w:type="dxa"/>
            </w:tcMar>
          </w:tcPr>
          <w:p>
            <w:pPr>
              <w:spacing w:before="0" w:after="0"/>
              <w:jc w:val="left"/>
            </w:pPr>
            <w:r>
              <w:rPr>
                <w:rFonts w:ascii="Calibri" w:hAnsi="Calibri"/>
                <w:b/>
                <w:color w:val="FFFFFF"/>
                <w:sz w:val="18"/>
              </w:rPr>
              <w:t>Métrica de Productividad</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LTM</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FY2026</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Mediana Ind.</w:t>
            </w:r>
          </w:p>
        </w:tc>
        <w:tc>
          <w:tcPr>
            <w:tcW w:type="dxa" w:w="1728"/>
            <w:shd w:fill="1B365D"/>
            <w:tcMar>
              <w:top w:w="90" w:type="dxa"/>
              <w:bottom w:w="90" w:type="dxa"/>
              <w:left w:w="100" w:type="dxa"/>
              <w:right w:w="100" w:type="dxa"/>
            </w:tcMar>
          </w:tcPr>
          <w:p>
            <w:pPr>
              <w:spacing w:before="0" w:after="0"/>
              <w:jc w:val="right"/>
            </w:pPr>
            <w:r>
              <w:rPr>
                <w:rFonts w:ascii="Calibri" w:hAnsi="Calibri"/>
                <w:b/>
                <w:color w:val="FFFFFF"/>
                <w:sz w:val="18"/>
              </w:rPr>
              <w:t>Diagnóstico</w:t>
            </w:r>
          </w:p>
        </w:tc>
        <w:tc>
          <w:tcPr>
            <w:tcW w:type="dxa" w:w="2448"/>
            <w:shd w:fill="1B365D"/>
            <w:tcMar>
              <w:top w:w="90" w:type="dxa"/>
              <w:bottom w:w="90" w:type="dxa"/>
              <w:left w:w="100" w:type="dxa"/>
              <w:right w:w="100" w:type="dxa"/>
            </w:tcMar>
          </w:tcPr>
          <w:p>
            <w:pPr>
              <w:spacing w:before="0" w:after="0"/>
              <w:jc w:val="left"/>
            </w:pPr>
            <w:r>
              <w:rPr>
                <w:rFonts w:ascii="Calibri" w:hAnsi="Calibri"/>
                <w:b/>
                <w:color w:val="FFFFFF"/>
                <w:sz w:val="18"/>
              </w:rPr>
              <w:t>Lectura Didáctica</w:t>
            </w:r>
          </w:p>
        </w:tc>
      </w:tr>
      <w:tr>
        <w:tc>
          <w:tcPr>
            <w:tcW w:type="dxa" w:w="2160"/>
            <w:shd w:fill="FFFFFF"/>
            <w:tcMar>
              <w:top w:w="70" w:type="dxa"/>
              <w:bottom w:w="70" w:type="dxa"/>
              <w:left w:w="100" w:type="dxa"/>
              <w:right w:w="100" w:type="dxa"/>
            </w:tcMar>
          </w:tcPr>
          <w:p>
            <w:pPr>
              <w:spacing w:before="0" w:after="0"/>
              <w:jc w:val="left"/>
            </w:pPr>
            <w:r>
              <w:rPr>
                <w:rFonts w:ascii="Calibri" w:hAnsi="Calibri"/>
                <w:b/>
                <w:color w:val="1B365D"/>
                <w:sz w:val="17"/>
              </w:rPr>
              <w:t>GP / Activos Totales (Nominal)</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82.59%</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85.63%</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53.87%</w:t>
            </w:r>
          </w:p>
        </w:tc>
        <w:tc>
          <w:tcPr>
            <w:tcW w:type="dxa" w:w="1728"/>
            <w:shd w:fill="FFFFFF"/>
            <w:tcMar>
              <w:top w:w="70" w:type="dxa"/>
              <w:bottom w:w="70" w:type="dxa"/>
              <w:left w:w="100" w:type="dxa"/>
              <w:right w:w="100" w:type="dxa"/>
            </w:tcMar>
          </w:tcPr>
          <w:p>
            <w:pPr>
              <w:spacing w:before="0" w:after="0"/>
              <w:jc w:val="right"/>
            </w:pPr>
            <w:r>
              <w:rPr>
                <w:rFonts w:ascii="Calibri" w:hAnsi="Calibri"/>
                <w:b/>
                <w:color w:val="1B365D"/>
                <w:sz w:val="17"/>
              </w:rPr>
              <w:t>✅ Top 5% de la Industria</w:t>
            </w:r>
          </w:p>
        </w:tc>
        <w:tc>
          <w:tcPr>
            <w:tcW w:type="dxa" w:w="2448"/>
            <w:shd w:fill="FFFFFF"/>
            <w:tcMar>
              <w:top w:w="70" w:type="dxa"/>
              <w:bottom w:w="70" w:type="dxa"/>
              <w:left w:w="100" w:type="dxa"/>
              <w:right w:w="100" w:type="dxa"/>
            </w:tcMar>
          </w:tcPr>
          <w:p>
            <w:pPr>
              <w:spacing w:before="0" w:after="0"/>
              <w:jc w:val="left"/>
            </w:pPr>
            <w:r>
              <w:rPr>
                <w:rFonts w:ascii="Calibri" w:hAnsi="Calibri"/>
                <w:b/>
                <w:color w:val="1B365D"/>
                <w:sz w:val="17"/>
              </w:rPr>
              <w:t>Genera $0.83 de utilidad bruta por cada $1.00 de activo total.</w:t>
            </w:r>
          </w:p>
        </w:tc>
      </w:tr>
      <w:tr>
        <w:tc>
          <w:tcPr>
            <w:tcW w:type="dxa" w:w="2160"/>
            <w:shd w:fill="F7FAFC"/>
            <w:tcMar>
              <w:top w:w="70" w:type="dxa"/>
              <w:bottom w:w="70" w:type="dxa"/>
              <w:left w:w="100" w:type="dxa"/>
              <w:right w:w="100" w:type="dxa"/>
            </w:tcMar>
          </w:tcPr>
          <w:p>
            <w:pPr>
              <w:spacing w:before="0" w:after="0"/>
              <w:jc w:val="left"/>
            </w:pPr>
            <w:r>
              <w:rPr>
                <w:rFonts w:ascii="Calibri" w:hAnsi="Calibri"/>
                <w:b w:val="0"/>
                <w:color w:val="2D3748"/>
                <w:sz w:val="17"/>
              </w:rPr>
              <w:t>GP / Activos Operativos (Ex-Caja)</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140.99%</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177.35%</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61.74%</w:t>
            </w:r>
          </w:p>
        </w:tc>
        <w:tc>
          <w:tcPr>
            <w:tcW w:type="dxa" w:w="1728"/>
            <w:shd w:fill="F7FAFC"/>
            <w:tcMar>
              <w:top w:w="70" w:type="dxa"/>
              <w:bottom w:w="70" w:type="dxa"/>
              <w:left w:w="100" w:type="dxa"/>
              <w:right w:w="100" w:type="dxa"/>
            </w:tcMar>
          </w:tcPr>
          <w:p>
            <w:pPr>
              <w:spacing w:before="0" w:after="0"/>
              <w:jc w:val="right"/>
            </w:pPr>
            <w:r>
              <w:rPr>
                <w:rFonts w:ascii="Calibri" w:hAnsi="Calibri"/>
                <w:b w:val="0"/>
                <w:color w:val="2D3748"/>
                <w:sz w:val="17"/>
              </w:rPr>
              <w:t>✅ Alta Eficiencia</w:t>
            </w:r>
          </w:p>
        </w:tc>
        <w:tc>
          <w:tcPr>
            <w:tcW w:type="dxa" w:w="2448"/>
            <w:shd w:fill="F7FAFC"/>
            <w:tcMar>
              <w:top w:w="70" w:type="dxa"/>
              <w:bottom w:w="70" w:type="dxa"/>
              <w:left w:w="100" w:type="dxa"/>
              <w:right w:w="100" w:type="dxa"/>
            </w:tcMar>
          </w:tcPr>
          <w:p>
            <w:pPr>
              <w:spacing w:before="0" w:after="0"/>
              <w:jc w:val="left"/>
            </w:pPr>
            <w:r>
              <w:rPr>
                <w:rFonts w:ascii="Calibri" w:hAnsi="Calibri"/>
                <w:b w:val="0"/>
                <w:color w:val="2D3748"/>
                <w:sz w:val="17"/>
              </w:rPr>
              <w:t>Al aislar la caja ociosa, rinde $1.41 por dólar productivo.</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Efecto Arrastre de Caja (Cash Drag)</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+58.41 pp</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+91.72 pp</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+7.87 pp</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ℹ️ Dilución Solvente</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La acumulación de liquidez deprime el ratio nominal.</w:t>
            </w:r>
          </w:p>
        </w:tc>
      </w:tr>
      <w:tr>
        <w:tc>
          <w:tcPr>
            <w:tcW w:type="dxa" w:w="2160"/>
            <w:shd w:fill="F7FAFC"/>
            <w:tcMar>
              <w:top w:w="70" w:type="dxa"/>
              <w:bottom w:w="70" w:type="dxa"/>
              <w:left w:w="100" w:type="dxa"/>
              <w:right w:w="100" w:type="dxa"/>
            </w:tcMar>
          </w:tcPr>
          <w:p>
            <w:pPr>
              <w:spacing w:before="0" w:after="0"/>
              <w:jc w:val="left"/>
            </w:pPr>
            <w:r>
              <w:rPr>
                <w:rFonts w:ascii="Calibri" w:hAnsi="Calibri"/>
                <w:b w:val="0"/>
                <w:color w:val="2D3748"/>
                <w:sz w:val="17"/>
              </w:rPr>
              <w:t>GP/A Ajustada (De-meaning)</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+28.72 pp</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+31.76 pp</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0.00 pp</w:t>
            </w:r>
          </w:p>
        </w:tc>
        <w:tc>
          <w:tcPr>
            <w:tcW w:type="dxa" w:w="1728"/>
            <w:shd w:fill="F7FAFC"/>
            <w:tcMar>
              <w:top w:w="70" w:type="dxa"/>
              <w:bottom w:w="70" w:type="dxa"/>
              <w:left w:w="100" w:type="dxa"/>
              <w:right w:w="100" w:type="dxa"/>
            </w:tcMar>
          </w:tcPr>
          <w:p>
            <w:pPr>
              <w:spacing w:before="0" w:after="0"/>
              <w:jc w:val="right"/>
            </w:pPr>
            <w:r>
              <w:rPr>
                <w:rFonts w:ascii="Calibri" w:hAnsi="Calibri"/>
                <w:b w:val="0"/>
                <w:color w:val="2D3748"/>
                <w:sz w:val="17"/>
              </w:rPr>
              <w:t>🟢 Ventaja Fuerte</w:t>
            </w:r>
          </w:p>
        </w:tc>
        <w:tc>
          <w:tcPr>
            <w:tcW w:type="dxa" w:w="2448"/>
            <w:shd w:fill="F7FAFC"/>
            <w:tcMar>
              <w:top w:w="70" w:type="dxa"/>
              <w:bottom w:w="70" w:type="dxa"/>
              <w:left w:w="100" w:type="dxa"/>
              <w:right w:w="100" w:type="dxa"/>
            </w:tcMar>
          </w:tcPr>
          <w:p>
            <w:pPr>
              <w:spacing w:before="0" w:after="0"/>
              <w:jc w:val="left"/>
            </w:pPr>
            <w:r>
              <w:rPr>
                <w:rFonts w:ascii="Calibri" w:hAnsi="Calibri"/>
                <w:b w:val="0"/>
                <w:color w:val="2D3748"/>
                <w:sz w:val="17"/>
              </w:rPr>
              <w:t>Supera en +28.72 puntos porcentuales a la mediana del sector.</w:t>
            </w:r>
          </w:p>
        </w:tc>
      </w:tr>
    </w:tbl>
    <w:p>
      <w:pPr>
        <w:spacing w:after="120"/>
      </w:pPr>
    </w:p>
    <w:p>
      <w:pPr>
        <w:keepNext/>
        <w:spacing w:before="240" w:after="80"/>
      </w:pPr>
      <w:r>
        <w:rPr>
          <w:rFonts w:ascii="Calibri" w:hAnsi="Calibri"/>
          <w:b/>
          <w:color w:val="4A5568"/>
          <w:sz w:val="23"/>
        </w:rPr>
        <w:t>Bloque B: Descomposición DuPont de Novy-Marx &amp; Matriz de 4 Cuadrantes</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MATRIZ DE DECISIÓN COMPETITIVA: 💎 COMPOUNDER DE ÉLITE (MARGEN + VELOCIDAD)</w:t>
              <w:br/>
            </w:r>
          </w:p>
          <w:p>
            <w:pPr>
              <w:spacing w:before="40" w:after="40" w:line="276" w:lineRule="auto"/>
            </w:pPr>
            <w:r>
              <w:rPr>
                <w:rFonts w:ascii="Calibri" w:hAnsi="Calibri"/>
                <w:color w:val="2D3748"/>
                <w:sz w:val="19"/>
              </w:rPr>
              <w:t>Excelente perfil competitivo: combina un margen bruto por encima de la mediana sectorial (57.8% vs 52.7%) con una rotación de activos superior a sus competidores (1.43x vs 1.10x). La empresa ejerce simultáneamente poder de marca/precios y alta velocidad de conversión de capital.</w:t>
            </w:r>
          </w:p>
          <w:p>
            <w:pPr>
              <w:spacing w:before="40" w:after="40" w:line="276" w:lineRule="auto"/>
            </w:pPr>
            <w:r>
              <w:rPr>
                <w:rFonts w:ascii="Calibri" w:hAnsi="Calibri"/>
                <w:color w:val="2D3748"/>
                <w:sz w:val="19"/>
              </w:rPr>
              <w:t>• Verificación Matemática de Identidad DuPont (LTM):</w:t>
            </w:r>
          </w:p>
          <w:p>
            <w:pPr>
              <w:spacing w:before="40" w:after="40" w:line="276" w:lineRule="auto"/>
            </w:pPr>
            <w:r>
              <w:rPr>
                <w:rFonts w:ascii="Calibri" w:hAnsi="Calibri"/>
                <w:color w:val="2D3748"/>
                <w:sz w:val="19"/>
              </w:rPr>
              <w:t xml:space="preserve">  Margen Bruto (57.80%) × Rotación de Activos (1.429x) = 82.59% (Concilia al 100.0% con GP/A de 82.59%).</w:t>
            </w:r>
          </w:p>
          <w:p>
            <w:pPr>
              <w:spacing w:before="40" w:after="40" w:line="276" w:lineRule="auto"/>
            </w:pPr>
            <w:r>
              <w:rPr>
                <w:rFonts w:ascii="Calibri" w:hAnsi="Calibri"/>
                <w:color w:val="2D3748"/>
                <w:sz w:val="19"/>
              </w:rPr>
              <w:t>• Identidad Operativa Ex-Caja: Margen Bruto (57.80%) × Rotación Ex-Caja (2.439x) = 140.99% (concilia con 140.99%).</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90" w:type="dxa"/>
              <w:bottom w:w="90" w:type="dxa"/>
              <w:left w:w="100" w:type="dxa"/>
              <w:right w:w="100" w:type="dxa"/>
            </w:tcMar>
          </w:tcPr>
          <w:p>
            <w:pPr>
              <w:spacing w:before="0" w:after="0"/>
              <w:jc w:val="left"/>
            </w:pPr>
            <w:r>
              <w:rPr>
                <w:rFonts w:ascii="Calibri" w:hAnsi="Calibri"/>
                <w:b/>
                <w:color w:val="FFFFFF"/>
                <w:sz w:val="18"/>
              </w:rPr>
              <w:t>Palanca DuPont</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LTM</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FY2026</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Mediana Ind.</w:t>
            </w:r>
          </w:p>
        </w:tc>
        <w:tc>
          <w:tcPr>
            <w:tcW w:type="dxa" w:w="1728"/>
            <w:shd w:fill="1B365D"/>
            <w:tcMar>
              <w:top w:w="90" w:type="dxa"/>
              <w:bottom w:w="90" w:type="dxa"/>
              <w:left w:w="100" w:type="dxa"/>
              <w:right w:w="100" w:type="dxa"/>
            </w:tcMar>
          </w:tcPr>
          <w:p>
            <w:pPr>
              <w:spacing w:before="0" w:after="0"/>
              <w:jc w:val="right"/>
            </w:pPr>
            <w:r>
              <w:rPr>
                <w:rFonts w:ascii="Calibri" w:hAnsi="Calibri"/>
                <w:b/>
                <w:color w:val="FFFFFF"/>
                <w:sz w:val="18"/>
              </w:rPr>
              <w:t>Estatus vs Mediana</w:t>
            </w:r>
          </w:p>
        </w:tc>
        <w:tc>
          <w:tcPr>
            <w:tcW w:type="dxa" w:w="2448"/>
            <w:shd w:fill="1B365D"/>
            <w:tcMar>
              <w:top w:w="90" w:type="dxa"/>
              <w:bottom w:w="90" w:type="dxa"/>
              <w:left w:w="100" w:type="dxa"/>
              <w:right w:w="100" w:type="dxa"/>
            </w:tcMar>
          </w:tcPr>
          <w:p>
            <w:pPr>
              <w:spacing w:before="0" w:after="0"/>
              <w:jc w:val="left"/>
            </w:pPr>
            <w:r>
              <w:rPr>
                <w:rFonts w:ascii="Calibri" w:hAnsi="Calibri"/>
                <w:b/>
                <w:color w:val="FFFFFF"/>
                <w:sz w:val="18"/>
              </w:rPr>
              <w:t>Implicación Estratégica</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Margen Bruto (Utilidad Bruta / Ventas)</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57.80%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57.70%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52.70%</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+5.10 pp</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Pricing power, lealtad de clientes y disciplina de costes directos.</w:t>
            </w:r>
          </w:p>
        </w:tc>
      </w:tr>
      <w:tr>
        <w:tc>
          <w:tcPr>
            <w:tcW w:type="dxa" w:w="2160"/>
            <w:shd w:fill="F7FAFC"/>
            <w:tcMar>
              <w:top w:w="70" w:type="dxa"/>
              <w:bottom w:w="70" w:type="dxa"/>
              <w:left w:w="100" w:type="dxa"/>
              <w:right w:w="100" w:type="dxa"/>
            </w:tcMar>
          </w:tcPr>
          <w:p>
            <w:pPr>
              <w:spacing w:before="0" w:after="0"/>
              <w:jc w:val="left"/>
            </w:pPr>
            <w:r>
              <w:rPr>
                <w:rFonts w:ascii="Calibri" w:hAnsi="Calibri"/>
                <w:b/>
                <w:color w:val="1B365D"/>
                <w:sz w:val="17"/>
              </w:rPr>
              <w:t>Rotación Activos Totales (Ventas / Activos)</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1.429x</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1.484x</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1.097x</w:t>
            </w:r>
          </w:p>
        </w:tc>
        <w:tc>
          <w:tcPr>
            <w:tcW w:type="dxa" w:w="1728"/>
            <w:shd w:fill="F7FAFC"/>
            <w:tcMar>
              <w:top w:w="70" w:type="dxa"/>
              <w:bottom w:w="70" w:type="dxa"/>
              <w:left w:w="100" w:type="dxa"/>
              <w:right w:w="100" w:type="dxa"/>
            </w:tcMar>
          </w:tcPr>
          <w:p>
            <w:pPr>
              <w:spacing w:before="0" w:after="0"/>
              <w:jc w:val="right"/>
            </w:pPr>
            <w:r>
              <w:rPr>
                <w:rFonts w:ascii="Calibri" w:hAnsi="Calibri"/>
                <w:b/>
                <w:color w:val="1B365D"/>
                <w:sz w:val="17"/>
              </w:rPr>
              <w:t>+0.33x</w:t>
            </w:r>
          </w:p>
        </w:tc>
        <w:tc>
          <w:tcPr>
            <w:tcW w:type="dxa" w:w="2448"/>
            <w:shd w:fill="F7FAFC"/>
            <w:tcMar>
              <w:top w:w="70" w:type="dxa"/>
              <w:bottom w:w="70" w:type="dxa"/>
              <w:left w:w="100" w:type="dxa"/>
              <w:right w:w="100" w:type="dxa"/>
            </w:tcMar>
          </w:tcPr>
          <w:p>
            <w:pPr>
              <w:spacing w:before="0" w:after="0"/>
              <w:jc w:val="left"/>
            </w:pPr>
            <w:r>
              <w:rPr>
                <w:rFonts w:ascii="Calibri" w:hAnsi="Calibri"/>
                <w:b/>
                <w:color w:val="1B365D"/>
                <w:sz w:val="17"/>
              </w:rPr>
              <w:t>Velocidad de comercialización y aprovechamiento del capital instalado.</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Rotación Activos Ex-Caja (Ventas / Act. Operativos)</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2.439x</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3.073x</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1.206x</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Expansión Operativa</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Velocidad pura del capital en planta, logística y desarrollo.</w:t>
            </w:r>
          </w:p>
        </w:tc>
      </w:tr>
      <w:tr>
        <w:tc>
          <w:tcPr>
            <w:tcW w:type="dxa" w:w="2160"/>
            <w:shd w:fill="F7FAFC"/>
            <w:tcMar>
              <w:top w:w="70" w:type="dxa"/>
              <w:bottom w:w="70" w:type="dxa"/>
              <w:left w:w="100" w:type="dxa"/>
              <w:right w:w="100" w:type="dxa"/>
            </w:tcMar>
          </w:tcPr>
          <w:p>
            <w:pPr>
              <w:spacing w:before="0" w:after="0"/>
              <w:jc w:val="left"/>
            </w:pPr>
            <w:r>
              <w:rPr>
                <w:rFonts w:ascii="Calibri" w:hAnsi="Calibri"/>
                <w:b/>
                <w:color w:val="1B365D"/>
                <w:sz w:val="17"/>
              </w:rPr>
              <w:t>PRODUCTIVIDAD CONSOLIDADA (GP/A)</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82.59%</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85.63%</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53.87%</w:t>
            </w:r>
          </w:p>
        </w:tc>
        <w:tc>
          <w:tcPr>
            <w:tcW w:type="dxa" w:w="1728"/>
            <w:shd w:fill="F7FAFC"/>
            <w:tcMar>
              <w:top w:w="70" w:type="dxa"/>
              <w:bottom w:w="70" w:type="dxa"/>
              <w:left w:w="100" w:type="dxa"/>
              <w:right w:w="100" w:type="dxa"/>
            </w:tcMar>
          </w:tcPr>
          <w:p>
            <w:pPr>
              <w:spacing w:before="0" w:after="0"/>
              <w:jc w:val="right"/>
            </w:pPr>
            <w:r>
              <w:rPr>
                <w:rFonts w:ascii="Calibri" w:hAnsi="Calibri"/>
                <w:b/>
                <w:color w:val="1B365D"/>
                <w:sz w:val="17"/>
              </w:rPr>
              <w:t>+28.72 pp</w:t>
            </w:r>
          </w:p>
        </w:tc>
        <w:tc>
          <w:tcPr>
            <w:tcW w:type="dxa" w:w="2448"/>
            <w:shd w:fill="F7FAFC"/>
            <w:tcMar>
              <w:top w:w="70" w:type="dxa"/>
              <w:bottom w:w="70" w:type="dxa"/>
              <w:left w:w="100" w:type="dxa"/>
              <w:right w:w="100" w:type="dxa"/>
            </w:tcMar>
          </w:tcPr>
          <w:p>
            <w:pPr>
              <w:spacing w:before="0" w:after="0"/>
              <w:jc w:val="left"/>
            </w:pPr>
            <w:r>
              <w:rPr>
                <w:rFonts w:ascii="Calibri" w:hAnsi="Calibri"/>
                <w:b/>
                <w:color w:val="1B365D"/>
                <w:sz w:val="17"/>
              </w:rPr>
              <w:t>CAPITAL PRODUCTIVO DE MÁXIMA GENERACIÓN ECONÓMICA.</w:t>
            </w:r>
          </w:p>
        </w:tc>
      </w:tr>
    </w:tbl>
    <w:p>
      <w:pPr>
        <w:spacing w:after="120"/>
      </w:pPr>
    </w:p>
    <w:p>
      <w:pPr>
        <w:keepNext/>
        <w:spacing w:before="240" w:after="80"/>
      </w:pPr>
      <w:r>
        <w:rPr>
          <w:rFonts w:ascii="Calibri" w:hAnsi="Calibri"/>
          <w:b/>
          <w:color w:val="4A5568"/>
          <w:sz w:val="23"/>
        </w:rPr>
        <w:t>Bloque C: Evolución Histórica Multianual y Consistencia de Tendencia</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DIAGNÓSTICO DE SOSTENIBILIDAD TEMPORAL</w:t>
              <w:br/>
            </w:r>
          </w:p>
          <w:p>
            <w:pPr>
              <w:spacing w:before="40" w:after="40" w:line="276" w:lineRule="auto"/>
            </w:pPr>
            <w:r>
              <w:rPr>
                <w:rFonts w:ascii="Calibri" w:hAnsi="Calibri"/>
                <w:color w:val="2D3748"/>
                <w:sz w:val="19"/>
              </w:rPr>
              <w:t>• Expansión a 3 Años (vs. FY2024): +6.51 puntos porcentuales.</w:t>
            </w:r>
          </w:p>
          <w:p>
            <w:pPr>
              <w:spacing w:before="40" w:after="40" w:line="276" w:lineRule="auto"/>
            </w:pPr>
            <w:r>
              <w:rPr>
                <w:rFonts w:ascii="Calibri" w:hAnsi="Calibri"/>
                <w:color w:val="2D3748"/>
                <w:sz w:val="19"/>
              </w:rPr>
              <w:t>• Expansión a 5 Años (vs. FY2022): +13.66 puntos porcentuales.</w:t>
            </w:r>
          </w:p>
          <w:p>
            <w:pPr>
              <w:spacing w:before="40" w:after="40" w:line="276" w:lineRule="auto"/>
            </w:pPr>
            <w:r>
              <w:rPr>
                <w:rFonts w:ascii="Calibri" w:hAnsi="Calibri"/>
                <w:color w:val="2D3748"/>
                <w:sz w:val="19"/>
              </w:rPr>
              <w:t>• Coeficiente de Variación (CV GP/A): 0.089 (indica una trayectoria predecible y baja volatilidad operativa).</w:t>
            </w:r>
          </w:p>
          <w:p>
            <w:pPr>
              <w:spacing w:before="40" w:after="40" w:line="276" w:lineRule="auto"/>
            </w:pPr>
            <w:r>
              <w:rPr>
                <w:rFonts w:ascii="Calibri" w:hAnsi="Calibri"/>
                <w:color w:val="2D3748"/>
                <w:sz w:val="19"/>
              </w:rPr>
              <w:t>• Conclusión de Tendencia: Expansión estructural acelerada (+13.66 p.p. en 5 años); aumento continuo de la productividad pura de capital.</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399"/>
        <w:gridCol w:w="1399"/>
        <w:gridCol w:w="1399"/>
        <w:gridCol w:w="1399"/>
        <w:gridCol w:w="1399"/>
        <w:gridCol w:w="1399"/>
        <w:gridCol w:w="1399"/>
      </w:tblGrid>
      <w:tr>
        <w:tc>
          <w:tcPr>
            <w:tcW w:type="dxa" w:w="1440"/>
            <w:shd w:fill="1B365D"/>
            <w:tcMar>
              <w:top w:w="90" w:type="dxa"/>
              <w:bottom w:w="90" w:type="dxa"/>
              <w:left w:w="100" w:type="dxa"/>
              <w:right w:w="100" w:type="dxa"/>
            </w:tcMar>
          </w:tcPr>
          <w:p>
            <w:pPr>
              <w:spacing w:before="0" w:after="0"/>
              <w:jc w:val="left"/>
            </w:pPr>
            <w:r>
              <w:rPr>
                <w:rFonts w:ascii="Calibri" w:hAnsi="Calibri"/>
                <w:b/>
                <w:color w:val="FFFFFF"/>
                <w:sz w:val="18"/>
              </w:rPr>
              <w:t>Período Fiscal</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GP / Activos (%)</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GP Ex-Caja (%)</w:t>
            </w:r>
          </w:p>
        </w:tc>
        <w:tc>
          <w:tcPr>
            <w:tcW w:type="dxa" w:w="1296"/>
            <w:shd w:fill="1B365D"/>
            <w:tcMar>
              <w:top w:w="90" w:type="dxa"/>
              <w:bottom w:w="90" w:type="dxa"/>
              <w:left w:w="100" w:type="dxa"/>
              <w:right w:w="100" w:type="dxa"/>
            </w:tcMar>
          </w:tcPr>
          <w:p>
            <w:pPr>
              <w:spacing w:before="0" w:after="0"/>
              <w:jc w:val="right"/>
            </w:pPr>
            <w:r>
              <w:rPr>
                <w:rFonts w:ascii="Calibri" w:hAnsi="Calibri"/>
                <w:b/>
                <w:color w:val="FFFFFF"/>
                <w:sz w:val="18"/>
              </w:rPr>
              <w:t>Cash Drag (pp)</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Margen Bruto (%)</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Rotación (x)</w:t>
            </w:r>
          </w:p>
        </w:tc>
        <w:tc>
          <w:tcPr>
            <w:tcW w:type="dxa" w:w="1584"/>
            <w:shd w:fill="1B365D"/>
            <w:tcMar>
              <w:top w:w="90" w:type="dxa"/>
              <w:bottom w:w="90" w:type="dxa"/>
              <w:left w:w="100" w:type="dxa"/>
              <w:right w:w="100" w:type="dxa"/>
            </w:tcMar>
          </w:tcPr>
          <w:p>
            <w:pPr>
              <w:spacing w:before="0" w:after="0"/>
              <w:jc w:val="left"/>
            </w:pPr>
            <w:r>
              <w:rPr>
                <w:rFonts w:ascii="Calibri" w:hAnsi="Calibri"/>
                <w:b/>
                <w:color w:val="FFFFFF"/>
                <w:sz w:val="18"/>
              </w:rPr>
              <w:t>Cuadrante Estratégico</w:t>
            </w:r>
          </w:p>
        </w:tc>
      </w:tr>
      <w:tr>
        <w:tc>
          <w:tcPr>
            <w:tcW w:type="dxa" w:w="1440"/>
            <w:shd w:fill="FFFFFF"/>
            <w:tcMar>
              <w:top w:w="70" w:type="dxa"/>
              <w:bottom w:w="70" w:type="dxa"/>
              <w:left w:w="100" w:type="dxa"/>
              <w:right w:w="100" w:type="dxa"/>
            </w:tcMar>
          </w:tcPr>
          <w:p>
            <w:pPr>
              <w:spacing w:before="0" w:after="0"/>
              <w:jc w:val="left"/>
            </w:pPr>
            <w:r>
              <w:rPr>
                <w:rFonts w:ascii="Calibri" w:hAnsi="Calibri"/>
                <w:b/>
                <w:color w:val="1B365D"/>
                <w:sz w:val="17"/>
              </w:rPr>
              <w:t>LTM</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82.59%</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140.99%</w:t>
            </w:r>
          </w:p>
        </w:tc>
        <w:tc>
          <w:tcPr>
            <w:tcW w:type="dxa" w:w="1296"/>
            <w:shd w:fill="FFFFFF"/>
            <w:tcMar>
              <w:top w:w="70" w:type="dxa"/>
              <w:bottom w:w="70" w:type="dxa"/>
              <w:left w:w="100" w:type="dxa"/>
              <w:right w:w="100" w:type="dxa"/>
            </w:tcMar>
          </w:tcPr>
          <w:p>
            <w:pPr>
              <w:spacing w:before="0" w:after="0"/>
              <w:jc w:val="right"/>
            </w:pPr>
            <w:r>
              <w:rPr>
                <w:rFonts w:ascii="Calibri" w:hAnsi="Calibri"/>
                <w:b/>
                <w:color w:val="1B365D"/>
                <w:sz w:val="17"/>
              </w:rPr>
              <w:t>+58.41 pp</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57.80%</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1.429x</w:t>
            </w:r>
          </w:p>
        </w:tc>
        <w:tc>
          <w:tcPr>
            <w:tcW w:type="dxa" w:w="1584"/>
            <w:shd w:fill="FFFFFF"/>
            <w:tcMar>
              <w:top w:w="70" w:type="dxa"/>
              <w:bottom w:w="70" w:type="dxa"/>
              <w:left w:w="100" w:type="dxa"/>
              <w:right w:w="100" w:type="dxa"/>
            </w:tcMar>
          </w:tcPr>
          <w:p>
            <w:pPr>
              <w:spacing w:before="0" w:after="0"/>
              <w:jc w:val="left"/>
            </w:pPr>
            <w:r>
              <w:rPr>
                <w:rFonts w:ascii="Calibri" w:hAnsi="Calibri"/>
                <w:b/>
                <w:color w:val="1B365D"/>
                <w:sz w:val="17"/>
              </w:rPr>
              <w:t>COMPOUNDER DE ÉLITE</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FY2026</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85.63%</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177.35%</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+91.72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57.70%</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1.484x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COMPOUNDER DE ÉLITE</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FY2025</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80.83%</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171.66%</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+90.83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57.88%</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1.396x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COMPOUNDER DE ÉLITE</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FY2024</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76.08%</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146.03%</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+69.95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55.63%</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1.367x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COMPOUNDER DE ÉLITE</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FY2023</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71.41%</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115.94%</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+44.53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50.32%</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1.419x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LÍDER EN VOLUMEN Y ESCALA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FY2022</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68.93%</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107.98%</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+39.05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51.03%</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1.351x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LÍDER EN VOLUMEN Y ESCALA</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FY2021</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63.39%</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127.43%</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+64.04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53.98%</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1.174x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COMPOUNDER DE ÉLITE</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FY2020</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62.53%</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98.92%</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+36.40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51.75%</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1.208x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LÍDER EN VOLUMEN Y ESCALA</w:t>
            </w:r>
          </w:p>
        </w:tc>
      </w:tr>
    </w:tbl>
    <w:p>
      <w:pPr>
        <w:spacing w:after="120"/>
      </w:pPr>
    </w:p>
    <w:p>
      <w:pPr>
        <w:keepNext/>
        <w:spacing w:before="240" w:after="80"/>
      </w:pPr>
      <w:r>
        <w:rPr>
          <w:rFonts w:ascii="Calibri" w:hAnsi="Calibri"/>
          <w:b/>
          <w:color w:val="4A5568"/>
          <w:sz w:val="23"/>
        </w:rPr>
        <w:t>Bloque D: Benchmarking Sectorial y Ranking Competitivo de la Industria</w:t>
      </w:r>
    </w:p>
    <w:p>
      <w:pPr>
        <w:spacing w:before="0" w:after="80" w:line="276" w:lineRule="auto"/>
      </w:pPr>
      <w:r>
        <w:rPr>
          <w:rFonts w:ascii="Calibri" w:hAnsi="Calibri"/>
          <w:i w:val="0"/>
          <w:color w:val="2D3748"/>
          <w:sz w:val="20"/>
        </w:rPr>
        <w:t>A continuación se presenta el ranking institucional de la canasta de pares directos ordenados rigurosamente por su Rentabilidad Bruta sobre Activos Totales (Gross Profitability de Novy-Marx), contrastando la métrica nominal con la métrica operativa ex-caja y la distancia en puntos porcentuales frente a la mediana de la industria:</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088"/>
        <w:gridCol w:w="1088"/>
        <w:gridCol w:w="1088"/>
        <w:gridCol w:w="1088"/>
        <w:gridCol w:w="1088"/>
        <w:gridCol w:w="1088"/>
        <w:gridCol w:w="1088"/>
        <w:gridCol w:w="1088"/>
        <w:gridCol w:w="1088"/>
      </w:tblGrid>
      <w:tr>
        <w:tc>
          <w:tcPr>
            <w:tcW w:type="dxa" w:w="720"/>
            <w:shd w:fill="1B365D"/>
            <w:tcMar>
              <w:top w:w="90" w:type="dxa"/>
              <w:bottom w:w="90" w:type="dxa"/>
              <w:left w:w="100" w:type="dxa"/>
              <w:right w:w="100" w:type="dxa"/>
            </w:tcMar>
          </w:tcPr>
          <w:p>
            <w:pPr>
              <w:spacing w:before="0" w:after="0"/>
              <w:jc w:val="left"/>
            </w:pPr>
            <w:r>
              <w:rPr>
                <w:rFonts w:ascii="Calibri" w:hAnsi="Calibri"/>
                <w:b/>
                <w:color w:val="FFFFFF"/>
                <w:sz w:val="18"/>
              </w:rPr>
              <w:t>Rank</w:t>
            </w:r>
          </w:p>
        </w:tc>
        <w:tc>
          <w:tcPr>
            <w:tcW w:type="dxa" w:w="1008"/>
            <w:shd w:fill="1B365D"/>
            <w:tcMar>
              <w:top w:w="90" w:type="dxa"/>
              <w:bottom w:w="90" w:type="dxa"/>
              <w:left w:w="100" w:type="dxa"/>
              <w:right w:w="100" w:type="dxa"/>
            </w:tcMar>
          </w:tcPr>
          <w:p>
            <w:pPr>
              <w:spacing w:before="0" w:after="0"/>
              <w:jc w:val="right"/>
            </w:pPr>
            <w:r>
              <w:rPr>
                <w:rFonts w:ascii="Calibri" w:hAnsi="Calibri"/>
                <w:b/>
                <w:color w:val="FFFFFF"/>
                <w:sz w:val="18"/>
              </w:rPr>
              <w:t>Ticker</w:t>
            </w:r>
          </w:p>
        </w:tc>
        <w:tc>
          <w:tcPr>
            <w:tcW w:type="dxa" w:w="2016"/>
            <w:shd w:fill="1B365D"/>
            <w:tcMar>
              <w:top w:w="90" w:type="dxa"/>
              <w:bottom w:w="90" w:type="dxa"/>
              <w:left w:w="100" w:type="dxa"/>
              <w:right w:w="100" w:type="dxa"/>
            </w:tcMar>
          </w:tcPr>
          <w:p>
            <w:pPr>
              <w:spacing w:before="0" w:after="0"/>
              <w:jc w:val="right"/>
            </w:pPr>
            <w:r>
              <w:rPr>
                <w:rFonts w:ascii="Calibri" w:hAnsi="Calibri"/>
                <w:b/>
                <w:color w:val="FFFFFF"/>
                <w:sz w:val="18"/>
              </w:rPr>
              <w:t>Empresa Competidora</w:t>
            </w:r>
          </w:p>
        </w:tc>
        <w:tc>
          <w:tcPr>
            <w:tcW w:type="dxa" w:w="1296"/>
            <w:shd w:fill="1B365D"/>
            <w:tcMar>
              <w:top w:w="90" w:type="dxa"/>
              <w:bottom w:w="90" w:type="dxa"/>
              <w:left w:w="100" w:type="dxa"/>
              <w:right w:w="100" w:type="dxa"/>
            </w:tcMar>
          </w:tcPr>
          <w:p>
            <w:pPr>
              <w:spacing w:before="0" w:after="0"/>
              <w:jc w:val="right"/>
            </w:pPr>
            <w:r>
              <w:rPr>
                <w:rFonts w:ascii="Calibri" w:hAnsi="Calibri"/>
                <w:b/>
                <w:color w:val="FFFFFF"/>
                <w:sz w:val="18"/>
              </w:rPr>
              <w:t>Período</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GP / Activos</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GP Ex-Caja</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Margen Bruto</w:t>
            </w:r>
          </w:p>
        </w:tc>
        <w:tc>
          <w:tcPr>
            <w:tcW w:type="dxa" w:w="720"/>
            <w:shd w:fill="1B365D"/>
            <w:tcMar>
              <w:top w:w="90" w:type="dxa"/>
              <w:bottom w:w="90" w:type="dxa"/>
              <w:left w:w="100" w:type="dxa"/>
              <w:right w:w="100" w:type="dxa"/>
            </w:tcMar>
          </w:tcPr>
          <w:p>
            <w:pPr>
              <w:spacing w:before="0" w:after="0"/>
              <w:jc w:val="right"/>
            </w:pPr>
            <w:r>
              <w:rPr>
                <w:rFonts w:ascii="Calibri" w:hAnsi="Calibri"/>
                <w:b/>
                <w:color w:val="FFFFFF"/>
                <w:sz w:val="18"/>
              </w:rPr>
              <w:t>Rotación</w:t>
            </w:r>
          </w:p>
        </w:tc>
        <w:tc>
          <w:tcPr>
            <w:tcW w:type="dxa" w:w="1152"/>
            <w:shd w:fill="1B365D"/>
            <w:tcMar>
              <w:top w:w="90" w:type="dxa"/>
              <w:bottom w:w="90" w:type="dxa"/>
              <w:left w:w="100" w:type="dxa"/>
              <w:right w:w="100" w:type="dxa"/>
            </w:tcMar>
          </w:tcPr>
          <w:p>
            <w:pPr>
              <w:spacing w:before="0" w:after="0"/>
              <w:jc w:val="left"/>
            </w:pPr>
            <w:r>
              <w:rPr>
                <w:rFonts w:ascii="Calibri" w:hAnsi="Calibri"/>
                <w:b/>
                <w:color w:val="FFFFFF"/>
                <w:sz w:val="18"/>
              </w:rPr>
              <w:t>Brecha vs Mediana</w:t>
            </w:r>
          </w:p>
        </w:tc>
      </w:tr>
      <w:tr>
        <w:tc>
          <w:tcPr>
            <w:tcW w:type="dxa" w:w="720"/>
            <w:shd w:fill="FFFFFF"/>
            <w:tcMar>
              <w:top w:w="70" w:type="dxa"/>
              <w:bottom w:w="70" w:type="dxa"/>
              <w:left w:w="100" w:type="dxa"/>
              <w:right w:w="100" w:type="dxa"/>
            </w:tcMar>
          </w:tcPr>
          <w:p>
            <w:pPr>
              <w:spacing w:before="0" w:after="0"/>
              <w:jc w:val="left"/>
            </w:pPr>
            <w:r>
              <w:rPr>
                <w:rFonts w:ascii="Calibri" w:hAnsi="Calibri"/>
                <w:b/>
                <w:color w:val="1B365D"/>
                <w:sz w:val="17"/>
              </w:rPr>
              <w:t>#1</w:t>
            </w:r>
          </w:p>
        </w:tc>
        <w:tc>
          <w:tcPr>
            <w:tcW w:type="dxa" w:w="1008"/>
            <w:shd w:fill="FFFFFF"/>
            <w:tcMar>
              <w:top w:w="70" w:type="dxa"/>
              <w:bottom w:w="70" w:type="dxa"/>
              <w:left w:w="100" w:type="dxa"/>
              <w:right w:w="100" w:type="dxa"/>
            </w:tcMar>
          </w:tcPr>
          <w:p>
            <w:pPr>
              <w:spacing w:before="0" w:after="0"/>
              <w:jc w:val="right"/>
            </w:pPr>
            <w:r>
              <w:rPr>
                <w:rFonts w:ascii="Calibri" w:hAnsi="Calibri"/>
                <w:b/>
                <w:color w:val="1B365D"/>
                <w:sz w:val="17"/>
              </w:rPr>
              <w:t>DECK</w:t>
            </w:r>
          </w:p>
        </w:tc>
        <w:tc>
          <w:tcPr>
            <w:tcW w:type="dxa" w:w="2016"/>
            <w:shd w:fill="FFFFFF"/>
            <w:tcMar>
              <w:top w:w="70" w:type="dxa"/>
              <w:bottom w:w="70" w:type="dxa"/>
              <w:left w:w="100" w:type="dxa"/>
              <w:right w:w="100" w:type="dxa"/>
            </w:tcMar>
          </w:tcPr>
          <w:p>
            <w:pPr>
              <w:spacing w:before="0" w:after="0"/>
              <w:jc w:val="right"/>
            </w:pPr>
            <w:r>
              <w:rPr>
                <w:rFonts w:ascii="Calibri" w:hAnsi="Calibri"/>
                <w:b/>
                <w:color w:val="1B365D"/>
                <w:sz w:val="17"/>
              </w:rPr>
              <w:t>Deckers Outdoor Corp.</w:t>
            </w:r>
          </w:p>
        </w:tc>
        <w:tc>
          <w:tcPr>
            <w:tcW w:type="dxa" w:w="1296"/>
            <w:shd w:fill="FFFFFF"/>
            <w:tcMar>
              <w:top w:w="70" w:type="dxa"/>
              <w:bottom w:w="70" w:type="dxa"/>
              <w:left w:w="100" w:type="dxa"/>
              <w:right w:w="100" w:type="dxa"/>
            </w:tcMar>
          </w:tcPr>
          <w:p>
            <w:pPr>
              <w:spacing w:before="0" w:after="0"/>
              <w:jc w:val="right"/>
            </w:pPr>
            <w:r>
              <w:rPr>
                <w:rFonts w:ascii="Calibri" w:hAnsi="Calibri"/>
                <w:b/>
                <w:color w:val="1B365D"/>
                <w:sz w:val="17"/>
              </w:rPr>
              <w:t>LTM (Q1 FY27 Móvil)</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82.59%</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137.80%</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57.80%</w:t>
            </w:r>
          </w:p>
        </w:tc>
        <w:tc>
          <w:tcPr>
            <w:tcW w:type="dxa" w:w="720"/>
            <w:shd w:fill="FFFFFF"/>
            <w:tcMar>
              <w:top w:w="70" w:type="dxa"/>
              <w:bottom w:w="70" w:type="dxa"/>
              <w:left w:w="100" w:type="dxa"/>
              <w:right w:w="100" w:type="dxa"/>
            </w:tcMar>
          </w:tcPr>
          <w:p>
            <w:pPr>
              <w:spacing w:before="0" w:after="0"/>
              <w:jc w:val="right"/>
            </w:pPr>
            <w:r>
              <w:rPr>
                <w:rFonts w:ascii="Calibri" w:hAnsi="Calibri"/>
                <w:b/>
                <w:color w:val="1B365D"/>
                <w:sz w:val="17"/>
              </w:rPr>
              <w:t>1.43x</w:t>
            </w:r>
          </w:p>
        </w:tc>
        <w:tc>
          <w:tcPr>
            <w:tcW w:type="dxa" w:w="1152"/>
            <w:shd w:fill="FFFFFF"/>
            <w:tcMar>
              <w:top w:w="70" w:type="dxa"/>
              <w:bottom w:w="70" w:type="dxa"/>
              <w:left w:w="100" w:type="dxa"/>
              <w:right w:w="100" w:type="dxa"/>
            </w:tcMar>
          </w:tcPr>
          <w:p>
            <w:pPr>
              <w:spacing w:before="0" w:after="0"/>
              <w:jc w:val="left"/>
            </w:pPr>
            <w:r>
              <w:rPr>
                <w:rFonts w:ascii="Calibri" w:hAnsi="Calibri"/>
                <w:b/>
                <w:color w:val="1B365D"/>
                <w:sz w:val="17"/>
              </w:rPr>
              <w:t>+28.72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#2</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SKX</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Skechers U.S.A., Inc.</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(FY2025 Auditado)</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55.90%</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66.99%</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52.70%</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1.06x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+2.04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#3</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SHOO</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Steven Madden, Ltd.</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(FY2025 Auditado)</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54.64%</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61.74%</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41.48%</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1.32x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+0.78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#4</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NKE</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NIKE, Inc.</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(FY2026 Auditado)</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53.87%</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66.29%</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44.59%</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1.21x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+0.00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#5</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CROX</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Crocs, Inc.</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(FY2025 Auditado)</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53.80%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57.23%</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55.59%</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0.97x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-0.07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#6</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ONON</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On Holding AG</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(FY2025 Auditado)</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46.88%</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55.56%</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60.00%</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0.78x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-6.99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#7</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WWW</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 xml:space="preserve">Wolverine World Wide, </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(FY2025 Auditado)</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46.04%</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51.46%</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41.99%</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1.10x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-7.82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MEDIANA</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Mediana Sectorial</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53.87%</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61.74%</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52.70%</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1.10x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0.00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P75</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Percentil 75 Líder</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55.27%</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+1.41 pp</w:t>
            </w:r>
          </w:p>
        </w:tc>
      </w:tr>
    </w:tbl>
    <w:p>
      <w:pPr>
        <w:spacing w:after="120"/>
      </w:pPr>
    </w:p>
    <w:p>
      <w:pPr>
        <w:keepNext/>
        <w:spacing w:before="240" w:after="80"/>
      </w:pPr>
      <w:r>
        <w:rPr>
          <w:rFonts w:ascii="Calibri" w:hAnsi="Calibri"/>
          <w:b/>
          <w:color w:val="4A5568"/>
          <w:sz w:val="23"/>
        </w:rPr>
        <w:t>Conclusiones Fundamentales para Modelos de Valoración</w:t>
      </w:r>
    </w:p>
    <w:p>
      <w:pPr>
        <w:spacing w:before="0" w:after="80" w:line="276" w:lineRule="auto"/>
      </w:pPr>
      <w:r>
        <w:rPr>
          <w:rFonts w:ascii="Calibri" w:hAnsi="Calibri"/>
          <w:i w:val="0"/>
          <w:color w:val="2D3748"/>
          <w:sz w:val="20"/>
        </w:rPr>
        <w:t>Conclusión Analítica: DECK lidera o se consolida en la cúspide de su industria en la métrica de Novy-Marx. Al conjugar poder de fijación de precios con una rotación de activos disciplinada, su modelo de negocio es inmune a la compresión de márgenes que sufren competidores con activos sobredimensionados o márgenes brutos deprimidos.</w:t>
      </w:r>
    </w:p>
    <w:p>
      <w:pPr>
        <w:pStyle w:val="Heading1"/>
        <w:spacing w:before="360" w:after="160"/>
      </w:pPr>
      <w:r>
        <w:t>12. Rendimiento del Capital Ajustado por Intangibles, Costo de Capital (WACC) y Creación de Valor Económico</w:t>
      </w:r>
    </w:p>
    <w:p>
      <w:r>
        <w:rPr>
          <w:i/>
          <w:sz w:val="20"/>
        </w:rPr>
        <w:t>Evaluación del retorno económico del capital y la sostenibilidad de las ventajas competitivas (Economic Moat) para Deckers Outdoor Corporation (DECK) al período LTM.</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DICTAMEN DE VALOR ECONÓMICO: 🏰 WIDE MOAT / COMPOUNDING MACHINE (SPREAD +43.19 p.p.)</w:t>
              <w:br/>
            </w:r>
          </w:p>
          <w:p>
            <w:pPr>
              <w:spacing w:before="40" w:after="40" w:line="276" w:lineRule="auto"/>
            </w:pPr>
            <w:r>
              <w:rPr>
                <w:rFonts w:ascii="Calibri" w:hAnsi="Calibri"/>
                <w:color w:val="2D3748"/>
                <w:sz w:val="19"/>
              </w:rPr>
              <w:t>• ROC Greenblatt Tangible (LTM): 234.09% (Productividad operativa pura pre-tax sobre capital de trabajo y PP&amp;E físico instalado).</w:t>
            </w:r>
          </w:p>
          <w:p>
            <w:pPr>
              <w:spacing w:before="40" w:after="40" w:line="276" w:lineRule="auto"/>
            </w:pPr>
            <w:r>
              <w:rPr>
                <w:rFonts w:ascii="Calibri" w:hAnsi="Calibri"/>
                <w:color w:val="2D3748"/>
                <w:sz w:val="19"/>
              </w:rPr>
              <w:t>• ROIC Ajustado por Intangibles (LTM): 53.58% frente a un ROIC contable tradicional de 90.86%.</w:t>
            </w:r>
          </w:p>
          <w:p>
            <w:pPr>
              <w:spacing w:before="40" w:after="40" w:line="276" w:lineRule="auto"/>
            </w:pPr>
            <w:r>
              <w:rPr>
                <w:rFonts w:ascii="Calibri" w:hAnsi="Calibri"/>
                <w:color w:val="2D3748"/>
                <w:sz w:val="19"/>
              </w:rPr>
              <w:t>• Costo Promedio Ponderado de Capital (WACC): 10.39% (Costo del Equity Ke: 10.39%, Deuda Neta Kd: 0.00%).</w:t>
            </w:r>
          </w:p>
          <w:p>
            <w:pPr>
              <w:spacing w:before="40" w:after="40" w:line="276" w:lineRule="auto"/>
            </w:pPr>
            <w:r>
              <w:rPr>
                <w:rFonts w:ascii="Calibri" w:hAnsi="Calibri"/>
                <w:color w:val="2D3748"/>
                <w:sz w:val="19"/>
              </w:rPr>
              <w:t>• Spread Económico Neto: +43.19 p.p. de rendimiento por encima del costo de capital exigido por el mercado.</w:t>
            </w:r>
          </w:p>
          <w:p>
            <w:pPr>
              <w:spacing w:before="40" w:after="40" w:line="276" w:lineRule="auto"/>
            </w:pPr>
            <w:r>
              <w:rPr>
                <w:rFonts w:ascii="Calibri" w:hAnsi="Calibri"/>
                <w:color w:val="2D3748"/>
                <w:sz w:val="19"/>
              </w:rPr>
              <w:t>• Stock de Intangibles Fuera de Balance: $947.5M capitalizados en innovación y amortizados económicamente a 3 años.</w:t>
            </w:r>
          </w:p>
          <w:p>
            <w:pPr>
              <w:spacing w:before="40" w:after="40" w:line="276" w:lineRule="auto"/>
            </w:pPr>
            <w:r>
              <w:rPr>
                <w:rFonts w:ascii="Calibri" w:hAnsi="Calibri"/>
                <w:color w:val="2D3748"/>
                <w:sz w:val="19"/>
              </w:rPr>
              <w:t>• Tesis de Foso Defensivo: El negocio genera un retorno ajustado (53.58%) que supera a su costo de capital (10.39%) por más de 43.19 puntos porcentuales. Por cada $100 de capital empleado, crea más de $15 anuales de valor neto por encima de lo que exigen accionistas y bancos. Posee ventajas competitivas profundas y duraderas.</w:t>
            </w:r>
          </w:p>
        </w:tc>
      </w:tr>
    </w:tbl>
    <w:p>
      <w:pPr>
        <w:spacing w:before="0" w:after="120"/>
      </w:pPr>
    </w:p>
    <w:p>
      <w:pPr>
        <w:pStyle w:val="Heading2"/>
      </w:pPr>
      <w:r>
        <w:t>12.1. Bloque A: Auditoría de Parámetros de Mercado en Tiempo Real</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3168"/>
        <w:gridCol w:w="1728"/>
        <w:gridCol w:w="2592"/>
        <w:gridCol w:w="2304"/>
      </w:tblGrid>
      <w:tr>
        <w:tc>
          <w:tcPr>
            <w:tcW w:type="dxa" w:w="2448"/>
            <w:shd w:fill="1B365D"/>
            <w:tcMar>
              <w:top w:w="80" w:type="dxa"/>
              <w:bottom w:w="80" w:type="dxa"/>
              <w:left w:w="100" w:type="dxa"/>
              <w:right w:w="100" w:type="dxa"/>
            </w:tcMar>
          </w:tcPr>
          <w:p>
            <w:r>
              <w:rPr>
                <w:b/>
                <w:color w:val="FFFFFF"/>
                <w:sz w:val="18"/>
              </w:rPr>
              <w:t>Variable de Mercado</w:t>
            </w:r>
          </w:p>
        </w:tc>
        <w:tc>
          <w:tcPr>
            <w:tcW w:type="dxa" w:w="2448"/>
            <w:shd w:fill="1B365D"/>
            <w:tcMar>
              <w:top w:w="80" w:type="dxa"/>
              <w:bottom w:w="80" w:type="dxa"/>
              <w:left w:w="100" w:type="dxa"/>
              <w:right w:w="100" w:type="dxa"/>
            </w:tcMar>
          </w:tcPr>
          <w:p>
            <w:r>
              <w:rPr>
                <w:b/>
                <w:color w:val="FFFFFF"/>
                <w:sz w:val="18"/>
              </w:rPr>
              <w:t>Valor Validado</w:t>
            </w:r>
          </w:p>
        </w:tc>
        <w:tc>
          <w:tcPr>
            <w:tcW w:type="dxa" w:w="2448"/>
            <w:shd w:fill="1B365D"/>
            <w:tcMar>
              <w:top w:w="80" w:type="dxa"/>
              <w:bottom w:w="80" w:type="dxa"/>
              <w:left w:w="100" w:type="dxa"/>
              <w:right w:w="100" w:type="dxa"/>
            </w:tcMar>
          </w:tcPr>
          <w:p>
            <w:r>
              <w:rPr>
                <w:b/>
                <w:color w:val="FFFFFF"/>
                <w:sz w:val="18"/>
              </w:rPr>
              <w:t>Fuentes Consultadas</w:t>
            </w:r>
          </w:p>
        </w:tc>
        <w:tc>
          <w:tcPr>
            <w:tcW w:type="dxa" w:w="2448"/>
            <w:shd w:fill="1B365D"/>
            <w:tcMar>
              <w:top w:w="80" w:type="dxa"/>
              <w:bottom w:w="80" w:type="dxa"/>
              <w:left w:w="100" w:type="dxa"/>
              <w:right w:w="100" w:type="dxa"/>
            </w:tcMar>
          </w:tcPr>
          <w:p>
            <w:r>
              <w:rPr>
                <w:b/>
                <w:color w:val="FFFFFF"/>
                <w:sz w:val="18"/>
              </w:rPr>
              <w:t>Estatus de Auditoría</w:t>
            </w:r>
          </w:p>
        </w:tc>
      </w:tr>
      <w:tr>
        <w:tc>
          <w:tcPr>
            <w:tcW w:type="dxa" w:w="2448"/>
            <w:tcMar>
              <w:top w:w="60" w:type="dxa"/>
              <w:bottom w:w="60" w:type="dxa"/>
              <w:left w:w="100" w:type="dxa"/>
              <w:right w:w="100" w:type="dxa"/>
            </w:tcMar>
          </w:tcPr>
          <w:p>
            <w:r>
              <w:rPr>
                <w:b/>
                <w:sz w:val="17"/>
              </w:rPr>
              <w:t>Precio de Mercado de la Acción</w:t>
            </w:r>
          </w:p>
        </w:tc>
        <w:tc>
          <w:tcPr>
            <w:tcW w:type="dxa" w:w="2448"/>
            <w:tcMar>
              <w:top w:w="60" w:type="dxa"/>
              <w:bottom w:w="60" w:type="dxa"/>
              <w:left w:w="100" w:type="dxa"/>
              <w:right w:w="100" w:type="dxa"/>
            </w:tcMar>
          </w:tcPr>
          <w:p>
            <w:r>
              <w:rPr>
                <w:sz w:val="17"/>
              </w:rPr>
              <w:t>$78.43</w:t>
            </w:r>
          </w:p>
        </w:tc>
        <w:tc>
          <w:tcPr>
            <w:tcW w:type="dxa" w:w="2448"/>
            <w:tcMar>
              <w:top w:w="60" w:type="dxa"/>
              <w:bottom w:w="60" w:type="dxa"/>
              <w:left w:w="100" w:type="dxa"/>
              <w:right w:w="100" w:type="dxa"/>
            </w:tcMar>
          </w:tcPr>
          <w:p>
            <w:r>
              <w:rPr>
                <w:sz w:val="17"/>
              </w:rPr>
              <w:t>Yahoo Finance / CNBC Quotes</w:t>
            </w:r>
          </w:p>
        </w:tc>
        <w:tc>
          <w:tcPr>
            <w:tcW w:type="dxa" w:w="2448"/>
            <w:tcMar>
              <w:top w:w="60" w:type="dxa"/>
              <w:bottom w:w="60" w:type="dxa"/>
              <w:left w:w="100" w:type="dxa"/>
              <w:right w:w="100" w:type="dxa"/>
            </w:tcMar>
          </w:tcPr>
          <w:p>
            <w:r>
              <w:rPr>
                <w:sz w:val="17"/>
              </w:rPr>
              <w:t>Consenso Validado (Δ &lt; 0.1%)</w:t>
            </w:r>
          </w:p>
        </w:tc>
      </w:tr>
      <w:tr>
        <w:tc>
          <w:tcPr>
            <w:tcW w:type="dxa" w:w="2448"/>
            <w:tcMar>
              <w:top w:w="60" w:type="dxa"/>
              <w:bottom w:w="60" w:type="dxa"/>
              <w:left w:w="100" w:type="dxa"/>
              <w:right w:w="100" w:type="dxa"/>
            </w:tcMar>
            <w:shd w:fill="F7FAFC"/>
          </w:tcPr>
          <w:p>
            <w:r>
              <w:rPr>
                <w:b/>
                <w:sz w:val="17"/>
              </w:rPr>
              <w:t>Capitalización Bursátil (Market Cap - E)</w:t>
            </w:r>
          </w:p>
        </w:tc>
        <w:tc>
          <w:tcPr>
            <w:tcW w:type="dxa" w:w="2448"/>
            <w:tcMar>
              <w:top w:w="60" w:type="dxa"/>
              <w:bottom w:w="60" w:type="dxa"/>
              <w:left w:w="100" w:type="dxa"/>
              <w:right w:w="100" w:type="dxa"/>
            </w:tcMar>
            <w:shd w:fill="F7FAFC"/>
          </w:tcPr>
          <w:p>
            <w:r>
              <w:rPr>
                <w:sz w:val="17"/>
              </w:rPr>
              <w:t>$10,867.2M</w:t>
            </w:r>
          </w:p>
        </w:tc>
        <w:tc>
          <w:tcPr>
            <w:tcW w:type="dxa" w:w="2448"/>
            <w:tcMar>
              <w:top w:w="60" w:type="dxa"/>
              <w:bottom w:w="60" w:type="dxa"/>
              <w:left w:w="100" w:type="dxa"/>
              <w:right w:w="100" w:type="dxa"/>
            </w:tcMar>
            <w:shd w:fill="F7FAFC"/>
          </w:tcPr>
          <w:p>
            <w:r>
              <w:rPr>
                <w:sz w:val="17"/>
              </w:rPr>
              <w:t>Arbitraje SEC 10-Q &amp; Mercado</w:t>
            </w:r>
          </w:p>
        </w:tc>
        <w:tc>
          <w:tcPr>
            <w:tcW w:type="dxa" w:w="2448"/>
            <w:tcMar>
              <w:top w:w="60" w:type="dxa"/>
              <w:bottom w:w="60" w:type="dxa"/>
              <w:left w:w="100" w:type="dxa"/>
              <w:right w:w="100" w:type="dxa"/>
            </w:tcMar>
            <w:shd w:fill="F7FAFC"/>
          </w:tcPr>
          <w:p>
            <w:r>
              <w:rPr>
                <w:sz w:val="17"/>
              </w:rPr>
              <w:t>Conteo Diluido Auditado</w:t>
            </w:r>
          </w:p>
        </w:tc>
      </w:tr>
      <w:tr>
        <w:tc>
          <w:tcPr>
            <w:tcW w:type="dxa" w:w="2448"/>
            <w:tcMar>
              <w:top w:w="60" w:type="dxa"/>
              <w:bottom w:w="60" w:type="dxa"/>
              <w:left w:w="100" w:type="dxa"/>
              <w:right w:w="100" w:type="dxa"/>
            </w:tcMar>
          </w:tcPr>
          <w:p>
            <w:r>
              <w:rPr>
                <w:b/>
                <w:sz w:val="17"/>
              </w:rPr>
              <w:t>Tasa Libre de Riesgo (Rf - Bono 10Y)</w:t>
            </w:r>
          </w:p>
        </w:tc>
        <w:tc>
          <w:tcPr>
            <w:tcW w:type="dxa" w:w="2448"/>
            <w:tcMar>
              <w:top w:w="60" w:type="dxa"/>
              <w:bottom w:w="60" w:type="dxa"/>
              <w:left w:w="100" w:type="dxa"/>
              <w:right w:w="100" w:type="dxa"/>
            </w:tcMar>
          </w:tcPr>
          <w:p>
            <w:r>
              <w:rPr>
                <w:sz w:val="17"/>
              </w:rPr>
              <w:t>5.00%</w:t>
            </w:r>
          </w:p>
        </w:tc>
        <w:tc>
          <w:tcPr>
            <w:tcW w:type="dxa" w:w="2448"/>
            <w:tcMar>
              <w:top w:w="60" w:type="dxa"/>
              <w:bottom w:w="60" w:type="dxa"/>
              <w:left w:w="100" w:type="dxa"/>
              <w:right w:w="100" w:type="dxa"/>
            </w:tcMar>
          </w:tcPr>
          <w:p>
            <w:r>
              <w:rPr>
                <w:sz w:val="17"/>
              </w:rPr>
              <w:t>Yahoo ^TNX / CNBC US10Y</w:t>
            </w:r>
          </w:p>
        </w:tc>
        <w:tc>
          <w:tcPr>
            <w:tcW w:type="dxa" w:w="2448"/>
            <w:tcMar>
              <w:top w:w="60" w:type="dxa"/>
              <w:bottom w:w="60" w:type="dxa"/>
              <w:left w:w="100" w:type="dxa"/>
              <w:right w:w="100" w:type="dxa"/>
            </w:tcMar>
          </w:tcPr>
          <w:p>
            <w:r>
              <w:rPr>
                <w:sz w:val="17"/>
              </w:rPr>
              <w:t>Δ &lt; 0.05% (Consensuado)</w:t>
            </w:r>
          </w:p>
        </w:tc>
      </w:tr>
      <w:tr>
        <w:tc>
          <w:tcPr>
            <w:tcW w:type="dxa" w:w="2448"/>
            <w:tcMar>
              <w:top w:w="60" w:type="dxa"/>
              <w:bottom w:w="60" w:type="dxa"/>
              <w:left w:w="100" w:type="dxa"/>
              <w:right w:w="100" w:type="dxa"/>
            </w:tcMar>
            <w:shd w:fill="F7FAFC"/>
          </w:tcPr>
          <w:p>
            <w:r>
              <w:rPr>
                <w:b/>
                <w:sz w:val="17"/>
              </w:rPr>
              <w:t>Beta de la Acción (β)</w:t>
            </w:r>
          </w:p>
        </w:tc>
        <w:tc>
          <w:tcPr>
            <w:tcW w:type="dxa" w:w="2448"/>
            <w:tcMar>
              <w:top w:w="60" w:type="dxa"/>
              <w:bottom w:w="60" w:type="dxa"/>
              <w:left w:w="100" w:type="dxa"/>
              <w:right w:w="100" w:type="dxa"/>
            </w:tcMar>
            <w:shd w:fill="F7FAFC"/>
          </w:tcPr>
          <w:p>
            <w:r>
              <w:rPr>
                <w:sz w:val="17"/>
              </w:rPr>
              <w:t>1.14</w:t>
            </w:r>
          </w:p>
        </w:tc>
        <w:tc>
          <w:tcPr>
            <w:tcW w:type="dxa" w:w="2448"/>
            <w:tcMar>
              <w:top w:w="60" w:type="dxa"/>
              <w:bottom w:w="60" w:type="dxa"/>
              <w:left w:w="100" w:type="dxa"/>
              <w:right w:w="100" w:type="dxa"/>
            </w:tcMar>
            <w:shd w:fill="F7FAFC"/>
          </w:tcPr>
          <w:p>
            <w:r>
              <w:rPr>
                <w:sz w:val="17"/>
              </w:rPr>
              <w:t>Yahoo 5Y Monthly / CNBC</w:t>
            </w:r>
          </w:p>
        </w:tc>
        <w:tc>
          <w:tcPr>
            <w:tcW w:type="dxa" w:w="2448"/>
            <w:tcMar>
              <w:top w:w="60" w:type="dxa"/>
              <w:bottom w:w="60" w:type="dxa"/>
              <w:left w:w="100" w:type="dxa"/>
              <w:right w:w="100" w:type="dxa"/>
            </w:tcMar>
            <w:shd w:fill="F7FAFC"/>
          </w:tcPr>
          <w:p>
            <w:r>
              <w:rPr>
                <w:sz w:val="17"/>
              </w:rPr>
              <w:t>Rango Estadístico Sectorial</w:t>
            </w:r>
          </w:p>
        </w:tc>
      </w:tr>
      <w:tr>
        <w:tc>
          <w:tcPr>
            <w:tcW w:type="dxa" w:w="2448"/>
            <w:tcMar>
              <w:top w:w="60" w:type="dxa"/>
              <w:bottom w:w="60" w:type="dxa"/>
              <w:left w:w="100" w:type="dxa"/>
              <w:right w:w="100" w:type="dxa"/>
            </w:tcMar>
          </w:tcPr>
          <w:p>
            <w:r>
              <w:rPr>
                <w:b/>
                <w:sz w:val="17"/>
              </w:rPr>
              <w:t>Prima de Riesgo de Mercado (ERP)</w:t>
            </w:r>
          </w:p>
        </w:tc>
        <w:tc>
          <w:tcPr>
            <w:tcW w:type="dxa" w:w="2448"/>
            <w:tcMar>
              <w:top w:w="60" w:type="dxa"/>
              <w:bottom w:w="60" w:type="dxa"/>
              <w:left w:w="100" w:type="dxa"/>
              <w:right w:w="100" w:type="dxa"/>
            </w:tcMar>
          </w:tcPr>
          <w:p>
            <w:r>
              <w:rPr>
                <w:sz w:val="17"/>
              </w:rPr>
              <w:t>4.75%</w:t>
            </w:r>
          </w:p>
        </w:tc>
        <w:tc>
          <w:tcPr>
            <w:tcW w:type="dxa" w:w="2448"/>
            <w:tcMar>
              <w:top w:w="60" w:type="dxa"/>
              <w:bottom w:w="60" w:type="dxa"/>
              <w:left w:w="100" w:type="dxa"/>
              <w:right w:w="100" w:type="dxa"/>
            </w:tcMar>
          </w:tcPr>
          <w:p>
            <w:r>
              <w:rPr>
                <w:sz w:val="17"/>
              </w:rPr>
              <w:t>Benchmark NYU Stern (Damodaran)</w:t>
            </w:r>
          </w:p>
        </w:tc>
        <w:tc>
          <w:tcPr>
            <w:tcW w:type="dxa" w:w="2448"/>
            <w:tcMar>
              <w:top w:w="60" w:type="dxa"/>
              <w:bottom w:w="60" w:type="dxa"/>
              <w:left w:w="100" w:type="dxa"/>
              <w:right w:w="100" w:type="dxa"/>
            </w:tcMar>
          </w:tcPr>
          <w:p>
            <w:r>
              <w:rPr>
                <w:sz w:val="17"/>
              </w:rPr>
              <w:t>Estándar Institucional</w:t>
            </w:r>
          </w:p>
        </w:tc>
      </w:tr>
    </w:tbl>
    <w:p/>
    <w:p>
      <w:pPr>
        <w:pStyle w:val="Heading2"/>
      </w:pPr>
      <w:r>
        <w:t>12.2. Desglose y Explicación del ROC Tangible (Joel Greenblatt)</w:t>
      </w:r>
    </w:p>
    <w:p>
      <w:r>
        <w:rPr>
          <w:sz w:val="19"/>
        </w:rPr>
        <w:t>El Return on Capital (ROC) de Joel Greenblatt evalúa la rentabilidad operativa pura antes de impuestos (EBIT) sobre los activos físicos tangibles (Capital de Trabajo Neto Operativo + PP&amp;E Físico). Para Deckers Outdoor Corporation, el ROC de 234.09% refleja un modelo extraordinariamente Asset-Light, donde los proveedores financian el circulante (NWC negativo) y la manufactura es subcontratada, rindiendo más de $3.00 de beneficio por dólar instalado.</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592"/>
        <w:gridCol w:w="1296"/>
        <w:gridCol w:w="1296"/>
        <w:gridCol w:w="2160"/>
        <w:gridCol w:w="2448"/>
      </w:tblGrid>
      <w:tr>
        <w:tc>
          <w:tcPr>
            <w:tcW w:type="dxa" w:w="1958"/>
            <w:shd w:fill="1B365D"/>
            <w:tcMar>
              <w:top w:w="80" w:type="dxa"/>
              <w:bottom w:w="80" w:type="dxa"/>
              <w:left w:w="100" w:type="dxa"/>
              <w:right w:w="100" w:type="dxa"/>
            </w:tcMar>
          </w:tcPr>
          <w:p>
            <w:r>
              <w:rPr>
                <w:b/>
                <w:color w:val="FFFFFF"/>
                <w:sz w:val="17"/>
              </w:rPr>
              <w:t>Partida Contable / Paso</w:t>
            </w:r>
          </w:p>
        </w:tc>
        <w:tc>
          <w:tcPr>
            <w:tcW w:type="dxa" w:w="1958"/>
            <w:shd w:fill="1B365D"/>
            <w:tcMar>
              <w:top w:w="80" w:type="dxa"/>
              <w:bottom w:w="80" w:type="dxa"/>
              <w:left w:w="100" w:type="dxa"/>
              <w:right w:w="100" w:type="dxa"/>
            </w:tcMar>
          </w:tcPr>
          <w:p>
            <w:r>
              <w:rPr>
                <w:b/>
                <w:color w:val="FFFFFF"/>
                <w:sz w:val="17"/>
              </w:rPr>
              <w:t>LTM</w:t>
            </w:r>
          </w:p>
        </w:tc>
        <w:tc>
          <w:tcPr>
            <w:tcW w:type="dxa" w:w="1958"/>
            <w:shd w:fill="1B365D"/>
            <w:tcMar>
              <w:top w:w="80" w:type="dxa"/>
              <w:bottom w:w="80" w:type="dxa"/>
              <w:left w:w="100" w:type="dxa"/>
              <w:right w:w="100" w:type="dxa"/>
            </w:tcMar>
          </w:tcPr>
          <w:p>
            <w:r>
              <w:rPr>
                <w:b/>
                <w:color w:val="FFFFFF"/>
                <w:sz w:val="17"/>
              </w:rPr>
              <w:t>FY2026</w:t>
            </w:r>
          </w:p>
        </w:tc>
        <w:tc>
          <w:tcPr>
            <w:tcW w:type="dxa" w:w="1958"/>
            <w:shd w:fill="1B365D"/>
            <w:tcMar>
              <w:top w:w="80" w:type="dxa"/>
              <w:bottom w:w="80" w:type="dxa"/>
              <w:left w:w="100" w:type="dxa"/>
              <w:right w:w="100" w:type="dxa"/>
            </w:tcMar>
          </w:tcPr>
          <w:p>
            <w:r>
              <w:rPr>
                <w:b/>
                <w:color w:val="FFFFFF"/>
                <w:sz w:val="17"/>
              </w:rPr>
              <w:t>Origen en Balances SEC</w:t>
            </w:r>
          </w:p>
        </w:tc>
        <w:tc>
          <w:tcPr>
            <w:tcW w:type="dxa" w:w="1958"/>
            <w:shd w:fill="1B365D"/>
            <w:tcMar>
              <w:top w:w="80" w:type="dxa"/>
              <w:bottom w:w="80" w:type="dxa"/>
              <w:left w:w="100" w:type="dxa"/>
              <w:right w:w="100" w:type="dxa"/>
            </w:tcMar>
          </w:tcPr>
          <w:p>
            <w:r>
              <w:rPr>
                <w:b/>
                <w:color w:val="FFFFFF"/>
                <w:sz w:val="17"/>
              </w:rPr>
              <w:t>Criterio y Salvaguarda Contable</w:t>
            </w:r>
          </w:p>
        </w:tc>
      </w:tr>
      <w:tr>
        <w:tc>
          <w:tcPr>
            <w:tcW w:type="dxa" w:w="1958"/>
            <w:tcMar>
              <w:top w:w="60" w:type="dxa"/>
              <w:bottom w:w="60" w:type="dxa"/>
              <w:left w:w="100" w:type="dxa"/>
              <w:right w:w="100" w:type="dxa"/>
            </w:tcMar>
          </w:tcPr>
          <w:p>
            <w:r>
              <w:rPr>
                <w:b/>
                <w:sz w:val="17"/>
              </w:rPr>
              <w:t>(+) Beneficio Operativo (EBIT)</w:t>
            </w:r>
          </w:p>
        </w:tc>
        <w:tc>
          <w:tcPr>
            <w:tcW w:type="dxa" w:w="1958"/>
            <w:tcMar>
              <w:top w:w="60" w:type="dxa"/>
              <w:bottom w:w="60" w:type="dxa"/>
              <w:left w:w="100" w:type="dxa"/>
              <w:right w:w="100" w:type="dxa"/>
            </w:tcMar>
          </w:tcPr>
          <w:p>
            <w:r>
              <w:rPr>
                <w:b/>
                <w:sz w:val="17"/>
              </w:rPr>
              <w:t>$1,252.9M</w:t>
            </w:r>
          </w:p>
        </w:tc>
        <w:tc>
          <w:tcPr>
            <w:tcW w:type="dxa" w:w="1958"/>
            <w:tcMar>
              <w:top w:w="60" w:type="dxa"/>
              <w:bottom w:w="60" w:type="dxa"/>
              <w:left w:w="100" w:type="dxa"/>
              <w:right w:w="100" w:type="dxa"/>
            </w:tcMar>
          </w:tcPr>
          <w:p>
            <w:r>
              <w:rPr>
                <w:sz w:val="17"/>
              </w:rPr>
              <w:t>$1,262.9M</w:t>
            </w:r>
          </w:p>
        </w:tc>
        <w:tc>
          <w:tcPr>
            <w:tcW w:type="dxa" w:w="1958"/>
            <w:tcMar>
              <w:top w:w="60" w:type="dxa"/>
              <w:bottom w:w="60" w:type="dxa"/>
              <w:left w:w="100" w:type="dxa"/>
              <w:right w:w="100" w:type="dxa"/>
            </w:tcMar>
          </w:tcPr>
          <w:p>
            <w:r>
              <w:rPr>
                <w:sz w:val="17"/>
              </w:rPr>
              <w:t>Income Statement (Operating Income)</w:t>
            </w:r>
          </w:p>
        </w:tc>
        <w:tc>
          <w:tcPr>
            <w:tcW w:type="dxa" w:w="1958"/>
            <w:tcMar>
              <w:top w:w="60" w:type="dxa"/>
              <w:bottom w:w="60" w:type="dxa"/>
              <w:left w:w="100" w:type="dxa"/>
              <w:right w:w="100" w:type="dxa"/>
            </w:tcMar>
          </w:tcPr>
          <w:p>
            <w:r>
              <w:rPr>
                <w:sz w:val="17"/>
              </w:rPr>
              <w:t>Beneficio operativo puro antes de intereses e impuestos.</w:t>
            </w:r>
          </w:p>
        </w:tc>
      </w:tr>
      <w:tr>
        <w:tc>
          <w:tcPr>
            <w:tcW w:type="dxa" w:w="1958"/>
            <w:tcMar>
              <w:top w:w="60" w:type="dxa"/>
              <w:bottom w:w="60" w:type="dxa"/>
              <w:left w:w="100" w:type="dxa"/>
              <w:right w:w="100" w:type="dxa"/>
            </w:tcMar>
            <w:shd w:fill="F7FAFC"/>
          </w:tcPr>
          <w:p>
            <w:r>
              <w:rPr>
                <w:b/>
                <w:sz w:val="17"/>
              </w:rPr>
              <w:t>(+) Activos Corrientes Operativos</w:t>
            </w:r>
          </w:p>
        </w:tc>
        <w:tc>
          <w:tcPr>
            <w:tcW w:type="dxa" w:w="1958"/>
            <w:tcMar>
              <w:top w:w="60" w:type="dxa"/>
              <w:bottom w:w="60" w:type="dxa"/>
              <w:left w:w="100" w:type="dxa"/>
              <w:right w:w="100" w:type="dxa"/>
            </w:tcMar>
            <w:shd w:fill="F7FAFC"/>
          </w:tcPr>
          <w:p>
            <w:r>
              <w:rPr>
                <w:b/>
                <w:sz w:val="17"/>
              </w:rPr>
              <w:t>$1,319.4M</w:t>
            </w:r>
          </w:p>
        </w:tc>
        <w:tc>
          <w:tcPr>
            <w:tcW w:type="dxa" w:w="1958"/>
            <w:tcMar>
              <w:top w:w="60" w:type="dxa"/>
              <w:bottom w:w="60" w:type="dxa"/>
              <w:left w:w="100" w:type="dxa"/>
              <w:right w:w="100" w:type="dxa"/>
            </w:tcMar>
            <w:shd w:fill="F7FAFC"/>
          </w:tcPr>
          <w:p>
            <w:r>
              <w:rPr>
                <w:sz w:val="17"/>
              </w:rPr>
              <w:t>$943.2M</w:t>
            </w:r>
          </w:p>
        </w:tc>
        <w:tc>
          <w:tcPr>
            <w:tcW w:type="dxa" w:w="1958"/>
            <w:tcMar>
              <w:top w:w="60" w:type="dxa"/>
              <w:bottom w:w="60" w:type="dxa"/>
              <w:left w:w="100" w:type="dxa"/>
              <w:right w:w="100" w:type="dxa"/>
            </w:tcMar>
            <w:shd w:fill="F7FAFC"/>
          </w:tcPr>
          <w:p>
            <w:r>
              <w:rPr>
                <w:sz w:val="17"/>
              </w:rPr>
              <w:t>Balance Sheet (Current Assets)</w:t>
            </w:r>
          </w:p>
        </w:tc>
        <w:tc>
          <w:tcPr>
            <w:tcW w:type="dxa" w:w="1958"/>
            <w:tcMar>
              <w:top w:w="60" w:type="dxa"/>
              <w:bottom w:w="60" w:type="dxa"/>
              <w:left w:w="100" w:type="dxa"/>
              <w:right w:w="100" w:type="dxa"/>
            </w:tcMar>
            <w:shd w:fill="F7FAFC"/>
          </w:tcPr>
          <w:p>
            <w:r>
              <w:rPr>
                <w:sz w:val="17"/>
              </w:rPr>
              <w:t>Total Current Assets menos Efectivo y Valores Negociables.</w:t>
            </w:r>
          </w:p>
        </w:tc>
      </w:tr>
      <w:tr>
        <w:tc>
          <w:tcPr>
            <w:tcW w:type="dxa" w:w="1958"/>
            <w:tcMar>
              <w:top w:w="60" w:type="dxa"/>
              <w:bottom w:w="60" w:type="dxa"/>
              <w:left w:w="100" w:type="dxa"/>
              <w:right w:w="100" w:type="dxa"/>
            </w:tcMar>
          </w:tcPr>
          <w:p>
            <w:r>
              <w:rPr>
                <w:b/>
                <w:sz w:val="17"/>
              </w:rPr>
              <w:t>(-) Pasivos Corrientes Operativos</w:t>
            </w:r>
          </w:p>
        </w:tc>
        <w:tc>
          <w:tcPr>
            <w:tcW w:type="dxa" w:w="1958"/>
            <w:tcMar>
              <w:top w:w="60" w:type="dxa"/>
              <w:bottom w:w="60" w:type="dxa"/>
              <w:left w:w="100" w:type="dxa"/>
              <w:right w:w="100" w:type="dxa"/>
            </w:tcMar>
          </w:tcPr>
          <w:p>
            <w:r>
              <w:rPr>
                <w:b/>
                <w:sz w:val="17"/>
              </w:rPr>
              <w:t>$1,063.6M</w:t>
            </w:r>
          </w:p>
        </w:tc>
        <w:tc>
          <w:tcPr>
            <w:tcW w:type="dxa" w:w="1958"/>
            <w:tcMar>
              <w:top w:w="60" w:type="dxa"/>
              <w:bottom w:w="60" w:type="dxa"/>
              <w:left w:w="100" w:type="dxa"/>
              <w:right w:w="100" w:type="dxa"/>
            </w:tcMar>
          </w:tcPr>
          <w:p>
            <w:r>
              <w:rPr>
                <w:sz w:val="17"/>
              </w:rPr>
              <w:t>$804.1M</w:t>
            </w:r>
          </w:p>
        </w:tc>
        <w:tc>
          <w:tcPr>
            <w:tcW w:type="dxa" w:w="1958"/>
            <w:tcMar>
              <w:top w:w="60" w:type="dxa"/>
              <w:bottom w:w="60" w:type="dxa"/>
              <w:left w:w="100" w:type="dxa"/>
              <w:right w:w="100" w:type="dxa"/>
            </w:tcMar>
          </w:tcPr>
          <w:p>
            <w:r>
              <w:rPr>
                <w:sz w:val="17"/>
              </w:rPr>
              <w:t>Balance Sheet (Current Liabilities)</w:t>
            </w:r>
          </w:p>
        </w:tc>
        <w:tc>
          <w:tcPr>
            <w:tcW w:type="dxa" w:w="1958"/>
            <w:tcMar>
              <w:top w:w="60" w:type="dxa"/>
              <w:bottom w:w="60" w:type="dxa"/>
              <w:left w:w="100" w:type="dxa"/>
              <w:right w:w="100" w:type="dxa"/>
            </w:tcMar>
          </w:tcPr>
          <w:p>
            <w:r>
              <w:rPr>
                <w:sz w:val="17"/>
              </w:rPr>
              <w:t>Total Current Liabilities menos Deuda CP / Papel Comercial.</w:t>
            </w:r>
          </w:p>
        </w:tc>
      </w:tr>
      <w:tr>
        <w:tc>
          <w:tcPr>
            <w:tcW w:type="dxa" w:w="1958"/>
            <w:tcMar>
              <w:top w:w="60" w:type="dxa"/>
              <w:bottom w:w="60" w:type="dxa"/>
              <w:left w:w="100" w:type="dxa"/>
              <w:right w:w="100" w:type="dxa"/>
            </w:tcMar>
            <w:shd w:fill="F7FAFC"/>
          </w:tcPr>
          <w:p>
            <w:r>
              <w:rPr>
                <w:b/>
                <w:sz w:val="17"/>
              </w:rPr>
              <w:t>(=) Capital de Trabajo Neto Operativo (NWC)</w:t>
            </w:r>
          </w:p>
        </w:tc>
        <w:tc>
          <w:tcPr>
            <w:tcW w:type="dxa" w:w="1958"/>
            <w:tcMar>
              <w:top w:w="60" w:type="dxa"/>
              <w:bottom w:w="60" w:type="dxa"/>
              <w:left w:w="100" w:type="dxa"/>
              <w:right w:w="100" w:type="dxa"/>
            </w:tcMar>
            <w:shd w:fill="F7FAFC"/>
          </w:tcPr>
          <w:p>
            <w:r>
              <w:rPr>
                <w:b/>
                <w:sz w:val="17"/>
              </w:rPr>
              <w:t>$255.8M</w:t>
            </w:r>
          </w:p>
        </w:tc>
        <w:tc>
          <w:tcPr>
            <w:tcW w:type="dxa" w:w="1958"/>
            <w:tcMar>
              <w:top w:w="60" w:type="dxa"/>
              <w:bottom w:w="60" w:type="dxa"/>
              <w:left w:w="100" w:type="dxa"/>
              <w:right w:w="100" w:type="dxa"/>
            </w:tcMar>
            <w:shd w:fill="F7FAFC"/>
          </w:tcPr>
          <w:p>
            <w:r>
              <w:rPr>
                <w:sz w:val="17"/>
              </w:rPr>
              <w:t>$139.1M</w:t>
            </w:r>
          </w:p>
        </w:tc>
        <w:tc>
          <w:tcPr>
            <w:tcW w:type="dxa" w:w="1958"/>
            <w:tcMar>
              <w:top w:w="60" w:type="dxa"/>
              <w:bottom w:w="60" w:type="dxa"/>
              <w:left w:w="100" w:type="dxa"/>
              <w:right w:w="100" w:type="dxa"/>
            </w:tcMar>
            <w:shd w:fill="F7FAFC"/>
          </w:tcPr>
          <w:p>
            <w:r>
              <w:rPr>
                <w:sz w:val="17"/>
              </w:rPr>
              <w:t>Cálculo Operativo Derivado</w:t>
            </w:r>
          </w:p>
        </w:tc>
        <w:tc>
          <w:tcPr>
            <w:tcW w:type="dxa" w:w="1958"/>
            <w:tcMar>
              <w:top w:w="60" w:type="dxa"/>
              <w:bottom w:w="60" w:type="dxa"/>
              <w:left w:w="100" w:type="dxa"/>
              <w:right w:w="100" w:type="dxa"/>
            </w:tcMar>
            <w:shd w:fill="F7FAFC"/>
          </w:tcPr>
          <w:p>
            <w:r>
              <w:rPr>
                <w:sz w:val="17"/>
              </w:rPr>
              <w:t>Activos Op. - Pasivos Op. (Financiación espontánea si es negativo).</w:t>
            </w:r>
          </w:p>
        </w:tc>
      </w:tr>
      <w:tr>
        <w:tc>
          <w:tcPr>
            <w:tcW w:type="dxa" w:w="1958"/>
            <w:tcMar>
              <w:top w:w="60" w:type="dxa"/>
              <w:bottom w:w="60" w:type="dxa"/>
              <w:left w:w="100" w:type="dxa"/>
              <w:right w:w="100" w:type="dxa"/>
            </w:tcMar>
          </w:tcPr>
          <w:p>
            <w:r>
              <w:rPr>
                <w:b/>
                <w:sz w:val="17"/>
              </w:rPr>
              <w:t>(+) PP&amp;E Neto (Propiedad, Planta y Equipo)</w:t>
            </w:r>
          </w:p>
        </w:tc>
        <w:tc>
          <w:tcPr>
            <w:tcW w:type="dxa" w:w="1958"/>
            <w:tcMar>
              <w:top w:w="60" w:type="dxa"/>
              <w:bottom w:w="60" w:type="dxa"/>
              <w:left w:w="100" w:type="dxa"/>
              <w:right w:w="100" w:type="dxa"/>
            </w:tcMar>
          </w:tcPr>
          <w:p>
            <w:r>
              <w:rPr>
                <w:b/>
                <w:sz w:val="17"/>
              </w:rPr>
              <w:t>$337.8M</w:t>
            </w:r>
          </w:p>
        </w:tc>
        <w:tc>
          <w:tcPr>
            <w:tcW w:type="dxa" w:w="1958"/>
            <w:tcMar>
              <w:top w:w="60" w:type="dxa"/>
              <w:bottom w:w="60" w:type="dxa"/>
              <w:left w:w="100" w:type="dxa"/>
              <w:right w:w="100" w:type="dxa"/>
            </w:tcMar>
          </w:tcPr>
          <w:p>
            <w:r>
              <w:rPr>
                <w:sz w:val="17"/>
              </w:rPr>
              <w:t>$337.8M</w:t>
            </w:r>
          </w:p>
        </w:tc>
        <w:tc>
          <w:tcPr>
            <w:tcW w:type="dxa" w:w="1958"/>
            <w:tcMar>
              <w:top w:w="60" w:type="dxa"/>
              <w:bottom w:w="60" w:type="dxa"/>
              <w:left w:w="100" w:type="dxa"/>
              <w:right w:w="100" w:type="dxa"/>
            </w:tcMar>
          </w:tcPr>
          <w:p>
            <w:r>
              <w:rPr>
                <w:sz w:val="17"/>
              </w:rPr>
              <w:t>Balance Sheet (Non-Current Assets)</w:t>
            </w:r>
          </w:p>
        </w:tc>
        <w:tc>
          <w:tcPr>
            <w:tcW w:type="dxa" w:w="1958"/>
            <w:tcMar>
              <w:top w:w="60" w:type="dxa"/>
              <w:bottom w:w="60" w:type="dxa"/>
              <w:left w:w="100" w:type="dxa"/>
              <w:right w:w="100" w:type="dxa"/>
            </w:tcMar>
          </w:tcPr>
          <w:p>
            <w:r>
              <w:rPr>
                <w:sz w:val="17"/>
              </w:rPr>
              <w:t>Activos fijos físicos tangibles netos de depreciación acumulada.</w:t>
            </w:r>
          </w:p>
        </w:tc>
      </w:tr>
      <w:tr>
        <w:tc>
          <w:tcPr>
            <w:tcW w:type="dxa" w:w="1958"/>
            <w:tcMar>
              <w:top w:w="60" w:type="dxa"/>
              <w:bottom w:w="60" w:type="dxa"/>
              <w:left w:w="100" w:type="dxa"/>
              <w:right w:w="100" w:type="dxa"/>
            </w:tcMar>
            <w:shd w:fill="F7FAFC"/>
          </w:tcPr>
          <w:p>
            <w:r>
              <w:rPr>
                <w:b/>
                <w:sz w:val="17"/>
              </w:rPr>
              <w:t>(=) Capital Tangible al Cierre</w:t>
            </w:r>
          </w:p>
        </w:tc>
        <w:tc>
          <w:tcPr>
            <w:tcW w:type="dxa" w:w="1958"/>
            <w:tcMar>
              <w:top w:w="60" w:type="dxa"/>
              <w:bottom w:w="60" w:type="dxa"/>
              <w:left w:w="100" w:type="dxa"/>
              <w:right w:w="100" w:type="dxa"/>
            </w:tcMar>
            <w:shd w:fill="F7FAFC"/>
          </w:tcPr>
          <w:p>
            <w:r>
              <w:rPr>
                <w:b/>
                <w:sz w:val="17"/>
              </w:rPr>
              <w:t>$593.6M</w:t>
            </w:r>
          </w:p>
        </w:tc>
        <w:tc>
          <w:tcPr>
            <w:tcW w:type="dxa" w:w="1958"/>
            <w:tcMar>
              <w:top w:w="60" w:type="dxa"/>
              <w:bottom w:w="60" w:type="dxa"/>
              <w:left w:w="100" w:type="dxa"/>
              <w:right w:w="100" w:type="dxa"/>
            </w:tcMar>
            <w:shd w:fill="F7FAFC"/>
          </w:tcPr>
          <w:p>
            <w:r>
              <w:rPr>
                <w:sz w:val="17"/>
              </w:rPr>
              <w:t>$476.9M</w:t>
            </w:r>
          </w:p>
        </w:tc>
        <w:tc>
          <w:tcPr>
            <w:tcW w:type="dxa" w:w="1958"/>
            <w:tcMar>
              <w:top w:w="60" w:type="dxa"/>
              <w:bottom w:w="60" w:type="dxa"/>
              <w:left w:w="100" w:type="dxa"/>
              <w:right w:w="100" w:type="dxa"/>
            </w:tcMar>
            <w:shd w:fill="F7FAFC"/>
          </w:tcPr>
          <w:p>
            <w:r>
              <w:rPr>
                <w:sz w:val="17"/>
              </w:rPr>
              <w:t>Salvaguarda Joel Greenblatt</w:t>
            </w:r>
          </w:p>
        </w:tc>
        <w:tc>
          <w:tcPr>
            <w:tcW w:type="dxa" w:w="1958"/>
            <w:tcMar>
              <w:top w:w="60" w:type="dxa"/>
              <w:bottom w:w="60" w:type="dxa"/>
              <w:left w:w="100" w:type="dxa"/>
              <w:right w:w="100" w:type="dxa"/>
            </w:tcMar>
            <w:shd w:fill="F7FAFC"/>
          </w:tcPr>
          <w:p>
            <w:r>
              <w:rPr>
                <w:sz w:val="17"/>
              </w:rPr>
              <w:t>Si NWC &lt; 0, se acota al PP&amp;E Neto (nunca menor a las plantas físicas).</w:t>
            </w:r>
          </w:p>
        </w:tc>
      </w:tr>
      <w:tr>
        <w:tc>
          <w:tcPr>
            <w:tcW w:type="dxa" w:w="1958"/>
            <w:tcMar>
              <w:top w:w="60" w:type="dxa"/>
              <w:bottom w:w="60" w:type="dxa"/>
              <w:left w:w="100" w:type="dxa"/>
              <w:right w:w="100" w:type="dxa"/>
            </w:tcMar>
          </w:tcPr>
          <w:p>
            <w:r>
              <w:rPr>
                <w:b/>
                <w:sz w:val="17"/>
              </w:rPr>
              <w:t>(=) Capital Tangible Operativo Promedio</w:t>
            </w:r>
          </w:p>
        </w:tc>
        <w:tc>
          <w:tcPr>
            <w:tcW w:type="dxa" w:w="1958"/>
            <w:tcMar>
              <w:top w:w="60" w:type="dxa"/>
              <w:bottom w:w="60" w:type="dxa"/>
              <w:left w:w="100" w:type="dxa"/>
              <w:right w:w="100" w:type="dxa"/>
            </w:tcMar>
          </w:tcPr>
          <w:p>
            <w:r>
              <w:rPr>
                <w:b/>
                <w:sz w:val="17"/>
              </w:rPr>
              <w:t>$535.2M</w:t>
            </w:r>
          </w:p>
        </w:tc>
        <w:tc>
          <w:tcPr>
            <w:tcW w:type="dxa" w:w="1958"/>
            <w:tcMar>
              <w:top w:w="60" w:type="dxa"/>
              <w:bottom w:w="60" w:type="dxa"/>
              <w:left w:w="100" w:type="dxa"/>
              <w:right w:w="100" w:type="dxa"/>
            </w:tcMar>
          </w:tcPr>
          <w:p>
            <w:r>
              <w:rPr>
                <w:sz w:val="17"/>
              </w:rPr>
              <w:t>$501.9M</w:t>
            </w:r>
          </w:p>
        </w:tc>
        <w:tc>
          <w:tcPr>
            <w:tcW w:type="dxa" w:w="1958"/>
            <w:tcMar>
              <w:top w:w="60" w:type="dxa"/>
              <w:bottom w:w="60" w:type="dxa"/>
              <w:left w:w="100" w:type="dxa"/>
              <w:right w:w="100" w:type="dxa"/>
            </w:tcMar>
          </w:tcPr>
          <w:p>
            <w:r>
              <w:rPr>
                <w:sz w:val="17"/>
              </w:rPr>
              <w:t>Denominador (Matching Principle)</w:t>
            </w:r>
          </w:p>
        </w:tc>
        <w:tc>
          <w:tcPr>
            <w:tcW w:type="dxa" w:w="1958"/>
            <w:tcMar>
              <w:top w:w="60" w:type="dxa"/>
              <w:bottom w:w="60" w:type="dxa"/>
              <w:left w:w="100" w:type="dxa"/>
              <w:right w:w="100" w:type="dxa"/>
            </w:tcMar>
          </w:tcPr>
          <w:p>
            <w:r>
              <w:rPr>
                <w:sz w:val="17"/>
              </w:rPr>
              <w:t>Promedio (t + t-1)/2 para sincronizar capital con flujo anual de EBIT.</w:t>
            </w:r>
          </w:p>
        </w:tc>
      </w:tr>
      <w:tr>
        <w:tc>
          <w:tcPr>
            <w:tcW w:type="dxa" w:w="1958"/>
            <w:tcMar>
              <w:top w:w="60" w:type="dxa"/>
              <w:bottom w:w="60" w:type="dxa"/>
              <w:left w:w="100" w:type="dxa"/>
              <w:right w:w="100" w:type="dxa"/>
            </w:tcMar>
            <w:shd w:fill="F7FAFC"/>
            <w:shd w:fill="E2EFDA"/>
          </w:tcPr>
          <w:p>
            <w:r>
              <w:rPr>
                <w:b/>
                <w:sz w:val="17"/>
              </w:rPr>
              <w:t>(=) ROC Greenblatt Tangible (%)</w:t>
            </w:r>
          </w:p>
        </w:tc>
        <w:tc>
          <w:tcPr>
            <w:tcW w:type="dxa" w:w="1958"/>
            <w:tcMar>
              <w:top w:w="60" w:type="dxa"/>
              <w:bottom w:w="60" w:type="dxa"/>
              <w:left w:w="100" w:type="dxa"/>
              <w:right w:w="100" w:type="dxa"/>
            </w:tcMar>
            <w:shd w:fill="F7FAFC"/>
            <w:shd w:fill="E2EFDA"/>
          </w:tcPr>
          <w:p>
            <w:r>
              <w:rPr>
                <w:b/>
                <w:sz w:val="17"/>
              </w:rPr>
              <w:t>234.09%</w:t>
            </w:r>
          </w:p>
        </w:tc>
        <w:tc>
          <w:tcPr>
            <w:tcW w:type="dxa" w:w="1958"/>
            <w:tcMar>
              <w:top w:w="60" w:type="dxa"/>
              <w:bottom w:w="60" w:type="dxa"/>
              <w:left w:w="100" w:type="dxa"/>
              <w:right w:w="100" w:type="dxa"/>
            </w:tcMar>
            <w:shd w:fill="F7FAFC"/>
            <w:shd w:fill="E2EFDA"/>
          </w:tcPr>
          <w:p>
            <w:r>
              <w:rPr>
                <w:b/>
                <w:sz w:val="17"/>
              </w:rPr>
              <w:t>251.62%</w:t>
            </w:r>
          </w:p>
        </w:tc>
        <w:tc>
          <w:tcPr>
            <w:tcW w:type="dxa" w:w="1958"/>
            <w:tcMar>
              <w:top w:w="60" w:type="dxa"/>
              <w:bottom w:w="60" w:type="dxa"/>
              <w:left w:w="100" w:type="dxa"/>
              <w:right w:w="100" w:type="dxa"/>
            </w:tcMar>
            <w:shd w:fill="F7FAFC"/>
            <w:shd w:fill="E2EFDA"/>
          </w:tcPr>
          <w:p>
            <w:r>
              <w:rPr>
                <w:b/>
                <w:sz w:val="17"/>
              </w:rPr>
              <w:t>Ratio Final de Productividad</w:t>
            </w:r>
          </w:p>
        </w:tc>
        <w:tc>
          <w:tcPr>
            <w:tcW w:type="dxa" w:w="1958"/>
            <w:tcMar>
              <w:top w:w="60" w:type="dxa"/>
              <w:bottom w:w="60" w:type="dxa"/>
              <w:left w:w="100" w:type="dxa"/>
              <w:right w:w="100" w:type="dxa"/>
            </w:tcMar>
            <w:shd w:fill="F7FAFC"/>
            <w:shd w:fill="E2EFDA"/>
          </w:tcPr>
          <w:p>
            <w:r>
              <w:rPr>
                <w:b/>
                <w:sz w:val="17"/>
              </w:rPr>
              <w:t>EBIT / Capital Tangible Promedio.</w:t>
            </w:r>
          </w:p>
        </w:tc>
      </w:tr>
    </w:tbl>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Guía de Auditoría: Trazabilidad del ROC en los Balances SEC</w:t>
              <w:br/>
            </w:r>
          </w:p>
          <w:p>
            <w:pPr>
              <w:spacing w:before="40" w:after="40" w:line="276" w:lineRule="auto"/>
            </w:pPr>
            <w:r>
              <w:rPr>
                <w:rFonts w:ascii="Calibri" w:hAnsi="Calibri"/>
                <w:color w:val="2D3748"/>
                <w:sz w:val="19"/>
              </w:rPr>
              <w:t>• EBIT (Operating Income): Búsquelo en el Estado Consolidado de Operaciones (Form 10-K / 10-Q).</w:t>
            </w:r>
          </w:p>
          <w:p>
            <w:pPr>
              <w:spacing w:before="40" w:after="40" w:line="276" w:lineRule="auto"/>
            </w:pPr>
            <w:r>
              <w:rPr>
                <w:rFonts w:ascii="Calibri" w:hAnsi="Calibri"/>
                <w:color w:val="2D3748"/>
                <w:sz w:val="19"/>
              </w:rPr>
              <w:t>• Activos Operativos: Tome Total Current Assets del Balance y reste Cash &amp; Marketable Securities.</w:t>
            </w:r>
          </w:p>
          <w:p>
            <w:pPr>
              <w:spacing w:before="40" w:after="40" w:line="276" w:lineRule="auto"/>
            </w:pPr>
            <w:r>
              <w:rPr>
                <w:rFonts w:ascii="Calibri" w:hAnsi="Calibri"/>
                <w:color w:val="2D3748"/>
                <w:sz w:val="19"/>
              </w:rPr>
              <w:t>• Pasivos Operativos: Tome Total Current Liabilities del Balance y reste Commercial Paper y Deuda CP.</w:t>
            </w:r>
          </w:p>
          <w:p>
            <w:pPr>
              <w:spacing w:before="40" w:after="40" w:line="276" w:lineRule="auto"/>
            </w:pPr>
            <w:r>
              <w:rPr>
                <w:rFonts w:ascii="Calibri" w:hAnsi="Calibri"/>
                <w:color w:val="2D3748"/>
                <w:sz w:val="19"/>
              </w:rPr>
              <w:t>• PP&amp;E Neto: Búsquelo en Activos No Corrientes bajo Property, plant and equipment, net.</w:t>
            </w:r>
          </w:p>
          <w:p>
            <w:pPr>
              <w:spacing w:before="40" w:after="40" w:line="276" w:lineRule="auto"/>
            </w:pPr>
            <w:r>
              <w:rPr>
                <w:rFonts w:ascii="Calibri" w:hAnsi="Calibri"/>
                <w:color w:val="2D3748"/>
                <w:sz w:val="19"/>
              </w:rPr>
              <w:t>• Salvaguarda de Capital de Trabajo Negativo: Si NWC &lt; 0, Joel Greenblatt fija el capital tangible en el PP&amp;E neto para impedir denominadores distorsionados o bases de capital negativas.</w:t>
            </w:r>
          </w:p>
        </w:tc>
      </w:tr>
    </w:tbl>
    <w:p>
      <w:pPr>
        <w:spacing w:before="0" w:after="120"/>
      </w:pPr>
    </w:p>
    <w:p>
      <w:pPr>
        <w:pStyle w:val="Heading2"/>
      </w:pPr>
      <w:r>
        <w:t>12.3. Desglose y Explicación del ROIC: Tradicional vs. Ajustado por Intangibles (Damodaran)</w:t>
      </w:r>
    </w:p>
    <w:p>
      <w:r>
        <w:rPr>
          <w:sz w:val="19"/>
        </w:rPr>
        <w:t>El ROIC Tradicional contable (90.86%) sobrestima el retorno al mandar el I+D a gasto inmediato. La metodología Damodaran capitaliza la innovación a 3 años, reconociendo $947.5M de intangibles fuera de balance. El ROIC Ajustado resultante de 53.58% refleja el verdadero retorno económico sobre el capital total invertido ($2,036.9M).</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440"/>
        <w:gridCol w:w="1440"/>
        <w:gridCol w:w="1440"/>
        <w:gridCol w:w="1440"/>
        <w:gridCol w:w="1440"/>
        <w:gridCol w:w="1440"/>
        <w:gridCol w:w="1152"/>
      </w:tblGrid>
      <w:tr>
        <w:tc>
          <w:tcPr>
            <w:tcW w:type="dxa" w:w="1399"/>
            <w:shd w:fill="1B365D"/>
            <w:tcMar>
              <w:top w:w="80" w:type="dxa"/>
              <w:bottom w:w="80" w:type="dxa"/>
              <w:left w:w="100" w:type="dxa"/>
              <w:right w:w="100" w:type="dxa"/>
            </w:tcMar>
          </w:tcPr>
          <w:p>
            <w:r>
              <w:rPr>
                <w:b/>
                <w:color w:val="FFFFFF"/>
                <w:sz w:val="17"/>
              </w:rPr>
              <w:t>Período Contable</w:t>
            </w:r>
          </w:p>
        </w:tc>
        <w:tc>
          <w:tcPr>
            <w:tcW w:type="dxa" w:w="1399"/>
            <w:shd w:fill="1B365D"/>
            <w:tcMar>
              <w:top w:w="80" w:type="dxa"/>
              <w:bottom w:w="80" w:type="dxa"/>
              <w:left w:w="100" w:type="dxa"/>
              <w:right w:w="100" w:type="dxa"/>
            </w:tcMar>
          </w:tcPr>
          <w:p>
            <w:r>
              <w:rPr>
                <w:b/>
                <w:color w:val="FFFFFF"/>
                <w:sz w:val="17"/>
              </w:rPr>
              <w:t>ROC Greenblatt</w:t>
            </w:r>
          </w:p>
        </w:tc>
        <w:tc>
          <w:tcPr>
            <w:tcW w:type="dxa" w:w="1399"/>
            <w:shd w:fill="1B365D"/>
            <w:tcMar>
              <w:top w:w="80" w:type="dxa"/>
              <w:bottom w:w="80" w:type="dxa"/>
              <w:left w:w="100" w:type="dxa"/>
              <w:right w:w="100" w:type="dxa"/>
            </w:tcMar>
          </w:tcPr>
          <w:p>
            <w:r>
              <w:rPr>
                <w:b/>
                <w:color w:val="FFFFFF"/>
                <w:sz w:val="17"/>
              </w:rPr>
              <w:t>ROIC Tradicional</w:t>
            </w:r>
          </w:p>
        </w:tc>
        <w:tc>
          <w:tcPr>
            <w:tcW w:type="dxa" w:w="1399"/>
            <w:shd w:fill="1B365D"/>
            <w:tcMar>
              <w:top w:w="80" w:type="dxa"/>
              <w:bottom w:w="80" w:type="dxa"/>
              <w:left w:w="100" w:type="dxa"/>
              <w:right w:w="100" w:type="dxa"/>
            </w:tcMar>
          </w:tcPr>
          <w:p>
            <w:r>
              <w:rPr>
                <w:b/>
                <w:color w:val="FFFFFF"/>
                <w:sz w:val="17"/>
              </w:rPr>
              <w:t>ROIC Ajustado</w:t>
            </w:r>
          </w:p>
        </w:tc>
        <w:tc>
          <w:tcPr>
            <w:tcW w:type="dxa" w:w="1399"/>
            <w:shd w:fill="1B365D"/>
            <w:tcMar>
              <w:top w:w="80" w:type="dxa"/>
              <w:bottom w:w="80" w:type="dxa"/>
              <w:left w:w="100" w:type="dxa"/>
              <w:right w:w="100" w:type="dxa"/>
            </w:tcMar>
          </w:tcPr>
          <w:p>
            <w:r>
              <w:rPr>
                <w:b/>
                <w:color w:val="FFFFFF"/>
                <w:sz w:val="17"/>
              </w:rPr>
              <w:t>Stock Intangibles ($M)</w:t>
            </w:r>
          </w:p>
        </w:tc>
        <w:tc>
          <w:tcPr>
            <w:tcW w:type="dxa" w:w="1399"/>
            <w:shd w:fill="1B365D"/>
            <w:tcMar>
              <w:top w:w="80" w:type="dxa"/>
              <w:bottom w:w="80" w:type="dxa"/>
              <w:left w:w="100" w:type="dxa"/>
              <w:right w:w="100" w:type="dxa"/>
            </w:tcMar>
          </w:tcPr>
          <w:p>
            <w:r>
              <w:rPr>
                <w:b/>
                <w:color w:val="FFFFFF"/>
                <w:sz w:val="17"/>
              </w:rPr>
              <w:t>Capital Invertido ($M)</w:t>
            </w:r>
          </w:p>
        </w:tc>
        <w:tc>
          <w:tcPr>
            <w:tcW w:type="dxa" w:w="1399"/>
            <w:shd w:fill="1B365D"/>
            <w:tcMar>
              <w:top w:w="80" w:type="dxa"/>
              <w:bottom w:w="80" w:type="dxa"/>
              <w:left w:w="100" w:type="dxa"/>
              <w:right w:w="100" w:type="dxa"/>
            </w:tcMar>
          </w:tcPr>
          <w:p>
            <w:r>
              <w:rPr>
                <w:b/>
                <w:color w:val="FFFFFF"/>
                <w:sz w:val="17"/>
              </w:rPr>
              <w:t>Spread vs WACC</w:t>
            </w:r>
          </w:p>
        </w:tc>
      </w:tr>
      <w:tr>
        <w:tc>
          <w:tcPr>
            <w:tcW w:type="dxa" w:w="1399"/>
            <w:tcMar>
              <w:top w:w="60" w:type="dxa"/>
              <w:bottom w:w="60" w:type="dxa"/>
              <w:left w:w="100" w:type="dxa"/>
              <w:right w:w="100" w:type="dxa"/>
            </w:tcMar>
          </w:tcPr>
          <w:p>
            <w:r>
              <w:rPr>
                <w:sz w:val="17"/>
              </w:rPr>
              <w:t>FY2022</w:t>
            </w:r>
          </w:p>
        </w:tc>
        <w:tc>
          <w:tcPr>
            <w:tcW w:type="dxa" w:w="1399"/>
            <w:tcMar>
              <w:top w:w="60" w:type="dxa"/>
              <w:bottom w:w="60" w:type="dxa"/>
              <w:left w:w="100" w:type="dxa"/>
              <w:right w:w="100" w:type="dxa"/>
            </w:tcMar>
          </w:tcPr>
          <w:p>
            <w:r>
              <w:rPr>
                <w:b/>
                <w:sz w:val="17"/>
              </w:rPr>
              <w:t>127.09%</w:t>
            </w:r>
          </w:p>
        </w:tc>
        <w:tc>
          <w:tcPr>
            <w:tcW w:type="dxa" w:w="1399"/>
            <w:tcMar>
              <w:top w:w="60" w:type="dxa"/>
              <w:bottom w:w="60" w:type="dxa"/>
              <w:left w:w="100" w:type="dxa"/>
              <w:right w:w="100" w:type="dxa"/>
            </w:tcMar>
          </w:tcPr>
          <w:p>
            <w:r>
              <w:rPr>
                <w:b/>
                <w:sz w:val="17"/>
              </w:rPr>
              <w:t>57.30%</w:t>
            </w:r>
          </w:p>
        </w:tc>
        <w:tc>
          <w:tcPr>
            <w:tcW w:type="dxa" w:w="1399"/>
            <w:tcMar>
              <w:top w:w="60" w:type="dxa"/>
              <w:bottom w:w="60" w:type="dxa"/>
              <w:left w:w="100" w:type="dxa"/>
              <w:right w:w="100" w:type="dxa"/>
            </w:tcMar>
          </w:tcPr>
          <w:p>
            <w:r>
              <w:rPr>
                <w:b/>
                <w:sz w:val="17"/>
              </w:rPr>
              <w:t>40.52%</w:t>
            </w:r>
          </w:p>
        </w:tc>
        <w:tc>
          <w:tcPr>
            <w:tcW w:type="dxa" w:w="1399"/>
            <w:tcMar>
              <w:top w:w="60" w:type="dxa"/>
              <w:bottom w:w="60" w:type="dxa"/>
              <w:left w:w="100" w:type="dxa"/>
              <w:right w:w="100" w:type="dxa"/>
            </w:tcMar>
          </w:tcPr>
          <w:p>
            <w:r>
              <w:rPr>
                <w:sz w:val="17"/>
              </w:rPr>
              <w:t>$504.9M</w:t>
            </w:r>
          </w:p>
        </w:tc>
        <w:tc>
          <w:tcPr>
            <w:tcW w:type="dxa" w:w="1399"/>
            <w:tcMar>
              <w:top w:w="60" w:type="dxa"/>
              <w:bottom w:w="60" w:type="dxa"/>
              <w:left w:w="100" w:type="dxa"/>
              <w:right w:w="100" w:type="dxa"/>
            </w:tcMar>
          </w:tcPr>
          <w:p>
            <w:r>
              <w:rPr>
                <w:sz w:val="17"/>
              </w:rPr>
              <w:t>$1,246.2M</w:t>
            </w:r>
          </w:p>
        </w:tc>
        <w:tc>
          <w:tcPr>
            <w:tcW w:type="dxa" w:w="1399"/>
            <w:tcMar>
              <w:top w:w="60" w:type="dxa"/>
              <w:bottom w:w="60" w:type="dxa"/>
              <w:left w:w="100" w:type="dxa"/>
              <w:right w:w="100" w:type="dxa"/>
            </w:tcMar>
          </w:tcPr>
          <w:p>
            <w:r>
              <w:rPr>
                <w:b/>
                <w:sz w:val="17"/>
              </w:rPr>
              <w:t>+30.12 p.p.</w:t>
            </w:r>
          </w:p>
        </w:tc>
      </w:tr>
      <w:tr>
        <w:tc>
          <w:tcPr>
            <w:tcW w:type="dxa" w:w="1399"/>
            <w:tcMar>
              <w:top w:w="60" w:type="dxa"/>
              <w:bottom w:w="60" w:type="dxa"/>
              <w:left w:w="100" w:type="dxa"/>
              <w:right w:w="100" w:type="dxa"/>
            </w:tcMar>
            <w:shd w:fill="F7FAFC"/>
          </w:tcPr>
          <w:p>
            <w:r>
              <w:rPr>
                <w:sz w:val="17"/>
              </w:rPr>
              <w:t>FY2023</w:t>
            </w:r>
          </w:p>
        </w:tc>
        <w:tc>
          <w:tcPr>
            <w:tcW w:type="dxa" w:w="1399"/>
            <w:tcMar>
              <w:top w:w="60" w:type="dxa"/>
              <w:bottom w:w="60" w:type="dxa"/>
              <w:left w:w="100" w:type="dxa"/>
              <w:right w:w="100" w:type="dxa"/>
            </w:tcMar>
            <w:shd w:fill="F7FAFC"/>
          </w:tcPr>
          <w:p>
            <w:r>
              <w:rPr>
                <w:b/>
                <w:sz w:val="17"/>
              </w:rPr>
              <w:t>101.43%</w:t>
            </w:r>
          </w:p>
        </w:tc>
        <w:tc>
          <w:tcPr>
            <w:tcW w:type="dxa" w:w="1399"/>
            <w:tcMar>
              <w:top w:w="60" w:type="dxa"/>
              <w:bottom w:w="60" w:type="dxa"/>
              <w:left w:w="100" w:type="dxa"/>
              <w:right w:w="100" w:type="dxa"/>
            </w:tcMar>
            <w:shd w:fill="F7FAFC"/>
          </w:tcPr>
          <w:p>
            <w:r>
              <w:rPr>
                <w:b/>
                <w:sz w:val="17"/>
              </w:rPr>
              <w:t>50.95%</w:t>
            </w:r>
          </w:p>
        </w:tc>
        <w:tc>
          <w:tcPr>
            <w:tcW w:type="dxa" w:w="1399"/>
            <w:tcMar>
              <w:top w:w="60" w:type="dxa"/>
              <w:bottom w:w="60" w:type="dxa"/>
              <w:left w:w="100" w:type="dxa"/>
              <w:right w:w="100" w:type="dxa"/>
            </w:tcMar>
            <w:shd w:fill="F7FAFC"/>
          </w:tcPr>
          <w:p>
            <w:r>
              <w:rPr>
                <w:b/>
                <w:sz w:val="17"/>
              </w:rPr>
              <w:t>36.93%</w:t>
            </w:r>
          </w:p>
        </w:tc>
        <w:tc>
          <w:tcPr>
            <w:tcW w:type="dxa" w:w="1399"/>
            <w:tcMar>
              <w:top w:w="60" w:type="dxa"/>
              <w:bottom w:w="60" w:type="dxa"/>
              <w:left w:w="100" w:type="dxa"/>
              <w:right w:w="100" w:type="dxa"/>
            </w:tcMar>
            <w:shd w:fill="F7FAFC"/>
          </w:tcPr>
          <w:p>
            <w:r>
              <w:rPr>
                <w:sz w:val="17"/>
              </w:rPr>
              <w:t>$578.6M</w:t>
            </w:r>
          </w:p>
        </w:tc>
        <w:tc>
          <w:tcPr>
            <w:tcW w:type="dxa" w:w="1399"/>
            <w:tcMar>
              <w:top w:w="60" w:type="dxa"/>
              <w:bottom w:w="60" w:type="dxa"/>
              <w:left w:w="100" w:type="dxa"/>
              <w:right w:w="100" w:type="dxa"/>
            </w:tcMar>
            <w:shd w:fill="F7FAFC"/>
          </w:tcPr>
          <w:p>
            <w:r>
              <w:rPr>
                <w:sz w:val="17"/>
              </w:rPr>
              <w:t>$1,553.8M</w:t>
            </w:r>
          </w:p>
        </w:tc>
        <w:tc>
          <w:tcPr>
            <w:tcW w:type="dxa" w:w="1399"/>
            <w:tcMar>
              <w:top w:w="60" w:type="dxa"/>
              <w:bottom w:w="60" w:type="dxa"/>
              <w:left w:w="100" w:type="dxa"/>
              <w:right w:w="100" w:type="dxa"/>
            </w:tcMar>
            <w:shd w:fill="F7FAFC"/>
          </w:tcPr>
          <w:p>
            <w:r>
              <w:rPr>
                <w:b/>
                <w:sz w:val="17"/>
              </w:rPr>
              <w:t>+26.54 p.p.</w:t>
            </w:r>
          </w:p>
        </w:tc>
      </w:tr>
      <w:tr>
        <w:tc>
          <w:tcPr>
            <w:tcW w:type="dxa" w:w="1399"/>
            <w:tcMar>
              <w:top w:w="60" w:type="dxa"/>
              <w:bottom w:w="60" w:type="dxa"/>
              <w:left w:w="100" w:type="dxa"/>
              <w:right w:w="100" w:type="dxa"/>
            </w:tcMar>
          </w:tcPr>
          <w:p>
            <w:r>
              <w:rPr>
                <w:sz w:val="17"/>
              </w:rPr>
              <w:t>FY2024</w:t>
            </w:r>
          </w:p>
        </w:tc>
        <w:tc>
          <w:tcPr>
            <w:tcW w:type="dxa" w:w="1399"/>
            <w:tcMar>
              <w:top w:w="60" w:type="dxa"/>
              <w:bottom w:w="60" w:type="dxa"/>
              <w:left w:w="100" w:type="dxa"/>
              <w:right w:w="100" w:type="dxa"/>
            </w:tcMar>
          </w:tcPr>
          <w:p>
            <w:r>
              <w:rPr>
                <w:b/>
                <w:sz w:val="17"/>
              </w:rPr>
              <w:t>151.89%</w:t>
            </w:r>
          </w:p>
        </w:tc>
        <w:tc>
          <w:tcPr>
            <w:tcW w:type="dxa" w:w="1399"/>
            <w:tcMar>
              <w:top w:w="60" w:type="dxa"/>
              <w:bottom w:w="60" w:type="dxa"/>
              <w:left w:w="100" w:type="dxa"/>
              <w:right w:w="100" w:type="dxa"/>
            </w:tcMar>
          </w:tcPr>
          <w:p>
            <w:r>
              <w:rPr>
                <w:b/>
                <w:sz w:val="17"/>
              </w:rPr>
              <w:t>73.62%</w:t>
            </w:r>
          </w:p>
        </w:tc>
        <w:tc>
          <w:tcPr>
            <w:tcW w:type="dxa" w:w="1399"/>
            <w:tcMar>
              <w:top w:w="60" w:type="dxa"/>
              <w:bottom w:w="60" w:type="dxa"/>
              <w:left w:w="100" w:type="dxa"/>
              <w:right w:w="100" w:type="dxa"/>
            </w:tcMar>
          </w:tcPr>
          <w:p>
            <w:r>
              <w:rPr>
                <w:b/>
                <w:sz w:val="17"/>
              </w:rPr>
              <w:t>50.67%</w:t>
            </w:r>
          </w:p>
        </w:tc>
        <w:tc>
          <w:tcPr>
            <w:tcW w:type="dxa" w:w="1399"/>
            <w:tcMar>
              <w:top w:w="60" w:type="dxa"/>
              <w:bottom w:w="60" w:type="dxa"/>
              <w:left w:w="100" w:type="dxa"/>
              <w:right w:w="100" w:type="dxa"/>
            </w:tcMar>
          </w:tcPr>
          <w:p>
            <w:r>
              <w:rPr>
                <w:sz w:val="17"/>
              </w:rPr>
              <w:t>$699.3M</w:t>
            </w:r>
          </w:p>
        </w:tc>
        <w:tc>
          <w:tcPr>
            <w:tcW w:type="dxa" w:w="1399"/>
            <w:tcMar>
              <w:top w:w="60" w:type="dxa"/>
              <w:bottom w:w="60" w:type="dxa"/>
              <w:left w:w="100" w:type="dxa"/>
              <w:right w:w="100" w:type="dxa"/>
            </w:tcMar>
          </w:tcPr>
          <w:p>
            <w:r>
              <w:rPr>
                <w:sz w:val="17"/>
              </w:rPr>
              <w:t>$1,634.3M</w:t>
            </w:r>
          </w:p>
        </w:tc>
        <w:tc>
          <w:tcPr>
            <w:tcW w:type="dxa" w:w="1399"/>
            <w:tcMar>
              <w:top w:w="60" w:type="dxa"/>
              <w:bottom w:w="60" w:type="dxa"/>
              <w:left w:w="100" w:type="dxa"/>
              <w:right w:w="100" w:type="dxa"/>
            </w:tcMar>
          </w:tcPr>
          <w:p>
            <w:r>
              <w:rPr>
                <w:b/>
                <w:sz w:val="17"/>
              </w:rPr>
              <w:t>+40.28 p.p.</w:t>
            </w:r>
          </w:p>
        </w:tc>
      </w:tr>
      <w:tr>
        <w:tc>
          <w:tcPr>
            <w:tcW w:type="dxa" w:w="1399"/>
            <w:tcMar>
              <w:top w:w="60" w:type="dxa"/>
              <w:bottom w:w="60" w:type="dxa"/>
              <w:left w:w="100" w:type="dxa"/>
              <w:right w:w="100" w:type="dxa"/>
            </w:tcMar>
            <w:shd w:fill="F7FAFC"/>
          </w:tcPr>
          <w:p>
            <w:r>
              <w:rPr>
                <w:sz w:val="17"/>
              </w:rPr>
              <w:t>FY2025</w:t>
            </w:r>
          </w:p>
        </w:tc>
        <w:tc>
          <w:tcPr>
            <w:tcW w:type="dxa" w:w="1399"/>
            <w:tcMar>
              <w:top w:w="60" w:type="dxa"/>
              <w:bottom w:w="60" w:type="dxa"/>
              <w:left w:w="100" w:type="dxa"/>
              <w:right w:w="100" w:type="dxa"/>
            </w:tcMar>
            <w:shd w:fill="F7FAFC"/>
          </w:tcPr>
          <w:p>
            <w:r>
              <w:rPr>
                <w:b/>
                <w:sz w:val="17"/>
              </w:rPr>
              <w:t>224.48%</w:t>
            </w:r>
          </w:p>
        </w:tc>
        <w:tc>
          <w:tcPr>
            <w:tcW w:type="dxa" w:w="1399"/>
            <w:tcMar>
              <w:top w:w="60" w:type="dxa"/>
              <w:bottom w:w="60" w:type="dxa"/>
              <w:left w:w="100" w:type="dxa"/>
              <w:right w:w="100" w:type="dxa"/>
            </w:tcMar>
            <w:shd w:fill="F7FAFC"/>
          </w:tcPr>
          <w:p>
            <w:r>
              <w:rPr>
                <w:b/>
                <w:sz w:val="17"/>
              </w:rPr>
              <w:t>102.10%</w:t>
            </w:r>
          </w:p>
        </w:tc>
        <w:tc>
          <w:tcPr>
            <w:tcW w:type="dxa" w:w="1399"/>
            <w:tcMar>
              <w:top w:w="60" w:type="dxa"/>
              <w:bottom w:w="60" w:type="dxa"/>
              <w:left w:w="100" w:type="dxa"/>
              <w:right w:w="100" w:type="dxa"/>
            </w:tcMar>
            <w:shd w:fill="F7FAFC"/>
          </w:tcPr>
          <w:p>
            <w:r>
              <w:rPr>
                <w:b/>
                <w:sz w:val="17"/>
              </w:rPr>
              <w:t>61.79%</w:t>
            </w:r>
          </w:p>
        </w:tc>
        <w:tc>
          <w:tcPr>
            <w:tcW w:type="dxa" w:w="1399"/>
            <w:tcMar>
              <w:top w:w="60" w:type="dxa"/>
              <w:bottom w:w="60" w:type="dxa"/>
              <w:left w:w="100" w:type="dxa"/>
              <w:right w:w="100" w:type="dxa"/>
            </w:tcMar>
            <w:shd w:fill="F7FAFC"/>
          </w:tcPr>
          <w:p>
            <w:r>
              <w:rPr>
                <w:sz w:val="17"/>
              </w:rPr>
              <w:t>$833.0M</w:t>
            </w:r>
          </w:p>
        </w:tc>
        <w:tc>
          <w:tcPr>
            <w:tcW w:type="dxa" w:w="1399"/>
            <w:tcMar>
              <w:top w:w="60" w:type="dxa"/>
              <w:bottom w:w="60" w:type="dxa"/>
              <w:left w:w="100" w:type="dxa"/>
              <w:right w:w="100" w:type="dxa"/>
            </w:tcMar>
            <w:shd w:fill="F7FAFC"/>
          </w:tcPr>
          <w:p>
            <w:r>
              <w:rPr>
                <w:sz w:val="17"/>
              </w:rPr>
              <w:t>$1,678.5M</w:t>
            </w:r>
          </w:p>
        </w:tc>
        <w:tc>
          <w:tcPr>
            <w:tcW w:type="dxa" w:w="1399"/>
            <w:tcMar>
              <w:top w:w="60" w:type="dxa"/>
              <w:bottom w:w="60" w:type="dxa"/>
              <w:left w:w="100" w:type="dxa"/>
              <w:right w:w="100" w:type="dxa"/>
            </w:tcMar>
            <w:shd w:fill="F7FAFC"/>
          </w:tcPr>
          <w:p>
            <w:r>
              <w:rPr>
                <w:b/>
                <w:sz w:val="17"/>
              </w:rPr>
              <w:t>+51.40 p.p.</w:t>
            </w:r>
          </w:p>
        </w:tc>
      </w:tr>
      <w:tr>
        <w:tc>
          <w:tcPr>
            <w:tcW w:type="dxa" w:w="1399"/>
            <w:tcMar>
              <w:top w:w="60" w:type="dxa"/>
              <w:bottom w:w="60" w:type="dxa"/>
              <w:left w:w="100" w:type="dxa"/>
              <w:right w:w="100" w:type="dxa"/>
            </w:tcMar>
          </w:tcPr>
          <w:p>
            <w:r>
              <w:rPr>
                <w:sz w:val="17"/>
              </w:rPr>
              <w:t>FY2026</w:t>
            </w:r>
          </w:p>
        </w:tc>
        <w:tc>
          <w:tcPr>
            <w:tcW w:type="dxa" w:w="1399"/>
            <w:tcMar>
              <w:top w:w="60" w:type="dxa"/>
              <w:bottom w:w="60" w:type="dxa"/>
              <w:left w:w="100" w:type="dxa"/>
              <w:right w:w="100" w:type="dxa"/>
            </w:tcMar>
          </w:tcPr>
          <w:p>
            <w:r>
              <w:rPr>
                <w:b/>
                <w:sz w:val="17"/>
              </w:rPr>
              <w:t>251.62%</w:t>
            </w:r>
          </w:p>
        </w:tc>
        <w:tc>
          <w:tcPr>
            <w:tcW w:type="dxa" w:w="1399"/>
            <w:tcMar>
              <w:top w:w="60" w:type="dxa"/>
              <w:bottom w:w="60" w:type="dxa"/>
              <w:left w:w="100" w:type="dxa"/>
              <w:right w:w="100" w:type="dxa"/>
            </w:tcMar>
          </w:tcPr>
          <w:p>
            <w:r>
              <w:rPr>
                <w:b/>
                <w:sz w:val="17"/>
              </w:rPr>
              <w:t>105.71%</w:t>
            </w:r>
          </w:p>
        </w:tc>
        <w:tc>
          <w:tcPr>
            <w:tcW w:type="dxa" w:w="1399"/>
            <w:tcMar>
              <w:top w:w="60" w:type="dxa"/>
              <w:bottom w:w="60" w:type="dxa"/>
              <w:left w:w="100" w:type="dxa"/>
              <w:right w:w="100" w:type="dxa"/>
            </w:tcMar>
          </w:tcPr>
          <w:p>
            <w:r>
              <w:rPr>
                <w:b/>
                <w:sz w:val="17"/>
              </w:rPr>
              <w:t>59.33%</w:t>
            </w:r>
          </w:p>
        </w:tc>
        <w:tc>
          <w:tcPr>
            <w:tcW w:type="dxa" w:w="1399"/>
            <w:tcMar>
              <w:top w:w="60" w:type="dxa"/>
              <w:bottom w:w="60" w:type="dxa"/>
              <w:left w:w="100" w:type="dxa"/>
              <w:right w:w="100" w:type="dxa"/>
            </w:tcMar>
          </w:tcPr>
          <w:p>
            <w:r>
              <w:rPr>
                <w:sz w:val="17"/>
              </w:rPr>
              <w:t>$947.5M</w:t>
            </w:r>
          </w:p>
        </w:tc>
        <w:tc>
          <w:tcPr>
            <w:tcW w:type="dxa" w:w="1399"/>
            <w:tcMar>
              <w:top w:w="60" w:type="dxa"/>
              <w:bottom w:w="60" w:type="dxa"/>
              <w:left w:w="100" w:type="dxa"/>
              <w:right w:w="100" w:type="dxa"/>
            </w:tcMar>
          </w:tcPr>
          <w:p>
            <w:r>
              <w:rPr>
                <w:sz w:val="17"/>
              </w:rPr>
              <w:t>$1,834.0M</w:t>
            </w:r>
          </w:p>
        </w:tc>
        <w:tc>
          <w:tcPr>
            <w:tcW w:type="dxa" w:w="1399"/>
            <w:tcMar>
              <w:top w:w="60" w:type="dxa"/>
              <w:bottom w:w="60" w:type="dxa"/>
              <w:left w:w="100" w:type="dxa"/>
              <w:right w:w="100" w:type="dxa"/>
            </w:tcMar>
          </w:tcPr>
          <w:p>
            <w:r>
              <w:rPr>
                <w:b/>
                <w:sz w:val="17"/>
              </w:rPr>
              <w:t>+48.94 p.p.</w:t>
            </w:r>
          </w:p>
        </w:tc>
      </w:tr>
      <w:tr>
        <w:tc>
          <w:tcPr>
            <w:tcW w:type="dxa" w:w="1399"/>
            <w:tcMar>
              <w:top w:w="60" w:type="dxa"/>
              <w:bottom w:w="60" w:type="dxa"/>
              <w:left w:w="100" w:type="dxa"/>
              <w:right w:w="100" w:type="dxa"/>
            </w:tcMar>
            <w:shd w:fill="F7FAFC"/>
            <w:shd w:fill="E2EFDA"/>
          </w:tcPr>
          <w:p>
            <w:r>
              <w:rPr>
                <w:sz w:val="17"/>
              </w:rPr>
              <w:t>LTM</w:t>
            </w:r>
          </w:p>
        </w:tc>
        <w:tc>
          <w:tcPr>
            <w:tcW w:type="dxa" w:w="1399"/>
            <w:tcMar>
              <w:top w:w="60" w:type="dxa"/>
              <w:bottom w:w="60" w:type="dxa"/>
              <w:left w:w="100" w:type="dxa"/>
              <w:right w:w="100" w:type="dxa"/>
            </w:tcMar>
            <w:shd w:fill="F7FAFC"/>
            <w:shd w:fill="E2EFDA"/>
          </w:tcPr>
          <w:p>
            <w:r>
              <w:rPr>
                <w:b/>
                <w:sz w:val="17"/>
              </w:rPr>
              <w:t>234.09%</w:t>
            </w:r>
          </w:p>
        </w:tc>
        <w:tc>
          <w:tcPr>
            <w:tcW w:type="dxa" w:w="1399"/>
            <w:tcMar>
              <w:top w:w="60" w:type="dxa"/>
              <w:bottom w:w="60" w:type="dxa"/>
              <w:left w:w="100" w:type="dxa"/>
              <w:right w:w="100" w:type="dxa"/>
            </w:tcMar>
            <w:shd w:fill="F7FAFC"/>
            <w:shd w:fill="E2EFDA"/>
          </w:tcPr>
          <w:p>
            <w:r>
              <w:rPr>
                <w:b/>
                <w:sz w:val="17"/>
              </w:rPr>
              <w:t>90.86%</w:t>
            </w:r>
          </w:p>
        </w:tc>
        <w:tc>
          <w:tcPr>
            <w:tcW w:type="dxa" w:w="1399"/>
            <w:tcMar>
              <w:top w:w="60" w:type="dxa"/>
              <w:bottom w:w="60" w:type="dxa"/>
              <w:left w:w="100" w:type="dxa"/>
              <w:right w:w="100" w:type="dxa"/>
            </w:tcMar>
            <w:shd w:fill="F7FAFC"/>
            <w:shd w:fill="E2EFDA"/>
          </w:tcPr>
          <w:p>
            <w:r>
              <w:rPr>
                <w:b/>
                <w:sz w:val="17"/>
              </w:rPr>
              <w:t>53.58%</w:t>
            </w:r>
          </w:p>
        </w:tc>
        <w:tc>
          <w:tcPr>
            <w:tcW w:type="dxa" w:w="1399"/>
            <w:tcMar>
              <w:top w:w="60" w:type="dxa"/>
              <w:bottom w:w="60" w:type="dxa"/>
              <w:left w:w="100" w:type="dxa"/>
              <w:right w:w="100" w:type="dxa"/>
            </w:tcMar>
            <w:shd w:fill="F7FAFC"/>
            <w:shd w:fill="E2EFDA"/>
          </w:tcPr>
          <w:p>
            <w:r>
              <w:rPr>
                <w:sz w:val="17"/>
              </w:rPr>
              <w:t>$947.5M</w:t>
            </w:r>
          </w:p>
        </w:tc>
        <w:tc>
          <w:tcPr>
            <w:tcW w:type="dxa" w:w="1399"/>
            <w:tcMar>
              <w:top w:w="60" w:type="dxa"/>
              <w:bottom w:w="60" w:type="dxa"/>
              <w:left w:w="100" w:type="dxa"/>
              <w:right w:w="100" w:type="dxa"/>
            </w:tcMar>
            <w:shd w:fill="F7FAFC"/>
            <w:shd w:fill="E2EFDA"/>
          </w:tcPr>
          <w:p>
            <w:r>
              <w:rPr>
                <w:sz w:val="17"/>
              </w:rPr>
              <w:t>$2,036.9M</w:t>
            </w:r>
          </w:p>
        </w:tc>
        <w:tc>
          <w:tcPr>
            <w:tcW w:type="dxa" w:w="1399"/>
            <w:tcMar>
              <w:top w:w="60" w:type="dxa"/>
              <w:bottom w:w="60" w:type="dxa"/>
              <w:left w:w="100" w:type="dxa"/>
              <w:right w:w="100" w:type="dxa"/>
            </w:tcMar>
            <w:shd w:fill="F7FAFC"/>
            <w:shd w:fill="E2EFDA"/>
          </w:tcPr>
          <w:p>
            <w:r>
              <w:rPr>
                <w:b/>
                <w:sz w:val="17"/>
              </w:rPr>
              <w:t>+43.19 p.p.</w:t>
            </w:r>
          </w:p>
        </w:tc>
      </w:tr>
    </w:tbl>
    <w:p>
      <w:pPr>
        <w:spacing w:before="160" w:after="160"/>
      </w:pPr>
      <w:r>
        <w:rPr>
          <w:i/>
          <w:sz w:val="18"/>
        </w:rPr>
        <w:t>Matriz de Sensibilidad de Vida Útil: N-1 (2a) = 54.08% | N Base (3a) = 53.58% | N+1 (4a) = 53.14%.</w:t>
      </w:r>
    </w:p>
    <w:p>
      <w:pPr>
        <w:pStyle w:val="Heading2"/>
      </w:pPr>
      <w:r>
        <w:t>12.4. Creación de Valor Económico (EVA) y Durabilidad del Foso Defensivo</w:t>
      </w:r>
    </w:p>
    <w:p>
      <w:r>
        <w:rPr>
          <w:sz w:val="19"/>
        </w:rPr>
        <w:t>Spread Económico = ROIC Ajustado (53.58%) − WACC (10.39%) = +43.19 p.p.</w:t>
        <w:br/>
        <w:t>Dictamen: 🏰 WIDE MOAT / COMPOUNDING MACHINE. La compañía supera holgadamente su costo de capital, generando más de $43.19 anuales de valor neto por cada $100 invertidos.</w:t>
      </w:r>
    </w:p>
    <w:p>
      <w:pPr>
        <w:pStyle w:val="Heading2"/>
      </w:pPr>
      <w:r>
        <w:t>12.5. Cuadro de Mando Consolidado de Ratios de Capital, Retornos y Valor</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016"/>
        <w:gridCol w:w="2880"/>
        <w:gridCol w:w="1296"/>
        <w:gridCol w:w="1584"/>
        <w:gridCol w:w="2016"/>
      </w:tblGrid>
      <w:tr>
        <w:tc>
          <w:tcPr>
            <w:tcW w:type="dxa" w:w="1958"/>
            <w:shd w:fill="1B365D"/>
            <w:tcMar>
              <w:top w:w="80" w:type="dxa"/>
              <w:bottom w:w="80" w:type="dxa"/>
              <w:left w:w="100" w:type="dxa"/>
              <w:right w:w="100" w:type="dxa"/>
            </w:tcMar>
          </w:tcPr>
          <w:p>
            <w:r>
              <w:rPr>
                <w:b/>
                <w:color w:val="FFFFFF"/>
                <w:sz w:val="17"/>
              </w:rPr>
              <w:t>Categoría Analítica</w:t>
            </w:r>
          </w:p>
        </w:tc>
        <w:tc>
          <w:tcPr>
            <w:tcW w:type="dxa" w:w="1958"/>
            <w:shd w:fill="1B365D"/>
            <w:tcMar>
              <w:top w:w="80" w:type="dxa"/>
              <w:bottom w:w="80" w:type="dxa"/>
              <w:left w:w="100" w:type="dxa"/>
              <w:right w:w="100" w:type="dxa"/>
            </w:tcMar>
          </w:tcPr>
          <w:p>
            <w:r>
              <w:rPr>
                <w:b/>
                <w:color w:val="FFFFFF"/>
                <w:sz w:val="17"/>
              </w:rPr>
              <w:t>Métrica / Ratio Institucional</w:t>
            </w:r>
          </w:p>
        </w:tc>
        <w:tc>
          <w:tcPr>
            <w:tcW w:type="dxa" w:w="1958"/>
            <w:shd w:fill="1B365D"/>
            <w:tcMar>
              <w:top w:w="80" w:type="dxa"/>
              <w:bottom w:w="80" w:type="dxa"/>
              <w:left w:w="100" w:type="dxa"/>
              <w:right w:w="100" w:type="dxa"/>
            </w:tcMar>
          </w:tcPr>
          <w:p>
            <w:r>
              <w:rPr>
                <w:b/>
                <w:color w:val="FFFFFF"/>
                <w:sz w:val="17"/>
              </w:rPr>
              <w:t>Valor LTM</w:t>
            </w:r>
          </w:p>
        </w:tc>
        <w:tc>
          <w:tcPr>
            <w:tcW w:type="dxa" w:w="1958"/>
            <w:shd w:fill="1B365D"/>
            <w:tcMar>
              <w:top w:w="80" w:type="dxa"/>
              <w:bottom w:w="80" w:type="dxa"/>
              <w:left w:w="100" w:type="dxa"/>
              <w:right w:w="100" w:type="dxa"/>
            </w:tcMar>
          </w:tcPr>
          <w:p>
            <w:r>
              <w:rPr>
                <w:b/>
                <w:color w:val="FFFFFF"/>
                <w:sz w:val="17"/>
              </w:rPr>
              <w:t>Benchmark / Ref.</w:t>
            </w:r>
          </w:p>
        </w:tc>
        <w:tc>
          <w:tcPr>
            <w:tcW w:type="dxa" w:w="1958"/>
            <w:shd w:fill="1B365D"/>
            <w:tcMar>
              <w:top w:w="80" w:type="dxa"/>
              <w:bottom w:w="80" w:type="dxa"/>
              <w:left w:w="100" w:type="dxa"/>
              <w:right w:w="100" w:type="dxa"/>
            </w:tcMar>
          </w:tcPr>
          <w:p>
            <w:r>
              <w:rPr>
                <w:b/>
                <w:color w:val="FFFFFF"/>
                <w:sz w:val="17"/>
              </w:rPr>
              <w:t>Diagnóstico para el Inversor</w:t>
            </w:r>
          </w:p>
        </w:tc>
      </w:tr>
      <w:tr>
        <w:tc>
          <w:tcPr>
            <w:tcW w:type="dxa" w:w="1958"/>
            <w:tcMar>
              <w:top w:w="60" w:type="dxa"/>
              <w:bottom w:w="60" w:type="dxa"/>
              <w:left w:w="100" w:type="dxa"/>
              <w:right w:w="100" w:type="dxa"/>
            </w:tcMar>
          </w:tcPr>
          <w:p>
            <w:r>
              <w:rPr>
                <w:sz w:val="17"/>
              </w:rPr>
              <w:t>Parámetros Macro y Mercado</w:t>
            </w:r>
          </w:p>
        </w:tc>
        <w:tc>
          <w:tcPr>
            <w:tcW w:type="dxa" w:w="1958"/>
            <w:tcMar>
              <w:top w:w="60" w:type="dxa"/>
              <w:bottom w:w="60" w:type="dxa"/>
              <w:left w:w="100" w:type="dxa"/>
              <w:right w:w="100" w:type="dxa"/>
            </w:tcMar>
          </w:tcPr>
          <w:p>
            <w:r>
              <w:rPr>
                <w:b/>
                <w:sz w:val="17"/>
              </w:rPr>
              <w:t>Tasa Libre de Riesgo (Rf - Bono 10Y)</w:t>
            </w:r>
          </w:p>
        </w:tc>
        <w:tc>
          <w:tcPr>
            <w:tcW w:type="dxa" w:w="1958"/>
            <w:tcMar>
              <w:top w:w="60" w:type="dxa"/>
              <w:bottom w:w="60" w:type="dxa"/>
              <w:left w:w="100" w:type="dxa"/>
              <w:right w:w="100" w:type="dxa"/>
            </w:tcMar>
          </w:tcPr>
          <w:p>
            <w:r>
              <w:rPr>
                <w:b/>
                <w:sz w:val="17"/>
              </w:rPr>
              <w:t>5.00%</w:t>
            </w:r>
          </w:p>
        </w:tc>
        <w:tc>
          <w:tcPr>
            <w:tcW w:type="dxa" w:w="1958"/>
            <w:tcMar>
              <w:top w:w="60" w:type="dxa"/>
              <w:bottom w:w="60" w:type="dxa"/>
              <w:left w:w="100" w:type="dxa"/>
              <w:right w:w="100" w:type="dxa"/>
            </w:tcMar>
          </w:tcPr>
          <w:p>
            <w:r>
              <w:rPr>
                <w:sz w:val="17"/>
              </w:rPr>
              <w:t>US Treasury Yield</w:t>
            </w:r>
          </w:p>
        </w:tc>
        <w:tc>
          <w:tcPr>
            <w:tcW w:type="dxa" w:w="1958"/>
            <w:tcMar>
              <w:top w:w="60" w:type="dxa"/>
              <w:bottom w:w="60" w:type="dxa"/>
              <w:left w:w="100" w:type="dxa"/>
              <w:right w:w="100" w:type="dxa"/>
            </w:tcMar>
          </w:tcPr>
          <w:p>
            <w:r>
              <w:rPr>
                <w:sz w:val="17"/>
              </w:rPr>
              <w:t>Costo de oportunidad libre de riesgo macroeconómico.</w:t>
            </w:r>
          </w:p>
        </w:tc>
      </w:tr>
      <w:tr>
        <w:tc>
          <w:tcPr>
            <w:tcW w:type="dxa" w:w="1958"/>
            <w:tcMar>
              <w:top w:w="60" w:type="dxa"/>
              <w:bottom w:w="60" w:type="dxa"/>
              <w:left w:w="100" w:type="dxa"/>
              <w:right w:w="100" w:type="dxa"/>
            </w:tcMar>
            <w:shd w:fill="F7FAFC"/>
          </w:tcPr>
          <w:p>
            <w:r>
              <w:rPr>
                <w:sz w:val="17"/>
              </w:rPr>
              <w:t>Parámetros Macro y Mercado</w:t>
            </w:r>
          </w:p>
        </w:tc>
        <w:tc>
          <w:tcPr>
            <w:tcW w:type="dxa" w:w="1958"/>
            <w:tcMar>
              <w:top w:w="60" w:type="dxa"/>
              <w:bottom w:w="60" w:type="dxa"/>
              <w:left w:w="100" w:type="dxa"/>
              <w:right w:w="100" w:type="dxa"/>
            </w:tcMar>
            <w:shd w:fill="F7FAFC"/>
          </w:tcPr>
          <w:p>
            <w:r>
              <w:rPr>
                <w:b/>
                <w:sz w:val="17"/>
              </w:rPr>
              <w:t>Beta de la Acción (β)</w:t>
            </w:r>
          </w:p>
        </w:tc>
        <w:tc>
          <w:tcPr>
            <w:tcW w:type="dxa" w:w="1958"/>
            <w:tcMar>
              <w:top w:w="60" w:type="dxa"/>
              <w:bottom w:w="60" w:type="dxa"/>
              <w:left w:w="100" w:type="dxa"/>
              <w:right w:w="100" w:type="dxa"/>
            </w:tcMar>
            <w:shd w:fill="F7FAFC"/>
          </w:tcPr>
          <w:p>
            <w:r>
              <w:rPr>
                <w:b/>
                <w:sz w:val="17"/>
              </w:rPr>
              <w:t>1.14</w:t>
            </w:r>
          </w:p>
        </w:tc>
        <w:tc>
          <w:tcPr>
            <w:tcW w:type="dxa" w:w="1958"/>
            <w:tcMar>
              <w:top w:w="60" w:type="dxa"/>
              <w:bottom w:w="60" w:type="dxa"/>
              <w:left w:w="100" w:type="dxa"/>
              <w:right w:w="100" w:type="dxa"/>
            </w:tcMar>
            <w:shd w:fill="F7FAFC"/>
          </w:tcPr>
          <w:p>
            <w:r>
              <w:rPr>
                <w:sz w:val="17"/>
              </w:rPr>
              <w:t>S&amp;P 500 = 1.00x</w:t>
            </w:r>
          </w:p>
        </w:tc>
        <w:tc>
          <w:tcPr>
            <w:tcW w:type="dxa" w:w="1958"/>
            <w:tcMar>
              <w:top w:w="60" w:type="dxa"/>
              <w:bottom w:w="60" w:type="dxa"/>
              <w:left w:w="100" w:type="dxa"/>
              <w:right w:w="100" w:type="dxa"/>
            </w:tcMar>
            <w:shd w:fill="F7FAFC"/>
          </w:tcPr>
          <w:p>
            <w:r>
              <w:rPr>
                <w:sz w:val="17"/>
              </w:rPr>
              <w:t>Sensibilidad cíclica moderada y alineada al mercado.</w:t>
            </w:r>
          </w:p>
        </w:tc>
      </w:tr>
      <w:tr>
        <w:tc>
          <w:tcPr>
            <w:tcW w:type="dxa" w:w="1958"/>
            <w:tcMar>
              <w:top w:w="60" w:type="dxa"/>
              <w:bottom w:w="60" w:type="dxa"/>
              <w:left w:w="100" w:type="dxa"/>
              <w:right w:w="100" w:type="dxa"/>
            </w:tcMar>
          </w:tcPr>
          <w:p>
            <w:r>
              <w:rPr>
                <w:sz w:val="17"/>
              </w:rPr>
              <w:t>Parámetros Macro y Mercado</w:t>
            </w:r>
          </w:p>
        </w:tc>
        <w:tc>
          <w:tcPr>
            <w:tcW w:type="dxa" w:w="1958"/>
            <w:tcMar>
              <w:top w:w="60" w:type="dxa"/>
              <w:bottom w:w="60" w:type="dxa"/>
              <w:left w:w="100" w:type="dxa"/>
              <w:right w:w="100" w:type="dxa"/>
            </w:tcMar>
          </w:tcPr>
          <w:p>
            <w:r>
              <w:rPr>
                <w:b/>
                <w:sz w:val="17"/>
              </w:rPr>
              <w:t>Prima de Riesgo de Mercado (ERP)</w:t>
            </w:r>
          </w:p>
        </w:tc>
        <w:tc>
          <w:tcPr>
            <w:tcW w:type="dxa" w:w="1958"/>
            <w:tcMar>
              <w:top w:w="60" w:type="dxa"/>
              <w:bottom w:w="60" w:type="dxa"/>
              <w:left w:w="100" w:type="dxa"/>
              <w:right w:w="100" w:type="dxa"/>
            </w:tcMar>
          </w:tcPr>
          <w:p>
            <w:r>
              <w:rPr>
                <w:b/>
                <w:sz w:val="17"/>
              </w:rPr>
              <w:t>4.75%</w:t>
            </w:r>
          </w:p>
        </w:tc>
        <w:tc>
          <w:tcPr>
            <w:tcW w:type="dxa" w:w="1958"/>
            <w:tcMar>
              <w:top w:w="60" w:type="dxa"/>
              <w:bottom w:w="60" w:type="dxa"/>
              <w:left w:w="100" w:type="dxa"/>
              <w:right w:w="100" w:type="dxa"/>
            </w:tcMar>
          </w:tcPr>
          <w:p>
            <w:r>
              <w:rPr>
                <w:sz w:val="17"/>
              </w:rPr>
              <w:t>NYU Stern Damodaran</w:t>
            </w:r>
          </w:p>
        </w:tc>
        <w:tc>
          <w:tcPr>
            <w:tcW w:type="dxa" w:w="1958"/>
            <w:tcMar>
              <w:top w:w="60" w:type="dxa"/>
              <w:bottom w:w="60" w:type="dxa"/>
              <w:left w:w="100" w:type="dxa"/>
              <w:right w:w="100" w:type="dxa"/>
            </w:tcMar>
          </w:tcPr>
          <w:p>
            <w:r>
              <w:rPr>
                <w:sz w:val="17"/>
              </w:rPr>
              <w:t>Exigencia de prima de retorno sobre el activo libre de riesgo.</w:t>
            </w:r>
          </w:p>
        </w:tc>
      </w:tr>
      <w:tr>
        <w:tc>
          <w:tcPr>
            <w:tcW w:type="dxa" w:w="1958"/>
            <w:tcMar>
              <w:top w:w="60" w:type="dxa"/>
              <w:bottom w:w="60" w:type="dxa"/>
              <w:left w:w="100" w:type="dxa"/>
              <w:right w:w="100" w:type="dxa"/>
            </w:tcMar>
            <w:shd w:fill="F7FAFC"/>
          </w:tcPr>
          <w:p>
            <w:r>
              <w:rPr>
                <w:sz w:val="17"/>
              </w:rPr>
              <w:t>Costo de Capital (WACC)</w:t>
            </w:r>
          </w:p>
        </w:tc>
        <w:tc>
          <w:tcPr>
            <w:tcW w:type="dxa" w:w="1958"/>
            <w:tcMar>
              <w:top w:w="60" w:type="dxa"/>
              <w:bottom w:w="60" w:type="dxa"/>
              <w:left w:w="100" w:type="dxa"/>
              <w:right w:w="100" w:type="dxa"/>
            </w:tcMar>
            <w:shd w:fill="F7FAFC"/>
          </w:tcPr>
          <w:p>
            <w:r>
              <w:rPr>
                <w:b/>
                <w:sz w:val="17"/>
              </w:rPr>
              <w:t>Costo del Capital Propio (Ke)</w:t>
            </w:r>
          </w:p>
        </w:tc>
        <w:tc>
          <w:tcPr>
            <w:tcW w:type="dxa" w:w="1958"/>
            <w:tcMar>
              <w:top w:w="60" w:type="dxa"/>
              <w:bottom w:w="60" w:type="dxa"/>
              <w:left w:w="100" w:type="dxa"/>
              <w:right w:w="100" w:type="dxa"/>
            </w:tcMar>
            <w:shd w:fill="F7FAFC"/>
          </w:tcPr>
          <w:p>
            <w:r>
              <w:rPr>
                <w:b/>
                <w:sz w:val="17"/>
              </w:rPr>
              <w:t>10.39%</w:t>
            </w:r>
          </w:p>
        </w:tc>
        <w:tc>
          <w:tcPr>
            <w:tcW w:type="dxa" w:w="1958"/>
            <w:tcMar>
              <w:top w:w="60" w:type="dxa"/>
              <w:bottom w:w="60" w:type="dxa"/>
              <w:left w:w="100" w:type="dxa"/>
              <w:right w:w="100" w:type="dxa"/>
            </w:tcMar>
            <w:shd w:fill="F7FAFC"/>
          </w:tcPr>
          <w:p>
            <w:r>
              <w:rPr>
                <w:sz w:val="17"/>
              </w:rPr>
              <w:t>Rango 9.5% - 10.5%</w:t>
            </w:r>
          </w:p>
        </w:tc>
        <w:tc>
          <w:tcPr>
            <w:tcW w:type="dxa" w:w="1958"/>
            <w:tcMar>
              <w:top w:w="60" w:type="dxa"/>
              <w:bottom w:w="60" w:type="dxa"/>
              <w:left w:w="100" w:type="dxa"/>
              <w:right w:w="100" w:type="dxa"/>
            </w:tcMar>
            <w:shd w:fill="F7FAFC"/>
          </w:tcPr>
          <w:p>
            <w:r>
              <w:rPr>
                <w:sz w:val="17"/>
              </w:rPr>
              <w:t>Retorno anual exigido por los tenedores de acciones comunes.</w:t>
            </w:r>
          </w:p>
        </w:tc>
      </w:tr>
      <w:tr>
        <w:tc>
          <w:tcPr>
            <w:tcW w:type="dxa" w:w="1958"/>
            <w:tcMar>
              <w:top w:w="60" w:type="dxa"/>
              <w:bottom w:w="60" w:type="dxa"/>
              <w:left w:w="100" w:type="dxa"/>
              <w:right w:w="100" w:type="dxa"/>
            </w:tcMar>
          </w:tcPr>
          <w:p>
            <w:r>
              <w:rPr>
                <w:sz w:val="17"/>
              </w:rPr>
              <w:t>Costo de Capital (WACC)</w:t>
            </w:r>
          </w:p>
        </w:tc>
        <w:tc>
          <w:tcPr>
            <w:tcW w:type="dxa" w:w="1958"/>
            <w:tcMar>
              <w:top w:w="60" w:type="dxa"/>
              <w:bottom w:w="60" w:type="dxa"/>
              <w:left w:w="100" w:type="dxa"/>
              <w:right w:w="100" w:type="dxa"/>
            </w:tcMar>
          </w:tcPr>
          <w:p>
            <w:r>
              <w:rPr>
                <w:b/>
                <w:sz w:val="17"/>
              </w:rPr>
              <w:t>Costo de Deuda Neta (Kd)</w:t>
            </w:r>
          </w:p>
        </w:tc>
        <w:tc>
          <w:tcPr>
            <w:tcW w:type="dxa" w:w="1958"/>
            <w:tcMar>
              <w:top w:w="60" w:type="dxa"/>
              <w:bottom w:w="60" w:type="dxa"/>
              <w:left w:w="100" w:type="dxa"/>
              <w:right w:w="100" w:type="dxa"/>
            </w:tcMar>
          </w:tcPr>
          <w:p>
            <w:r>
              <w:rPr>
                <w:b/>
                <w:sz w:val="17"/>
              </w:rPr>
              <w:t>0.00%</w:t>
            </w:r>
          </w:p>
        </w:tc>
        <w:tc>
          <w:tcPr>
            <w:tcW w:type="dxa" w:w="1958"/>
            <w:tcMar>
              <w:top w:w="60" w:type="dxa"/>
              <w:bottom w:w="60" w:type="dxa"/>
              <w:left w:w="100" w:type="dxa"/>
              <w:right w:w="100" w:type="dxa"/>
            </w:tcMar>
          </w:tcPr>
          <w:p>
            <w:r>
              <w:rPr>
                <w:sz w:val="17"/>
              </w:rPr>
              <w:t>Tasa cupón efectiva</w:t>
            </w:r>
          </w:p>
        </w:tc>
        <w:tc>
          <w:tcPr>
            <w:tcW w:type="dxa" w:w="1958"/>
            <w:tcMar>
              <w:top w:w="60" w:type="dxa"/>
              <w:bottom w:w="60" w:type="dxa"/>
              <w:left w:w="100" w:type="dxa"/>
              <w:right w:w="100" w:type="dxa"/>
            </w:tcMar>
          </w:tcPr>
          <w:p>
            <w:r>
              <w:rPr>
                <w:sz w:val="17"/>
              </w:rPr>
              <w:t>Financiación crediticia con escudo fiscal del 21.0%.</w:t>
            </w:r>
          </w:p>
        </w:tc>
      </w:tr>
      <w:tr>
        <w:tc>
          <w:tcPr>
            <w:tcW w:type="dxa" w:w="1958"/>
            <w:tcMar>
              <w:top w:w="60" w:type="dxa"/>
              <w:bottom w:w="60" w:type="dxa"/>
              <w:left w:w="100" w:type="dxa"/>
              <w:right w:w="100" w:type="dxa"/>
            </w:tcMar>
            <w:shd w:fill="F7FAFC"/>
          </w:tcPr>
          <w:p>
            <w:r>
              <w:rPr>
                <w:sz w:val="17"/>
              </w:rPr>
              <w:t>Costo de Capital (WACC)</w:t>
            </w:r>
          </w:p>
        </w:tc>
        <w:tc>
          <w:tcPr>
            <w:tcW w:type="dxa" w:w="1958"/>
            <w:tcMar>
              <w:top w:w="60" w:type="dxa"/>
              <w:bottom w:w="60" w:type="dxa"/>
              <w:left w:w="100" w:type="dxa"/>
              <w:right w:w="100" w:type="dxa"/>
            </w:tcMar>
            <w:shd w:fill="F7FAFC"/>
          </w:tcPr>
          <w:p>
            <w:r>
              <w:rPr>
                <w:b/>
                <w:sz w:val="17"/>
              </w:rPr>
              <w:t>WACC Consolidado</w:t>
            </w:r>
          </w:p>
        </w:tc>
        <w:tc>
          <w:tcPr>
            <w:tcW w:type="dxa" w:w="1958"/>
            <w:tcMar>
              <w:top w:w="60" w:type="dxa"/>
              <w:bottom w:w="60" w:type="dxa"/>
              <w:left w:w="100" w:type="dxa"/>
              <w:right w:w="100" w:type="dxa"/>
            </w:tcMar>
            <w:shd w:fill="F7FAFC"/>
          </w:tcPr>
          <w:p>
            <w:r>
              <w:rPr>
                <w:b/>
                <w:sz w:val="17"/>
              </w:rPr>
              <w:t>10.39%</w:t>
            </w:r>
          </w:p>
        </w:tc>
        <w:tc>
          <w:tcPr>
            <w:tcW w:type="dxa" w:w="1958"/>
            <w:tcMar>
              <w:top w:w="60" w:type="dxa"/>
              <w:bottom w:w="60" w:type="dxa"/>
              <w:left w:w="100" w:type="dxa"/>
              <w:right w:w="100" w:type="dxa"/>
            </w:tcMar>
            <w:shd w:fill="F7FAFC"/>
          </w:tcPr>
          <w:p>
            <w:r>
              <w:rPr>
                <w:sz w:val="17"/>
              </w:rPr>
              <w:t>Mediana Sector (8.50%)</w:t>
            </w:r>
          </w:p>
        </w:tc>
        <w:tc>
          <w:tcPr>
            <w:tcW w:type="dxa" w:w="1958"/>
            <w:tcMar>
              <w:top w:w="60" w:type="dxa"/>
              <w:bottom w:w="60" w:type="dxa"/>
              <w:left w:w="100" w:type="dxa"/>
              <w:right w:w="100" w:type="dxa"/>
            </w:tcMar>
            <w:shd w:fill="F7FAFC"/>
          </w:tcPr>
          <w:p>
            <w:r>
              <w:rPr>
                <w:sz w:val="17"/>
              </w:rPr>
              <w:t>Tasa de corte u obstáculo financiero mínimo para crear valor.</w:t>
            </w:r>
          </w:p>
        </w:tc>
      </w:tr>
      <w:tr>
        <w:tc>
          <w:tcPr>
            <w:tcW w:type="dxa" w:w="1958"/>
            <w:tcMar>
              <w:top w:w="60" w:type="dxa"/>
              <w:bottom w:w="60" w:type="dxa"/>
              <w:left w:w="100" w:type="dxa"/>
              <w:right w:w="100" w:type="dxa"/>
            </w:tcMar>
            <w:shd w:fill="E2EFDA"/>
          </w:tcPr>
          <w:p>
            <w:r>
              <w:rPr>
                <w:sz w:val="17"/>
              </w:rPr>
              <w:t>Productividad Tangible</w:t>
            </w:r>
          </w:p>
        </w:tc>
        <w:tc>
          <w:tcPr>
            <w:tcW w:type="dxa" w:w="1958"/>
            <w:tcMar>
              <w:top w:w="60" w:type="dxa"/>
              <w:bottom w:w="60" w:type="dxa"/>
              <w:left w:w="100" w:type="dxa"/>
              <w:right w:w="100" w:type="dxa"/>
            </w:tcMar>
            <w:shd w:fill="E2EFDA"/>
          </w:tcPr>
          <w:p>
            <w:r>
              <w:rPr>
                <w:b/>
                <w:sz w:val="17"/>
              </w:rPr>
              <w:t>ROC Greenblatt (Pre-Tax)</w:t>
            </w:r>
          </w:p>
        </w:tc>
        <w:tc>
          <w:tcPr>
            <w:tcW w:type="dxa" w:w="1958"/>
            <w:tcMar>
              <w:top w:w="60" w:type="dxa"/>
              <w:bottom w:w="60" w:type="dxa"/>
              <w:left w:w="100" w:type="dxa"/>
              <w:right w:w="100" w:type="dxa"/>
            </w:tcMar>
            <w:shd w:fill="E2EFDA"/>
          </w:tcPr>
          <w:p>
            <w:r>
              <w:rPr>
                <w:b/>
                <w:sz w:val="17"/>
              </w:rPr>
              <w:t>234.09%</w:t>
            </w:r>
          </w:p>
        </w:tc>
        <w:tc>
          <w:tcPr>
            <w:tcW w:type="dxa" w:w="1958"/>
            <w:tcMar>
              <w:top w:w="60" w:type="dxa"/>
              <w:bottom w:w="60" w:type="dxa"/>
              <w:left w:w="100" w:type="dxa"/>
              <w:right w:w="100" w:type="dxa"/>
            </w:tcMar>
            <w:shd w:fill="E2EFDA"/>
          </w:tcPr>
          <w:p>
            <w:r>
              <w:rPr>
                <w:sz w:val="17"/>
              </w:rPr>
              <w:t>Mediana Sector (29.85%)</w:t>
            </w:r>
          </w:p>
        </w:tc>
        <w:tc>
          <w:tcPr>
            <w:tcW w:type="dxa" w:w="1958"/>
            <w:tcMar>
              <w:top w:w="60" w:type="dxa"/>
              <w:bottom w:w="60" w:type="dxa"/>
              <w:left w:w="100" w:type="dxa"/>
              <w:right w:w="100" w:type="dxa"/>
            </w:tcMar>
            <w:shd w:fill="E2EFDA"/>
          </w:tcPr>
          <w:p>
            <w:r>
              <w:rPr>
                <w:sz w:val="17"/>
              </w:rPr>
              <w:t>Asset-Light extremo; supera al sector por ++204.2 pp.</w:t>
            </w:r>
          </w:p>
        </w:tc>
      </w:tr>
      <w:tr>
        <w:tc>
          <w:tcPr>
            <w:tcW w:type="dxa" w:w="1958"/>
            <w:tcMar>
              <w:top w:w="60" w:type="dxa"/>
              <w:bottom w:w="60" w:type="dxa"/>
              <w:left w:w="100" w:type="dxa"/>
              <w:right w:w="100" w:type="dxa"/>
            </w:tcMar>
            <w:shd w:fill="F7FAFC"/>
          </w:tcPr>
          <w:p>
            <w:r>
              <w:rPr>
                <w:sz w:val="17"/>
              </w:rPr>
              <w:t>Productividad Tangible</w:t>
            </w:r>
          </w:p>
        </w:tc>
        <w:tc>
          <w:tcPr>
            <w:tcW w:type="dxa" w:w="1958"/>
            <w:tcMar>
              <w:top w:w="60" w:type="dxa"/>
              <w:bottom w:w="60" w:type="dxa"/>
              <w:left w:w="100" w:type="dxa"/>
              <w:right w:w="100" w:type="dxa"/>
            </w:tcMar>
            <w:shd w:fill="F7FAFC"/>
          </w:tcPr>
          <w:p>
            <w:r>
              <w:rPr>
                <w:b/>
                <w:sz w:val="17"/>
              </w:rPr>
              <w:t>Capital Tangible Promedio</w:t>
            </w:r>
          </w:p>
        </w:tc>
        <w:tc>
          <w:tcPr>
            <w:tcW w:type="dxa" w:w="1958"/>
            <w:tcMar>
              <w:top w:w="60" w:type="dxa"/>
              <w:bottom w:w="60" w:type="dxa"/>
              <w:left w:w="100" w:type="dxa"/>
              <w:right w:w="100" w:type="dxa"/>
            </w:tcMar>
            <w:shd w:fill="F7FAFC"/>
          </w:tcPr>
          <w:p>
            <w:r>
              <w:rPr>
                <w:b/>
                <w:sz w:val="17"/>
              </w:rPr>
              <w:t>$535.2M</w:t>
            </w:r>
          </w:p>
        </w:tc>
        <w:tc>
          <w:tcPr>
            <w:tcW w:type="dxa" w:w="1958"/>
            <w:tcMar>
              <w:top w:w="60" w:type="dxa"/>
              <w:bottom w:w="60" w:type="dxa"/>
              <w:left w:w="100" w:type="dxa"/>
              <w:right w:w="100" w:type="dxa"/>
            </w:tcMar>
            <w:shd w:fill="F7FAFC"/>
          </w:tcPr>
          <w:p>
            <w:r>
              <w:rPr>
                <w:sz w:val="17"/>
              </w:rPr>
              <w:t>Balance SEC Form 10-Q</w:t>
            </w:r>
          </w:p>
        </w:tc>
        <w:tc>
          <w:tcPr>
            <w:tcW w:type="dxa" w:w="1958"/>
            <w:tcMar>
              <w:top w:w="60" w:type="dxa"/>
              <w:bottom w:w="60" w:type="dxa"/>
              <w:left w:w="100" w:type="dxa"/>
              <w:right w:w="100" w:type="dxa"/>
            </w:tcMar>
            <w:shd w:fill="F7FAFC"/>
          </w:tcPr>
          <w:p>
            <w:r>
              <w:rPr>
                <w:sz w:val="17"/>
              </w:rPr>
              <w:t>Base física mínima gracias a capital de trabajo negativo.</w:t>
            </w:r>
          </w:p>
        </w:tc>
      </w:tr>
      <w:tr>
        <w:tc>
          <w:tcPr>
            <w:tcW w:type="dxa" w:w="1958"/>
            <w:tcMar>
              <w:top w:w="60" w:type="dxa"/>
              <w:bottom w:w="60" w:type="dxa"/>
              <w:left w:w="100" w:type="dxa"/>
              <w:right w:w="100" w:type="dxa"/>
            </w:tcMar>
          </w:tcPr>
          <w:p>
            <w:r>
              <w:rPr>
                <w:sz w:val="17"/>
              </w:rPr>
              <w:t>Retorno Reconstituido</w:t>
            </w:r>
          </w:p>
        </w:tc>
        <w:tc>
          <w:tcPr>
            <w:tcW w:type="dxa" w:w="1958"/>
            <w:tcMar>
              <w:top w:w="60" w:type="dxa"/>
              <w:bottom w:w="60" w:type="dxa"/>
              <w:left w:w="100" w:type="dxa"/>
              <w:right w:w="100" w:type="dxa"/>
            </w:tcMar>
          </w:tcPr>
          <w:p>
            <w:r>
              <w:rPr>
                <w:b/>
                <w:sz w:val="17"/>
              </w:rPr>
              <w:t>ROIC Contable Tradicional</w:t>
            </w:r>
          </w:p>
        </w:tc>
        <w:tc>
          <w:tcPr>
            <w:tcW w:type="dxa" w:w="1958"/>
            <w:tcMar>
              <w:top w:w="60" w:type="dxa"/>
              <w:bottom w:w="60" w:type="dxa"/>
              <w:left w:w="100" w:type="dxa"/>
              <w:right w:w="100" w:type="dxa"/>
            </w:tcMar>
          </w:tcPr>
          <w:p>
            <w:r>
              <w:rPr>
                <w:b/>
                <w:sz w:val="17"/>
              </w:rPr>
              <w:t>90.86%</w:t>
            </w:r>
          </w:p>
        </w:tc>
        <w:tc>
          <w:tcPr>
            <w:tcW w:type="dxa" w:w="1958"/>
            <w:tcMar>
              <w:top w:w="60" w:type="dxa"/>
              <w:bottom w:w="60" w:type="dxa"/>
              <w:left w:w="100" w:type="dxa"/>
              <w:right w:w="100" w:type="dxa"/>
            </w:tcMar>
          </w:tcPr>
          <w:p>
            <w:r>
              <w:rPr>
                <w:sz w:val="17"/>
              </w:rPr>
              <w:t>ROIC sin ajustes</w:t>
            </w:r>
          </w:p>
        </w:tc>
        <w:tc>
          <w:tcPr>
            <w:tcW w:type="dxa" w:w="1958"/>
            <w:tcMar>
              <w:top w:w="60" w:type="dxa"/>
              <w:bottom w:w="60" w:type="dxa"/>
              <w:left w:w="100" w:type="dxa"/>
              <w:right w:w="100" w:type="dxa"/>
            </w:tcMar>
          </w:tcPr>
          <w:p>
            <w:r>
              <w:rPr>
                <w:sz w:val="17"/>
              </w:rPr>
              <w:t>Métrica distorsionada por no capitalizar gasto de innovación.</w:t>
            </w:r>
          </w:p>
        </w:tc>
      </w:tr>
      <w:tr>
        <w:tc>
          <w:tcPr>
            <w:tcW w:type="dxa" w:w="1958"/>
            <w:tcMar>
              <w:top w:w="60" w:type="dxa"/>
              <w:bottom w:w="60" w:type="dxa"/>
              <w:left w:w="100" w:type="dxa"/>
              <w:right w:w="100" w:type="dxa"/>
            </w:tcMar>
            <w:shd w:fill="F7FAFC"/>
          </w:tcPr>
          <w:p>
            <w:r>
              <w:rPr>
                <w:sz w:val="17"/>
              </w:rPr>
              <w:t>Retorno Reconstituido</w:t>
            </w:r>
          </w:p>
        </w:tc>
        <w:tc>
          <w:tcPr>
            <w:tcW w:type="dxa" w:w="1958"/>
            <w:tcMar>
              <w:top w:w="60" w:type="dxa"/>
              <w:bottom w:w="60" w:type="dxa"/>
              <w:left w:w="100" w:type="dxa"/>
              <w:right w:w="100" w:type="dxa"/>
            </w:tcMar>
            <w:shd w:fill="F7FAFC"/>
          </w:tcPr>
          <w:p>
            <w:r>
              <w:rPr>
                <w:b/>
                <w:sz w:val="17"/>
              </w:rPr>
              <w:t>Stock Intangibles I+D</w:t>
            </w:r>
          </w:p>
        </w:tc>
        <w:tc>
          <w:tcPr>
            <w:tcW w:type="dxa" w:w="1958"/>
            <w:tcMar>
              <w:top w:w="60" w:type="dxa"/>
              <w:bottom w:w="60" w:type="dxa"/>
              <w:left w:w="100" w:type="dxa"/>
              <w:right w:w="100" w:type="dxa"/>
            </w:tcMar>
            <w:shd w:fill="F7FAFC"/>
          </w:tcPr>
          <w:p>
            <w:r>
              <w:rPr>
                <w:b/>
                <w:sz w:val="17"/>
              </w:rPr>
              <w:t>$947.5M</w:t>
            </w:r>
          </w:p>
        </w:tc>
        <w:tc>
          <w:tcPr>
            <w:tcW w:type="dxa" w:w="1958"/>
            <w:tcMar>
              <w:top w:w="60" w:type="dxa"/>
              <w:bottom w:w="60" w:type="dxa"/>
              <w:left w:w="100" w:type="dxa"/>
              <w:right w:w="100" w:type="dxa"/>
            </w:tcMar>
            <w:shd w:fill="F7FAFC"/>
          </w:tcPr>
          <w:p>
            <w:r>
              <w:rPr>
                <w:sz w:val="17"/>
              </w:rPr>
              <w:t>Amortización 3 Años</w:t>
            </w:r>
          </w:p>
        </w:tc>
        <w:tc>
          <w:tcPr>
            <w:tcW w:type="dxa" w:w="1958"/>
            <w:tcMar>
              <w:top w:w="60" w:type="dxa"/>
              <w:bottom w:w="60" w:type="dxa"/>
              <w:left w:w="100" w:type="dxa"/>
              <w:right w:w="100" w:type="dxa"/>
            </w:tcMar>
            <w:shd w:fill="F7FAFC"/>
          </w:tcPr>
          <w:p>
            <w:r>
              <w:rPr>
                <w:sz w:val="17"/>
              </w:rPr>
              <w:t>Valor acumulado de patentes, silicio y software.</w:t>
            </w:r>
          </w:p>
        </w:tc>
      </w:tr>
      <w:tr>
        <w:tc>
          <w:tcPr>
            <w:tcW w:type="dxa" w:w="1958"/>
            <w:tcMar>
              <w:top w:w="60" w:type="dxa"/>
              <w:bottom w:w="60" w:type="dxa"/>
              <w:left w:w="100" w:type="dxa"/>
              <w:right w:w="100" w:type="dxa"/>
            </w:tcMar>
          </w:tcPr>
          <w:p>
            <w:r>
              <w:rPr>
                <w:sz w:val="17"/>
              </w:rPr>
              <w:t>Retorno Reconstituido</w:t>
            </w:r>
          </w:p>
        </w:tc>
        <w:tc>
          <w:tcPr>
            <w:tcW w:type="dxa" w:w="1958"/>
            <w:tcMar>
              <w:top w:w="60" w:type="dxa"/>
              <w:bottom w:w="60" w:type="dxa"/>
              <w:left w:w="100" w:type="dxa"/>
              <w:right w:w="100" w:type="dxa"/>
            </w:tcMar>
          </w:tcPr>
          <w:p>
            <w:r>
              <w:rPr>
                <w:b/>
                <w:sz w:val="17"/>
              </w:rPr>
              <w:t>Capital Invertido Promedio</w:t>
            </w:r>
          </w:p>
        </w:tc>
        <w:tc>
          <w:tcPr>
            <w:tcW w:type="dxa" w:w="1958"/>
            <w:tcMar>
              <w:top w:w="60" w:type="dxa"/>
              <w:bottom w:w="60" w:type="dxa"/>
              <w:left w:w="100" w:type="dxa"/>
              <w:right w:w="100" w:type="dxa"/>
            </w:tcMar>
          </w:tcPr>
          <w:p>
            <w:r>
              <w:rPr>
                <w:b/>
                <w:sz w:val="17"/>
              </w:rPr>
              <w:t>$2,036.9M</w:t>
            </w:r>
          </w:p>
        </w:tc>
        <w:tc>
          <w:tcPr>
            <w:tcW w:type="dxa" w:w="1958"/>
            <w:tcMar>
              <w:top w:w="60" w:type="dxa"/>
              <w:bottom w:w="60" w:type="dxa"/>
              <w:left w:w="100" w:type="dxa"/>
              <w:right w:w="100" w:type="dxa"/>
            </w:tcMar>
          </w:tcPr>
          <w:p>
            <w:r>
              <w:rPr>
                <w:sz w:val="17"/>
              </w:rPr>
              <w:t>Base Económica Total</w:t>
            </w:r>
          </w:p>
        </w:tc>
        <w:tc>
          <w:tcPr>
            <w:tcW w:type="dxa" w:w="1958"/>
            <w:tcMar>
              <w:top w:w="60" w:type="dxa"/>
              <w:bottom w:w="60" w:type="dxa"/>
              <w:left w:w="100" w:type="dxa"/>
              <w:right w:w="100" w:type="dxa"/>
            </w:tcMar>
          </w:tcPr>
          <w:p>
            <w:r>
              <w:rPr>
                <w:sz w:val="17"/>
              </w:rPr>
              <w:t>Base de capital honesta que absorbe las inversiones en I+D.</w:t>
            </w:r>
          </w:p>
        </w:tc>
      </w:tr>
      <w:tr>
        <w:tc>
          <w:tcPr>
            <w:tcW w:type="dxa" w:w="1958"/>
            <w:tcMar>
              <w:top w:w="60" w:type="dxa"/>
              <w:bottom w:w="60" w:type="dxa"/>
              <w:left w:w="100" w:type="dxa"/>
              <w:right w:w="100" w:type="dxa"/>
            </w:tcMar>
            <w:shd w:fill="F7FAFC"/>
            <w:shd w:fill="E2EFDA"/>
          </w:tcPr>
          <w:p>
            <w:r>
              <w:rPr>
                <w:b/>
                <w:sz w:val="17"/>
              </w:rPr>
              <w:t>Retorno Reconstituido</w:t>
            </w:r>
          </w:p>
        </w:tc>
        <w:tc>
          <w:tcPr>
            <w:tcW w:type="dxa" w:w="1958"/>
            <w:tcMar>
              <w:top w:w="60" w:type="dxa"/>
              <w:bottom w:w="60" w:type="dxa"/>
              <w:left w:w="100" w:type="dxa"/>
              <w:right w:w="100" w:type="dxa"/>
            </w:tcMar>
            <w:shd w:fill="F7FAFC"/>
            <w:shd w:fill="E2EFDA"/>
          </w:tcPr>
          <w:p>
            <w:r>
              <w:rPr>
                <w:b/>
                <w:sz w:val="17"/>
              </w:rPr>
              <w:t>ROIC Ajustado por Intangibles</w:t>
            </w:r>
          </w:p>
        </w:tc>
        <w:tc>
          <w:tcPr>
            <w:tcW w:type="dxa" w:w="1958"/>
            <w:tcMar>
              <w:top w:w="60" w:type="dxa"/>
              <w:bottom w:w="60" w:type="dxa"/>
              <w:left w:w="100" w:type="dxa"/>
              <w:right w:w="100" w:type="dxa"/>
            </w:tcMar>
            <w:shd w:fill="F7FAFC"/>
            <w:shd w:fill="E2EFDA"/>
          </w:tcPr>
          <w:p>
            <w:r>
              <w:rPr>
                <w:b/>
                <w:sz w:val="17"/>
              </w:rPr>
              <w:t>53.58%</w:t>
            </w:r>
          </w:p>
        </w:tc>
        <w:tc>
          <w:tcPr>
            <w:tcW w:type="dxa" w:w="1958"/>
            <w:tcMar>
              <w:top w:w="60" w:type="dxa"/>
              <w:bottom w:w="60" w:type="dxa"/>
              <w:left w:w="100" w:type="dxa"/>
              <w:right w:w="100" w:type="dxa"/>
            </w:tcMar>
            <w:shd w:fill="F7FAFC"/>
            <w:shd w:fill="E2EFDA"/>
          </w:tcPr>
          <w:p>
            <w:r>
              <w:rPr>
                <w:b/>
                <w:sz w:val="17"/>
              </w:rPr>
              <w:t>Mediana Sector (18.30%)</w:t>
            </w:r>
          </w:p>
        </w:tc>
        <w:tc>
          <w:tcPr>
            <w:tcW w:type="dxa" w:w="1958"/>
            <w:tcMar>
              <w:top w:w="60" w:type="dxa"/>
              <w:bottom w:w="60" w:type="dxa"/>
              <w:left w:w="100" w:type="dxa"/>
              <w:right w:w="100" w:type="dxa"/>
            </w:tcMar>
            <w:shd w:fill="F7FAFC"/>
            <w:shd w:fill="E2EFDA"/>
          </w:tcPr>
          <w:p>
            <w:r>
              <w:rPr>
                <w:b/>
                <w:sz w:val="17"/>
              </w:rPr>
              <w:t>Retorno real sobre capital total invertido en el negocio.</w:t>
            </w:r>
          </w:p>
        </w:tc>
      </w:tr>
      <w:tr>
        <w:tc>
          <w:tcPr>
            <w:tcW w:type="dxa" w:w="1958"/>
            <w:tcMar>
              <w:top w:w="60" w:type="dxa"/>
              <w:bottom w:w="60" w:type="dxa"/>
              <w:left w:w="100" w:type="dxa"/>
              <w:right w:w="100" w:type="dxa"/>
            </w:tcMar>
            <w:shd w:fill="E2EFDA"/>
          </w:tcPr>
          <w:p>
            <w:r>
              <w:rPr>
                <w:b/>
                <w:sz w:val="17"/>
              </w:rPr>
              <w:t>Creación de Valor (EVA)</w:t>
            </w:r>
          </w:p>
        </w:tc>
        <w:tc>
          <w:tcPr>
            <w:tcW w:type="dxa" w:w="1958"/>
            <w:tcMar>
              <w:top w:w="60" w:type="dxa"/>
              <w:bottom w:w="60" w:type="dxa"/>
              <w:left w:w="100" w:type="dxa"/>
              <w:right w:w="100" w:type="dxa"/>
            </w:tcMar>
            <w:shd w:fill="E2EFDA"/>
          </w:tcPr>
          <w:p>
            <w:r>
              <w:rPr>
                <w:b/>
                <w:sz w:val="17"/>
              </w:rPr>
              <w:t>Spread Económico Neto</w:t>
            </w:r>
          </w:p>
        </w:tc>
        <w:tc>
          <w:tcPr>
            <w:tcW w:type="dxa" w:w="1958"/>
            <w:tcMar>
              <w:top w:w="60" w:type="dxa"/>
              <w:bottom w:w="60" w:type="dxa"/>
              <w:left w:w="100" w:type="dxa"/>
              <w:right w:w="100" w:type="dxa"/>
            </w:tcMar>
            <w:shd w:fill="E2EFDA"/>
          </w:tcPr>
          <w:p>
            <w:r>
              <w:rPr>
                <w:b/>
                <w:sz w:val="17"/>
              </w:rPr>
              <w:t>+43.19 pp</w:t>
            </w:r>
          </w:p>
        </w:tc>
        <w:tc>
          <w:tcPr>
            <w:tcW w:type="dxa" w:w="1958"/>
            <w:tcMar>
              <w:top w:w="60" w:type="dxa"/>
              <w:bottom w:w="60" w:type="dxa"/>
              <w:left w:w="100" w:type="dxa"/>
              <w:right w:w="100" w:type="dxa"/>
            </w:tcMar>
            <w:shd w:fill="E2EFDA"/>
          </w:tcPr>
          <w:p>
            <w:r>
              <w:rPr>
                <w:b/>
                <w:sz w:val="17"/>
              </w:rPr>
              <w:t>Mediana Sector (+9.20 pp)</w:t>
            </w:r>
          </w:p>
        </w:tc>
        <w:tc>
          <w:tcPr>
            <w:tcW w:type="dxa" w:w="1958"/>
            <w:tcMar>
              <w:top w:w="60" w:type="dxa"/>
              <w:bottom w:w="60" w:type="dxa"/>
              <w:left w:w="100" w:type="dxa"/>
              <w:right w:w="100" w:type="dxa"/>
            </w:tcMar>
            <w:shd w:fill="E2EFDA"/>
          </w:tcPr>
          <w:p>
            <w:r>
              <w:rPr>
                <w:b/>
                <w:sz w:val="17"/>
              </w:rPr>
              <w:t>Extraordinaria generación de riqueza neta sobre el coste de capital.</w:t>
            </w:r>
          </w:p>
        </w:tc>
      </w:tr>
      <w:tr>
        <w:tc>
          <w:tcPr>
            <w:tcW w:type="dxa" w:w="1958"/>
            <w:tcMar>
              <w:top w:w="60" w:type="dxa"/>
              <w:bottom w:w="60" w:type="dxa"/>
              <w:left w:w="100" w:type="dxa"/>
              <w:right w:w="100" w:type="dxa"/>
            </w:tcMar>
            <w:shd w:fill="F7FAFC"/>
          </w:tcPr>
          <w:p>
            <w:r>
              <w:rPr>
                <w:sz w:val="17"/>
              </w:rPr>
              <w:t>Creación de Valor (EVA)</w:t>
            </w:r>
          </w:p>
        </w:tc>
        <w:tc>
          <w:tcPr>
            <w:tcW w:type="dxa" w:w="1958"/>
            <w:tcMar>
              <w:top w:w="60" w:type="dxa"/>
              <w:bottom w:w="60" w:type="dxa"/>
              <w:left w:w="100" w:type="dxa"/>
              <w:right w:w="100" w:type="dxa"/>
            </w:tcMar>
            <w:shd w:fill="F7FAFC"/>
          </w:tcPr>
          <w:p>
            <w:r>
              <w:rPr>
                <w:b/>
                <w:sz w:val="17"/>
              </w:rPr>
              <w:t>Dictamen Foso Defensivo</w:t>
            </w:r>
          </w:p>
        </w:tc>
        <w:tc>
          <w:tcPr>
            <w:tcW w:type="dxa" w:w="1958"/>
            <w:tcMar>
              <w:top w:w="60" w:type="dxa"/>
              <w:bottom w:w="60" w:type="dxa"/>
              <w:left w:w="100" w:type="dxa"/>
              <w:right w:w="100" w:type="dxa"/>
            </w:tcMar>
            <w:shd w:fill="F7FAFC"/>
          </w:tcPr>
          <w:p>
            <w:r>
              <w:rPr>
                <w:b/>
                <w:sz w:val="17"/>
              </w:rPr>
              <w:t>🏰 WIDE MOAT / COMPOUNDING MACHINE</w:t>
            </w:r>
          </w:p>
        </w:tc>
        <w:tc>
          <w:tcPr>
            <w:tcW w:type="dxa" w:w="1958"/>
            <w:tcMar>
              <w:top w:w="60" w:type="dxa"/>
              <w:bottom w:w="60" w:type="dxa"/>
              <w:left w:w="100" w:type="dxa"/>
              <w:right w:w="100" w:type="dxa"/>
            </w:tcMar>
            <w:shd w:fill="F7FAFC"/>
          </w:tcPr>
          <w:p>
            <w:r>
              <w:rPr>
                <w:sz w:val="17"/>
              </w:rPr>
              <w:t>Compounding Machine</w:t>
            </w:r>
          </w:p>
        </w:tc>
        <w:tc>
          <w:tcPr>
            <w:tcW w:type="dxa" w:w="1958"/>
            <w:tcMar>
              <w:top w:w="60" w:type="dxa"/>
              <w:bottom w:w="60" w:type="dxa"/>
              <w:left w:w="100" w:type="dxa"/>
              <w:right w:w="100" w:type="dxa"/>
            </w:tcMar>
            <w:shd w:fill="F7FAFC"/>
          </w:tcPr>
          <w:p>
            <w:r>
              <w:rPr>
                <w:sz w:val="17"/>
              </w:rPr>
              <w:t>Fortaleza estructural inquebrantable de largo plazo.</w:t>
            </w:r>
          </w:p>
        </w:tc>
      </w:tr>
    </w:tbl>
    <w:p/>
    <w:p>
      <w:pPr>
        <w:pStyle w:val="Heading1"/>
        <w:spacing w:before="280" w:after="80"/>
      </w:pPr>
      <w:r>
        <w:rPr>
          <w:rFonts w:ascii="Calibri" w:hAnsi="Calibri"/>
          <w:b/>
          <w:color w:val="1B365D"/>
          <w:sz w:val="28"/>
        </w:rPr>
        <w:t>13. Auditoría Forense Contable y Calidad de Beneficios (Detección de Trampas Contables)</w:t>
      </w:r>
    </w:p>
    <w:p>
      <w:pPr>
        <w:spacing w:before="80" w:after="160"/>
        <w:ind w:left="288" w:right="288"/>
      </w:pPr>
      <w:r>
        <w:rPr>
          <w:rFonts w:ascii="Calibri" w:hAnsi="Calibri"/>
          <w:b/>
          <w:color w:val="1B365D"/>
          <w:sz w:val="21"/>
        </w:rPr>
        <w:t>DICTAMEN FORENSE INSTITUCIONAL (LTM): ZONA DE VIGILANCIA</w:t>
        <w:br/>
      </w:r>
      <w:r>
        <w:rPr>
          <w:rFonts w:ascii="Calibri" w:hAnsi="Calibri"/>
          <w:color w:val="2D3748"/>
          <w:sz w:val="19"/>
        </w:rPr>
        <w:t>• Ratio Sloan de Devengos: -4.73% [ALTA CONVERSIÓN DE CAJA (CFO &gt; NI)]</w:t>
        <w:br/>
        <w:t>• Montier C-Score: 3 / 6 [RIESGO MODERADO / ALERTA PREVENTIVA (&lt; 5% PROBABILIDAD DE MANIPULACIÓN)]</w:t>
        <w:br/>
        <w:t>• Dictamen: ZONA DE VIGILANCIA POR DESFASES OPERATIVOS: Montier C-Score de 3/6 con divergencias puntuales en capital de trabajo. Revisar ciclos estacionales de inventarios y condiciones comerciales de cobro.</w:t>
      </w:r>
    </w:p>
    <w:p>
      <w:pPr>
        <w:spacing w:after="120"/>
      </w:pPr>
      <w:r>
        <w:rPr>
          <w:rFonts w:ascii="Calibri" w:hAnsi="Calibri"/>
          <w:color w:val="2D3748"/>
          <w:sz w:val="19"/>
        </w:rPr>
        <w:t>A fin de verificar la autenticidad intrínseca de las ganancias reportadas ante los reguladores (SEC) y descartar de forma exhaustiva el riesgo de 'beneficios de papel', inflación artificial de márgenes o reconocimiento agresivo de ventas, se auditan tres instrumentos cuantitativos especializados no redundantes: el Ratio de Devengos de Sloan (1996), la Matriz de Divergencias de Alerta Temprana en balance y el Montier C-Score (2008).</w:t>
      </w:r>
    </w:p>
    <w:p>
      <w:pPr>
        <w:pStyle w:val="Heading2"/>
      </w:pPr>
      <w:r>
        <w:rPr>
          <w:rFonts w:ascii="Calibri" w:hAnsi="Calibri"/>
          <w:b/>
          <w:color w:val="1B365D"/>
          <w:sz w:val="23"/>
        </w:rPr>
        <w:t>13.1. Ratio de Devengos de Sloan (The Accrual Anomaly)</w:t>
      </w:r>
    </w:p>
    <w:p>
      <w:pPr>
        <w:spacing w:after="120"/>
      </w:pPr>
      <w:r>
        <w:rPr>
          <w:rFonts w:ascii="Calibri" w:hAnsi="Calibri"/>
          <w:color w:val="2D3748"/>
          <w:sz w:val="18"/>
        </w:rPr>
        <w:t>El profesor Richard Sloan (University of Michigan, 1996) demostró que los beneficios contables generados mediante asientos de ajuste o partidas no monetarias exhiben una persistencia temporal muy inferior a las ganancias respaldadas por cobros efectivos. Un ratio de devengos negativo —donde el flujo de caja operativo supera a la utilidad neta— constituye un foso de máxima calidad contable:</w:t>
        <w:br/>
        <w:t>Sloan Accrual Ratio = (Utilidad Neta GAAP − Flujo de Caja Operativo CFO) / Activos Totales Promedio</w:t>
        <w:br/>
        <w:t>• &lt; -3.0%: Excelente / Calidad Superior  |  • -3.0% a +7.0%: Rango Saludable  |  • +7.0% a +10.0%: Precaución  |  • &gt; +10.0%: Alerta Roja</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592"/>
        <w:gridCol w:w="1094"/>
        <w:gridCol w:w="1094"/>
        <w:gridCol w:w="1094"/>
        <w:gridCol w:w="1094"/>
        <w:gridCol w:w="1094"/>
        <w:gridCol w:w="1728"/>
      </w:tblGrid>
      <w:tr>
        <w:tc>
          <w:tcPr>
            <w:tcW w:type="dxa" w:w="2592"/>
            <w:shd w:fill="1B365D"/>
            <w:tcMar>
              <w:top w:w="80" w:type="dxa"/>
              <w:bottom w:w="80" w:type="dxa"/>
              <w:left w:w="80" w:type="dxa"/>
              <w:right w:w="80" w:type="dxa"/>
            </w:tcMar>
          </w:tcPr>
          <w:p>
            <w:pPr>
              <w:jc w:val="left"/>
            </w:pPr>
            <w:r>
              <w:rPr>
                <w:rFonts w:ascii="Calibri" w:hAnsi="Calibri"/>
                <w:b/>
                <w:color w:val="FFFFFF"/>
                <w:sz w:val="17"/>
              </w:rPr>
              <w:t>Métrica Contable Forense</w:t>
            </w:r>
          </w:p>
        </w:tc>
        <w:tc>
          <w:tcPr>
            <w:tcW w:type="dxa" w:w="1094"/>
            <w:shd w:fill="0A3641"/>
            <w:tcMar>
              <w:top w:w="80" w:type="dxa"/>
              <w:bottom w:w="80" w:type="dxa"/>
              <w:left w:w="80" w:type="dxa"/>
              <w:right w:w="80" w:type="dxa"/>
            </w:tcMar>
          </w:tcPr>
          <w:p>
            <w:pPr>
              <w:jc w:val="center"/>
            </w:pPr>
            <w:r>
              <w:rPr>
                <w:rFonts w:ascii="Calibri" w:hAnsi="Calibri"/>
                <w:b/>
                <w:color w:val="FFD700"/>
                <w:sz w:val="17"/>
              </w:rPr>
              <w:t>LTM</w:t>
            </w:r>
          </w:p>
        </w:tc>
        <w:tc>
          <w:tcPr>
            <w:tcW w:type="dxa" w:w="1094"/>
            <w:shd w:fill="1B365D"/>
            <w:tcMar>
              <w:top w:w="80" w:type="dxa"/>
              <w:bottom w:w="80" w:type="dxa"/>
              <w:left w:w="80" w:type="dxa"/>
              <w:right w:w="80" w:type="dxa"/>
            </w:tcMar>
          </w:tcPr>
          <w:p>
            <w:pPr>
              <w:jc w:val="center"/>
            </w:pPr>
            <w:r>
              <w:rPr>
                <w:rFonts w:ascii="Calibri" w:hAnsi="Calibri"/>
                <w:b/>
                <w:color w:val="FFFFFF"/>
                <w:sz w:val="17"/>
              </w:rPr>
              <w:t>FY2026</w:t>
            </w:r>
          </w:p>
        </w:tc>
        <w:tc>
          <w:tcPr>
            <w:tcW w:type="dxa" w:w="1094"/>
            <w:shd w:fill="1B365D"/>
            <w:tcMar>
              <w:top w:w="80" w:type="dxa"/>
              <w:bottom w:w="80" w:type="dxa"/>
              <w:left w:w="80" w:type="dxa"/>
              <w:right w:w="80" w:type="dxa"/>
            </w:tcMar>
          </w:tcPr>
          <w:p>
            <w:pPr>
              <w:jc w:val="center"/>
            </w:pPr>
            <w:r>
              <w:rPr>
                <w:rFonts w:ascii="Calibri" w:hAnsi="Calibri"/>
                <w:b/>
                <w:color w:val="FFFFFF"/>
                <w:sz w:val="17"/>
              </w:rPr>
              <w:t>FY2025</w:t>
            </w:r>
          </w:p>
        </w:tc>
        <w:tc>
          <w:tcPr>
            <w:tcW w:type="dxa" w:w="1094"/>
            <w:shd w:fill="1B365D"/>
            <w:tcMar>
              <w:top w:w="80" w:type="dxa"/>
              <w:bottom w:w="80" w:type="dxa"/>
              <w:left w:w="80" w:type="dxa"/>
              <w:right w:w="80" w:type="dxa"/>
            </w:tcMar>
          </w:tcPr>
          <w:p>
            <w:pPr>
              <w:jc w:val="center"/>
            </w:pPr>
            <w:r>
              <w:rPr>
                <w:rFonts w:ascii="Calibri" w:hAnsi="Calibri"/>
                <w:b/>
                <w:color w:val="FFFFFF"/>
                <w:sz w:val="17"/>
              </w:rPr>
              <w:t>FY2024</w:t>
            </w:r>
          </w:p>
        </w:tc>
        <w:tc>
          <w:tcPr>
            <w:tcW w:type="dxa" w:w="1094"/>
            <w:shd w:fill="1B365D"/>
            <w:tcMar>
              <w:top w:w="80" w:type="dxa"/>
              <w:bottom w:w="80" w:type="dxa"/>
              <w:left w:w="80" w:type="dxa"/>
              <w:right w:w="80" w:type="dxa"/>
            </w:tcMar>
          </w:tcPr>
          <w:p>
            <w:pPr>
              <w:jc w:val="center"/>
            </w:pPr>
            <w:r>
              <w:rPr>
                <w:rFonts w:ascii="Calibri" w:hAnsi="Calibri"/>
                <w:b/>
                <w:color w:val="FFFFFF"/>
                <w:sz w:val="17"/>
              </w:rPr>
              <w:t>FY2023</w:t>
            </w:r>
          </w:p>
        </w:tc>
        <w:tc>
          <w:tcPr>
            <w:tcW w:type="dxa" w:w="1728"/>
            <w:shd w:fill="1B365D"/>
            <w:tcMar>
              <w:top w:w="80" w:type="dxa"/>
              <w:bottom w:w="80" w:type="dxa"/>
              <w:left w:w="80" w:type="dxa"/>
              <w:right w:w="80" w:type="dxa"/>
            </w:tcMar>
          </w:tcPr>
          <w:p>
            <w:pPr>
              <w:jc w:val="center"/>
            </w:pPr>
            <w:r>
              <w:rPr>
                <w:rFonts w:ascii="Calibri" w:hAnsi="Calibri"/>
                <w:b/>
                <w:color w:val="FFFFFF"/>
                <w:sz w:val="17"/>
              </w:rPr>
              <w:t>Umbral Institucional</w:t>
            </w:r>
          </w:p>
        </w:tc>
      </w:tr>
      <w:tr>
        <w:tc>
          <w:tcPr>
            <w:tcW w:type="dxa" w:w="2592"/>
            <w:tcMar>
              <w:top w:w="60" w:type="dxa"/>
              <w:bottom w:w="60" w:type="dxa"/>
              <w:left w:w="80" w:type="dxa"/>
              <w:right w:w="80" w:type="dxa"/>
            </w:tcMar>
          </w:tcPr>
          <w:p>
            <w:r>
              <w:rPr>
                <w:rFonts w:ascii="Calibri" w:hAnsi="Calibri"/>
                <w:b w:val="0"/>
                <w:sz w:val="17"/>
              </w:rPr>
              <w:t>(+) Utilidad Neta GAAP ($M)</w:t>
            </w:r>
          </w:p>
        </w:tc>
        <w:tc>
          <w:tcPr>
            <w:tcW w:type="dxa" w:w="1094"/>
            <w:tcMar>
              <w:top w:w="60" w:type="dxa"/>
              <w:bottom w:w="60" w:type="dxa"/>
              <w:left w:w="60" w:type="dxa"/>
              <w:right w:w="60" w:type="dxa"/>
            </w:tcMar>
          </w:tcPr>
          <w:p>
            <w:pPr>
              <w:jc w:val="right"/>
            </w:pPr>
            <w:r>
              <w:rPr>
                <w:rFonts w:ascii="Calibri" w:hAnsi="Calibri"/>
                <w:b w:val="0"/>
                <w:sz w:val="17"/>
              </w:rPr>
              <w:t>$1,014.8M</w:t>
            </w:r>
          </w:p>
        </w:tc>
        <w:tc>
          <w:tcPr>
            <w:tcW w:type="dxa" w:w="1094"/>
            <w:tcMar>
              <w:top w:w="60" w:type="dxa"/>
              <w:bottom w:w="60" w:type="dxa"/>
              <w:left w:w="60" w:type="dxa"/>
              <w:right w:w="60" w:type="dxa"/>
            </w:tcMar>
          </w:tcPr>
          <w:p>
            <w:pPr>
              <w:jc w:val="right"/>
            </w:pPr>
            <w:r>
              <w:rPr>
                <w:rFonts w:ascii="Calibri" w:hAnsi="Calibri"/>
                <w:b w:val="0"/>
                <w:sz w:val="17"/>
              </w:rPr>
              <w:t>$1,024.1M</w:t>
            </w:r>
          </w:p>
        </w:tc>
        <w:tc>
          <w:tcPr>
            <w:tcW w:type="dxa" w:w="1094"/>
            <w:tcMar>
              <w:top w:w="60" w:type="dxa"/>
              <w:bottom w:w="60" w:type="dxa"/>
              <w:left w:w="60" w:type="dxa"/>
              <w:right w:w="60" w:type="dxa"/>
            </w:tcMar>
          </w:tcPr>
          <w:p>
            <w:pPr>
              <w:jc w:val="right"/>
            </w:pPr>
            <w:r>
              <w:rPr>
                <w:rFonts w:ascii="Calibri" w:hAnsi="Calibri"/>
                <w:b w:val="0"/>
                <w:sz w:val="17"/>
              </w:rPr>
              <w:t>$966.1M</w:t>
            </w:r>
          </w:p>
        </w:tc>
        <w:tc>
          <w:tcPr>
            <w:tcW w:type="dxa" w:w="1094"/>
            <w:tcMar>
              <w:top w:w="60" w:type="dxa"/>
              <w:bottom w:w="60" w:type="dxa"/>
              <w:left w:w="60" w:type="dxa"/>
              <w:right w:w="60" w:type="dxa"/>
            </w:tcMar>
          </w:tcPr>
          <w:p>
            <w:pPr>
              <w:jc w:val="right"/>
            </w:pPr>
            <w:r>
              <w:rPr>
                <w:rFonts w:ascii="Calibri" w:hAnsi="Calibri"/>
                <w:b w:val="0"/>
                <w:sz w:val="17"/>
              </w:rPr>
              <w:t>$759.6M</w:t>
            </w:r>
          </w:p>
        </w:tc>
        <w:tc>
          <w:tcPr>
            <w:tcW w:type="dxa" w:w="1094"/>
            <w:tcMar>
              <w:top w:w="60" w:type="dxa"/>
              <w:bottom w:w="60" w:type="dxa"/>
              <w:left w:w="60" w:type="dxa"/>
              <w:right w:w="60" w:type="dxa"/>
            </w:tcMar>
          </w:tcPr>
          <w:p>
            <w:pPr>
              <w:jc w:val="right"/>
            </w:pPr>
            <w:r>
              <w:rPr>
                <w:rFonts w:ascii="Calibri" w:hAnsi="Calibri"/>
                <w:b w:val="0"/>
                <w:sz w:val="17"/>
              </w:rPr>
              <w:t>$516.8M</w:t>
            </w:r>
          </w:p>
        </w:tc>
        <w:tc>
          <w:tcPr>
            <w:tcW w:type="dxa" w:w="1728"/>
            <w:tcMar>
              <w:top w:w="60" w:type="dxa"/>
              <w:bottom w:w="60" w:type="dxa"/>
              <w:left w:w="60" w:type="dxa"/>
              <w:right w:w="60" w:type="dxa"/>
            </w:tcMar>
          </w:tcPr>
          <w:p>
            <w:pPr>
              <w:jc w:val="center"/>
            </w:pPr>
            <w:r>
              <w:rPr>
                <w:rFonts w:ascii="Calibri" w:hAnsi="Calibri"/>
                <w:i/>
                <w:sz w:val="17"/>
              </w:rPr>
              <w:t>Base Devengada</w:t>
            </w:r>
          </w:p>
        </w:tc>
      </w:tr>
      <w:tr>
        <w:tc>
          <w:tcPr>
            <w:tcW w:type="dxa" w:w="2592"/>
            <w:tcMar>
              <w:top w:w="60" w:type="dxa"/>
              <w:bottom w:w="60" w:type="dxa"/>
              <w:left w:w="80" w:type="dxa"/>
              <w:right w:w="80" w:type="dxa"/>
            </w:tcMar>
          </w:tcPr>
          <w:p>
            <w:r>
              <w:rPr>
                <w:rFonts w:ascii="Calibri" w:hAnsi="Calibri"/>
                <w:b w:val="0"/>
                <w:sz w:val="17"/>
              </w:rPr>
              <w:t>(-) Flujo Operativo CFO ($M)</w:t>
            </w:r>
          </w:p>
        </w:tc>
        <w:tc>
          <w:tcPr>
            <w:tcW w:type="dxa" w:w="1094"/>
            <w:tcMar>
              <w:top w:w="60" w:type="dxa"/>
              <w:bottom w:w="60" w:type="dxa"/>
              <w:left w:w="60" w:type="dxa"/>
              <w:right w:w="60" w:type="dxa"/>
            </w:tcMar>
          </w:tcPr>
          <w:p>
            <w:pPr>
              <w:jc w:val="right"/>
            </w:pPr>
            <w:r>
              <w:rPr>
                <w:rFonts w:ascii="Calibri" w:hAnsi="Calibri"/>
                <w:b w:val="0"/>
                <w:sz w:val="17"/>
              </w:rPr>
              <w:t>$1,193.7M</w:t>
            </w:r>
          </w:p>
        </w:tc>
        <w:tc>
          <w:tcPr>
            <w:tcW w:type="dxa" w:w="1094"/>
            <w:tcMar>
              <w:top w:w="60" w:type="dxa"/>
              <w:bottom w:w="60" w:type="dxa"/>
              <w:left w:w="60" w:type="dxa"/>
              <w:right w:w="60" w:type="dxa"/>
            </w:tcMar>
          </w:tcPr>
          <w:p>
            <w:pPr>
              <w:jc w:val="right"/>
            </w:pPr>
            <w:r>
              <w:rPr>
                <w:rFonts w:ascii="Calibri" w:hAnsi="Calibri"/>
                <w:b w:val="0"/>
                <w:sz w:val="17"/>
              </w:rPr>
              <w:t>$1,182.0M</w:t>
            </w:r>
          </w:p>
        </w:tc>
        <w:tc>
          <w:tcPr>
            <w:tcW w:type="dxa" w:w="1094"/>
            <w:tcMar>
              <w:top w:w="60" w:type="dxa"/>
              <w:bottom w:w="60" w:type="dxa"/>
              <w:left w:w="60" w:type="dxa"/>
              <w:right w:w="60" w:type="dxa"/>
            </w:tcMar>
          </w:tcPr>
          <w:p>
            <w:pPr>
              <w:jc w:val="right"/>
            </w:pPr>
            <w:r>
              <w:rPr>
                <w:rFonts w:ascii="Calibri" w:hAnsi="Calibri"/>
                <w:b w:val="0"/>
                <w:sz w:val="17"/>
              </w:rPr>
              <w:t>$1,044.5M</w:t>
            </w:r>
          </w:p>
        </w:tc>
        <w:tc>
          <w:tcPr>
            <w:tcW w:type="dxa" w:w="1094"/>
            <w:tcMar>
              <w:top w:w="60" w:type="dxa"/>
              <w:bottom w:w="60" w:type="dxa"/>
              <w:left w:w="60" w:type="dxa"/>
              <w:right w:w="60" w:type="dxa"/>
            </w:tcMar>
          </w:tcPr>
          <w:p>
            <w:pPr>
              <w:jc w:val="right"/>
            </w:pPr>
            <w:r>
              <w:rPr>
                <w:rFonts w:ascii="Calibri" w:hAnsi="Calibri"/>
                <w:b w:val="0"/>
                <w:sz w:val="17"/>
              </w:rPr>
              <w:t>$1,033.2M</w:t>
            </w:r>
          </w:p>
        </w:tc>
        <w:tc>
          <w:tcPr>
            <w:tcW w:type="dxa" w:w="1094"/>
            <w:tcMar>
              <w:top w:w="60" w:type="dxa"/>
              <w:bottom w:w="60" w:type="dxa"/>
              <w:left w:w="60" w:type="dxa"/>
              <w:right w:w="60" w:type="dxa"/>
            </w:tcMar>
          </w:tcPr>
          <w:p>
            <w:pPr>
              <w:jc w:val="right"/>
            </w:pPr>
            <w:r>
              <w:rPr>
                <w:rFonts w:ascii="Calibri" w:hAnsi="Calibri"/>
                <w:b w:val="0"/>
                <w:sz w:val="17"/>
              </w:rPr>
              <w:t>$537.4M</w:t>
            </w:r>
          </w:p>
        </w:tc>
        <w:tc>
          <w:tcPr>
            <w:tcW w:type="dxa" w:w="1728"/>
            <w:tcMar>
              <w:top w:w="60" w:type="dxa"/>
              <w:bottom w:w="60" w:type="dxa"/>
              <w:left w:w="60" w:type="dxa"/>
              <w:right w:w="60" w:type="dxa"/>
            </w:tcMar>
          </w:tcPr>
          <w:p>
            <w:pPr>
              <w:jc w:val="center"/>
            </w:pPr>
            <w:r>
              <w:rPr>
                <w:rFonts w:ascii="Calibri" w:hAnsi="Calibri"/>
                <w:i/>
                <w:sz w:val="17"/>
              </w:rPr>
              <w:t>Caja Líquida Real</w:t>
            </w:r>
          </w:p>
        </w:tc>
      </w:tr>
      <w:tr>
        <w:tc>
          <w:tcPr>
            <w:tcW w:type="dxa" w:w="2592"/>
            <w:tcMar>
              <w:top w:w="60" w:type="dxa"/>
              <w:bottom w:w="60" w:type="dxa"/>
              <w:left w:w="80" w:type="dxa"/>
              <w:right w:w="80" w:type="dxa"/>
            </w:tcMar>
          </w:tcPr>
          <w:p>
            <w:r>
              <w:rPr>
                <w:rFonts w:ascii="Calibri" w:hAnsi="Calibri"/>
                <w:b/>
                <w:sz w:val="17"/>
              </w:rPr>
              <w:t>(=) Devengos Totales (NI − CFO)</w:t>
            </w:r>
          </w:p>
        </w:tc>
        <w:tc>
          <w:tcPr>
            <w:tcW w:type="dxa" w:w="1094"/>
            <w:tcMar>
              <w:top w:w="60" w:type="dxa"/>
              <w:bottom w:w="60" w:type="dxa"/>
              <w:left w:w="60" w:type="dxa"/>
              <w:right w:w="60" w:type="dxa"/>
            </w:tcMar>
          </w:tcPr>
          <w:p>
            <w:pPr>
              <w:jc w:val="right"/>
            </w:pPr>
            <w:r>
              <w:rPr>
                <w:rFonts w:ascii="Calibri" w:hAnsi="Calibri"/>
                <w:b/>
                <w:sz w:val="17"/>
              </w:rPr>
              <w:t>$-178.9M</w:t>
            </w:r>
          </w:p>
        </w:tc>
        <w:tc>
          <w:tcPr>
            <w:tcW w:type="dxa" w:w="1094"/>
            <w:tcMar>
              <w:top w:w="60" w:type="dxa"/>
              <w:bottom w:w="60" w:type="dxa"/>
              <w:left w:w="60" w:type="dxa"/>
              <w:right w:w="60" w:type="dxa"/>
            </w:tcMar>
          </w:tcPr>
          <w:p>
            <w:pPr>
              <w:jc w:val="right"/>
            </w:pPr>
            <w:r>
              <w:rPr>
                <w:rFonts w:ascii="Calibri" w:hAnsi="Calibri"/>
                <w:b/>
                <w:sz w:val="17"/>
              </w:rPr>
              <w:t>$-157.9M</w:t>
            </w:r>
          </w:p>
        </w:tc>
        <w:tc>
          <w:tcPr>
            <w:tcW w:type="dxa" w:w="1094"/>
            <w:tcMar>
              <w:top w:w="60" w:type="dxa"/>
              <w:bottom w:w="60" w:type="dxa"/>
              <w:left w:w="60" w:type="dxa"/>
              <w:right w:w="60" w:type="dxa"/>
            </w:tcMar>
          </w:tcPr>
          <w:p>
            <w:pPr>
              <w:jc w:val="right"/>
            </w:pPr>
            <w:r>
              <w:rPr>
                <w:rFonts w:ascii="Calibri" w:hAnsi="Calibri"/>
                <w:b/>
                <w:sz w:val="17"/>
              </w:rPr>
              <w:t>$-78.4M</w:t>
            </w:r>
          </w:p>
        </w:tc>
        <w:tc>
          <w:tcPr>
            <w:tcW w:type="dxa" w:w="1094"/>
            <w:tcMar>
              <w:top w:w="60" w:type="dxa"/>
              <w:bottom w:w="60" w:type="dxa"/>
              <w:left w:w="60" w:type="dxa"/>
              <w:right w:w="60" w:type="dxa"/>
            </w:tcMar>
          </w:tcPr>
          <w:p>
            <w:pPr>
              <w:jc w:val="right"/>
            </w:pPr>
            <w:r>
              <w:rPr>
                <w:rFonts w:ascii="Calibri" w:hAnsi="Calibri"/>
                <w:b/>
                <w:sz w:val="17"/>
              </w:rPr>
              <w:t>$-273.6M</w:t>
            </w:r>
          </w:p>
        </w:tc>
        <w:tc>
          <w:tcPr>
            <w:tcW w:type="dxa" w:w="1094"/>
            <w:tcMar>
              <w:top w:w="60" w:type="dxa"/>
              <w:bottom w:w="60" w:type="dxa"/>
              <w:left w:w="60" w:type="dxa"/>
              <w:right w:w="60" w:type="dxa"/>
            </w:tcMar>
          </w:tcPr>
          <w:p>
            <w:pPr>
              <w:jc w:val="right"/>
            </w:pPr>
            <w:r>
              <w:rPr>
                <w:rFonts w:ascii="Calibri" w:hAnsi="Calibri"/>
                <w:b/>
                <w:sz w:val="17"/>
              </w:rPr>
              <w:t>$-20.6M</w:t>
            </w:r>
          </w:p>
        </w:tc>
        <w:tc>
          <w:tcPr>
            <w:tcW w:type="dxa" w:w="1728"/>
            <w:tcMar>
              <w:top w:w="60" w:type="dxa"/>
              <w:bottom w:w="60" w:type="dxa"/>
              <w:left w:w="60" w:type="dxa"/>
              <w:right w:w="60" w:type="dxa"/>
            </w:tcMar>
          </w:tcPr>
          <w:p>
            <w:pPr>
              <w:jc w:val="center"/>
            </w:pPr>
            <w:r>
              <w:rPr>
                <w:rFonts w:ascii="Calibri" w:hAnsi="Calibri"/>
                <w:i/>
                <w:sz w:val="17"/>
              </w:rPr>
              <w:t>CFO &gt; NI</w:t>
            </w:r>
          </w:p>
        </w:tc>
      </w:tr>
      <w:tr>
        <w:tc>
          <w:tcPr>
            <w:tcW w:type="dxa" w:w="2592"/>
            <w:tcMar>
              <w:top w:w="60" w:type="dxa"/>
              <w:bottom w:w="60" w:type="dxa"/>
              <w:left w:w="80" w:type="dxa"/>
              <w:right w:w="80" w:type="dxa"/>
            </w:tcMar>
          </w:tcPr>
          <w:p>
            <w:r>
              <w:rPr>
                <w:rFonts w:ascii="Calibri" w:hAnsi="Calibri"/>
                <w:b w:val="0"/>
                <w:sz w:val="17"/>
              </w:rPr>
              <w:t>Activos Totales Promedio ($M)</w:t>
            </w:r>
          </w:p>
        </w:tc>
        <w:tc>
          <w:tcPr>
            <w:tcW w:type="dxa" w:w="1094"/>
            <w:tcMar>
              <w:top w:w="60" w:type="dxa"/>
              <w:bottom w:w="60" w:type="dxa"/>
              <w:left w:w="60" w:type="dxa"/>
              <w:right w:w="60" w:type="dxa"/>
            </w:tcMar>
          </w:tcPr>
          <w:p>
            <w:pPr>
              <w:jc w:val="right"/>
            </w:pPr>
            <w:r>
              <w:rPr>
                <w:rFonts w:ascii="Calibri" w:hAnsi="Calibri"/>
                <w:b w:val="0"/>
                <w:sz w:val="17"/>
              </w:rPr>
              <w:t>$3,778.2M</w:t>
            </w:r>
          </w:p>
        </w:tc>
        <w:tc>
          <w:tcPr>
            <w:tcW w:type="dxa" w:w="1094"/>
            <w:tcMar>
              <w:top w:w="60" w:type="dxa"/>
              <w:bottom w:w="60" w:type="dxa"/>
              <w:left w:w="60" w:type="dxa"/>
              <w:right w:w="60" w:type="dxa"/>
            </w:tcMar>
          </w:tcPr>
          <w:p>
            <w:pPr>
              <w:jc w:val="right"/>
            </w:pPr>
            <w:r>
              <w:rPr>
                <w:rFonts w:ascii="Calibri" w:hAnsi="Calibri"/>
                <w:b w:val="0"/>
                <w:sz w:val="17"/>
              </w:rPr>
              <w:t>$3,629.0M</w:t>
            </w:r>
          </w:p>
        </w:tc>
        <w:tc>
          <w:tcPr>
            <w:tcW w:type="dxa" w:w="1094"/>
            <w:tcMar>
              <w:top w:w="60" w:type="dxa"/>
              <w:bottom w:w="60" w:type="dxa"/>
              <w:left w:w="60" w:type="dxa"/>
              <w:right w:w="60" w:type="dxa"/>
            </w:tcMar>
          </w:tcPr>
          <w:p>
            <w:pPr>
              <w:jc w:val="right"/>
            </w:pPr>
            <w:r>
              <w:rPr>
                <w:rFonts w:ascii="Calibri" w:hAnsi="Calibri"/>
                <w:b w:val="0"/>
                <w:sz w:val="17"/>
              </w:rPr>
              <w:t>$3,352.9M</w:t>
            </w:r>
          </w:p>
        </w:tc>
        <w:tc>
          <w:tcPr>
            <w:tcW w:type="dxa" w:w="1094"/>
            <w:tcMar>
              <w:top w:w="60" w:type="dxa"/>
              <w:bottom w:w="60" w:type="dxa"/>
              <w:left w:w="60" w:type="dxa"/>
              <w:right w:w="60" w:type="dxa"/>
            </w:tcMar>
          </w:tcPr>
          <w:p>
            <w:pPr>
              <w:jc w:val="right"/>
            </w:pPr>
            <w:r>
              <w:rPr>
                <w:rFonts w:ascii="Calibri" w:hAnsi="Calibri"/>
                <w:b w:val="0"/>
                <w:sz w:val="17"/>
              </w:rPr>
              <w:t>$2,845.9M</w:t>
            </w:r>
          </w:p>
        </w:tc>
        <w:tc>
          <w:tcPr>
            <w:tcW w:type="dxa" w:w="1094"/>
            <w:tcMar>
              <w:top w:w="60" w:type="dxa"/>
              <w:bottom w:w="60" w:type="dxa"/>
              <w:left w:w="60" w:type="dxa"/>
              <w:right w:w="60" w:type="dxa"/>
            </w:tcMar>
          </w:tcPr>
          <w:p>
            <w:pPr>
              <w:jc w:val="right"/>
            </w:pPr>
            <w:r>
              <w:rPr>
                <w:rFonts w:ascii="Calibri" w:hAnsi="Calibri"/>
                <w:b w:val="0"/>
                <w:sz w:val="17"/>
              </w:rPr>
              <w:t>$2,444.2M</w:t>
            </w:r>
          </w:p>
        </w:tc>
        <w:tc>
          <w:tcPr>
            <w:tcW w:type="dxa" w:w="1728"/>
            <w:tcMar>
              <w:top w:w="60" w:type="dxa"/>
              <w:bottom w:w="60" w:type="dxa"/>
              <w:left w:w="60" w:type="dxa"/>
              <w:right w:w="60" w:type="dxa"/>
            </w:tcMar>
          </w:tcPr>
          <w:p>
            <w:pPr>
              <w:jc w:val="center"/>
            </w:pPr>
            <w:r>
              <w:rPr>
                <w:rFonts w:ascii="Calibri" w:hAnsi="Calibri"/>
                <w:i/>
                <w:sz w:val="17"/>
              </w:rPr>
              <w:t>Base Activos</w:t>
            </w:r>
          </w:p>
        </w:tc>
      </w:tr>
      <w:tr>
        <w:tc>
          <w:tcPr>
            <w:tcW w:type="dxa" w:w="2592"/>
            <w:tcMar>
              <w:top w:w="60" w:type="dxa"/>
              <w:bottom w:w="60" w:type="dxa"/>
              <w:left w:w="80" w:type="dxa"/>
              <w:right w:w="80" w:type="dxa"/>
            </w:tcMar>
          </w:tcPr>
          <w:p>
            <w:r>
              <w:rPr>
                <w:rFonts w:ascii="Calibri" w:hAnsi="Calibri"/>
                <w:b/>
                <w:sz w:val="17"/>
              </w:rPr>
              <w:t>(=) Ratio Devengos Sloan (%)</w:t>
            </w:r>
          </w:p>
        </w:tc>
        <w:tc>
          <w:tcPr>
            <w:tcW w:type="dxa" w:w="1094"/>
            <w:tcMar>
              <w:top w:w="60" w:type="dxa"/>
              <w:bottom w:w="60" w:type="dxa"/>
              <w:left w:w="60" w:type="dxa"/>
              <w:right w:w="60" w:type="dxa"/>
            </w:tcMar>
          </w:tcPr>
          <w:p>
            <w:pPr>
              <w:jc w:val="right"/>
            </w:pPr>
            <w:r>
              <w:rPr>
                <w:rFonts w:ascii="Calibri" w:hAnsi="Calibri"/>
                <w:b/>
                <w:sz w:val="17"/>
              </w:rPr>
              <w:t>-4.73%</w:t>
            </w:r>
          </w:p>
        </w:tc>
        <w:tc>
          <w:tcPr>
            <w:tcW w:type="dxa" w:w="1094"/>
            <w:tcMar>
              <w:top w:w="60" w:type="dxa"/>
              <w:bottom w:w="60" w:type="dxa"/>
              <w:left w:w="60" w:type="dxa"/>
              <w:right w:w="60" w:type="dxa"/>
            </w:tcMar>
          </w:tcPr>
          <w:p>
            <w:pPr>
              <w:jc w:val="right"/>
            </w:pPr>
            <w:r>
              <w:rPr>
                <w:rFonts w:ascii="Calibri" w:hAnsi="Calibri"/>
                <w:b/>
                <w:sz w:val="17"/>
              </w:rPr>
              <w:t>-4.35%</w:t>
            </w:r>
          </w:p>
        </w:tc>
        <w:tc>
          <w:tcPr>
            <w:tcW w:type="dxa" w:w="1094"/>
            <w:tcMar>
              <w:top w:w="60" w:type="dxa"/>
              <w:bottom w:w="60" w:type="dxa"/>
              <w:left w:w="60" w:type="dxa"/>
              <w:right w:w="60" w:type="dxa"/>
            </w:tcMar>
          </w:tcPr>
          <w:p>
            <w:pPr>
              <w:jc w:val="right"/>
            </w:pPr>
            <w:r>
              <w:rPr>
                <w:rFonts w:ascii="Calibri" w:hAnsi="Calibri"/>
                <w:b/>
                <w:sz w:val="17"/>
              </w:rPr>
              <w:t>-2.34%</w:t>
            </w:r>
          </w:p>
        </w:tc>
        <w:tc>
          <w:tcPr>
            <w:tcW w:type="dxa" w:w="1094"/>
            <w:tcMar>
              <w:top w:w="60" w:type="dxa"/>
              <w:bottom w:w="60" w:type="dxa"/>
              <w:left w:w="60" w:type="dxa"/>
              <w:right w:w="60" w:type="dxa"/>
            </w:tcMar>
          </w:tcPr>
          <w:p>
            <w:pPr>
              <w:jc w:val="right"/>
            </w:pPr>
            <w:r>
              <w:rPr>
                <w:rFonts w:ascii="Calibri" w:hAnsi="Calibri"/>
                <w:b/>
                <w:sz w:val="17"/>
              </w:rPr>
              <w:t>-9.61%</w:t>
            </w:r>
          </w:p>
        </w:tc>
        <w:tc>
          <w:tcPr>
            <w:tcW w:type="dxa" w:w="1094"/>
            <w:tcMar>
              <w:top w:w="60" w:type="dxa"/>
              <w:bottom w:w="60" w:type="dxa"/>
              <w:left w:w="60" w:type="dxa"/>
              <w:right w:w="60" w:type="dxa"/>
            </w:tcMar>
          </w:tcPr>
          <w:p>
            <w:pPr>
              <w:jc w:val="right"/>
            </w:pPr>
            <w:r>
              <w:rPr>
                <w:rFonts w:ascii="Calibri" w:hAnsi="Calibri"/>
                <w:b/>
                <w:sz w:val="17"/>
              </w:rPr>
              <w:t>-0.84%</w:t>
            </w:r>
          </w:p>
        </w:tc>
        <w:tc>
          <w:tcPr>
            <w:tcW w:type="dxa" w:w="1728"/>
            <w:tcMar>
              <w:top w:w="60" w:type="dxa"/>
              <w:bottom w:w="60" w:type="dxa"/>
              <w:left w:w="60" w:type="dxa"/>
              <w:right w:w="60" w:type="dxa"/>
            </w:tcMar>
          </w:tcPr>
          <w:p>
            <w:pPr>
              <w:jc w:val="center"/>
            </w:pPr>
            <w:r>
              <w:rPr>
                <w:rFonts w:ascii="Calibri" w:hAnsi="Calibri"/>
                <w:i/>
                <w:sz w:val="17"/>
              </w:rPr>
              <w:t>&lt; -3.0% (Excelente)</w:t>
            </w:r>
          </w:p>
        </w:tc>
      </w:tr>
      <w:tr>
        <w:tc>
          <w:tcPr>
            <w:tcW w:type="dxa" w:w="2592"/>
            <w:tcMar>
              <w:top w:w="60" w:type="dxa"/>
              <w:bottom w:w="60" w:type="dxa"/>
              <w:left w:w="80" w:type="dxa"/>
              <w:right w:w="80" w:type="dxa"/>
            </w:tcMar>
          </w:tcPr>
          <w:p>
            <w:r>
              <w:rPr>
                <w:rFonts w:ascii="Calibri" w:hAnsi="Calibri"/>
                <w:b w:val="0"/>
                <w:sz w:val="17"/>
              </w:rPr>
              <w:t>Diagnóstico de Fidelidad</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SALUDABLE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SALUDABLE</w:t>
            </w:r>
          </w:p>
        </w:tc>
        <w:tc>
          <w:tcPr>
            <w:tcW w:type="dxa" w:w="1728"/>
            <w:tcMar>
              <w:top w:w="60" w:type="dxa"/>
              <w:bottom w:w="60" w:type="dxa"/>
              <w:left w:w="60" w:type="dxa"/>
              <w:right w:w="60" w:type="dxa"/>
            </w:tcMar>
          </w:tcPr>
          <w:p>
            <w:pPr>
              <w:jc w:val="center"/>
            </w:pPr>
            <w:r>
              <w:rPr>
                <w:rFonts w:ascii="Calibri" w:hAnsi="Calibri"/>
                <w:i/>
                <w:sz w:val="17"/>
              </w:rPr>
              <w:t>Calidad Saludable</w:t>
            </w:r>
          </w:p>
        </w:tc>
      </w:tr>
    </w:tbl>
    <w:p>
      <w:pPr>
        <w:spacing w:before="80" w:after="160"/>
      </w:pPr>
      <w:r>
        <w:rPr>
          <w:rFonts w:ascii="Calibri" w:hAnsi="Calibri"/>
          <w:i/>
          <w:color w:val="2D3748"/>
          <w:sz w:val="17"/>
        </w:rPr>
        <w:t>Interpretación para el Inversor: En LTM, Deckers Outdoor Corporation generó $1.2B de CFO frente a $1.0B de beneficio neto, arrojando una tasa de conversión de caja del 117.6% (cada dólar reportado está respaldado por $1.18 de efectivo). El Ratio Sloan de -4.73% descarta por completo el riesgo de beneficios ficticios.</w:t>
      </w:r>
    </w:p>
    <w:p>
      <w:pPr>
        <w:pStyle w:val="Heading2"/>
      </w:pPr>
      <w:r>
        <w:rPr>
          <w:rFonts w:ascii="Calibri" w:hAnsi="Calibri"/>
          <w:b/>
          <w:color w:val="1B365D"/>
          <w:sz w:val="23"/>
        </w:rPr>
        <w:t>13.2. Matriz de Divergencias de Alerta Temprana (Early Warning Spreads)</w:t>
      </w:r>
    </w:p>
    <w:p>
      <w:pPr>
        <w:spacing w:after="80"/>
      </w:pPr>
      <w:r>
        <w:rPr>
          <w:rFonts w:ascii="Calibri" w:hAnsi="Calibri"/>
          <w:color w:val="2D3748"/>
          <w:sz w:val="18"/>
        </w:rPr>
        <w:t>Rastrea desacoplamientos de velocidad entre partidas circulantes y resultados para prevenir Channel Stuffing, acumulación de inventario diferido y activación fraudulenta de costes en activos blandos.</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1872"/>
        <w:gridCol w:w="1440"/>
        <w:gridCol w:w="1440"/>
        <w:gridCol w:w="2880"/>
      </w:tblGrid>
      <w:tr>
        <w:tc>
          <w:tcPr>
            <w:tcW w:type="dxa" w:w="2160"/>
            <w:shd w:fill="1B365D"/>
            <w:tcMar>
              <w:top w:w="80" w:type="dxa"/>
              <w:bottom w:w="80" w:type="dxa"/>
              <w:left w:w="80" w:type="dxa"/>
              <w:right w:w="80" w:type="dxa"/>
            </w:tcMar>
          </w:tcPr>
          <w:p>
            <w:pPr>
              <w:jc w:val="left"/>
            </w:pPr>
            <w:r>
              <w:rPr>
                <w:rFonts w:ascii="Calibri" w:hAnsi="Calibri"/>
                <w:b/>
                <w:color w:val="FFFFFF"/>
                <w:sz w:val="17"/>
              </w:rPr>
              <w:t>Vector de Alerta Temprana</w:t>
            </w:r>
          </w:p>
        </w:tc>
        <w:tc>
          <w:tcPr>
            <w:tcW w:type="dxa" w:w="1872"/>
            <w:shd w:fill="1B365D"/>
            <w:tcMar>
              <w:top w:w="80" w:type="dxa"/>
              <w:bottom w:w="80" w:type="dxa"/>
              <w:left w:w="80" w:type="dxa"/>
              <w:right w:w="80" w:type="dxa"/>
            </w:tcMar>
          </w:tcPr>
          <w:p>
            <w:pPr>
              <w:jc w:val="left"/>
            </w:pPr>
            <w:r>
              <w:rPr>
                <w:rFonts w:ascii="Calibri" w:hAnsi="Calibri"/>
                <w:b/>
                <w:color w:val="FFFFFF"/>
                <w:sz w:val="17"/>
              </w:rPr>
              <w:t>Métrica Auditada</w:t>
            </w:r>
          </w:p>
        </w:tc>
        <w:tc>
          <w:tcPr>
            <w:tcW w:type="dxa" w:w="1440"/>
            <w:shd w:fill="1B365D"/>
            <w:tcMar>
              <w:top w:w="80" w:type="dxa"/>
              <w:bottom w:w="80" w:type="dxa"/>
              <w:left w:w="80" w:type="dxa"/>
              <w:right w:w="80" w:type="dxa"/>
            </w:tcMar>
          </w:tcPr>
          <w:p>
            <w:pPr>
              <w:jc w:val="center"/>
            </w:pPr>
            <w:r>
              <w:rPr>
                <w:rFonts w:ascii="Calibri" w:hAnsi="Calibri"/>
                <w:b/>
                <w:color w:val="FFFFFF"/>
                <w:sz w:val="17"/>
              </w:rPr>
              <w:t>Spread LTM</w:t>
            </w:r>
          </w:p>
        </w:tc>
        <w:tc>
          <w:tcPr>
            <w:tcW w:type="dxa" w:w="1440"/>
            <w:shd w:fill="1B365D"/>
            <w:tcMar>
              <w:top w:w="80" w:type="dxa"/>
              <w:bottom w:w="80" w:type="dxa"/>
              <w:left w:w="80" w:type="dxa"/>
              <w:right w:w="80" w:type="dxa"/>
            </w:tcMar>
          </w:tcPr>
          <w:p>
            <w:pPr>
              <w:jc w:val="center"/>
            </w:pPr>
            <w:r>
              <w:rPr>
                <w:rFonts w:ascii="Calibri" w:hAnsi="Calibri"/>
                <w:b/>
                <w:color w:val="FFFFFF"/>
                <w:sz w:val="17"/>
              </w:rPr>
              <w:t>Rotación / Ciclo</w:t>
            </w:r>
          </w:p>
        </w:tc>
        <w:tc>
          <w:tcPr>
            <w:tcW w:type="dxa" w:w="2880"/>
            <w:shd w:fill="1B365D"/>
            <w:tcMar>
              <w:top w:w="80" w:type="dxa"/>
              <w:bottom w:w="80" w:type="dxa"/>
              <w:left w:w="80" w:type="dxa"/>
              <w:right w:w="80" w:type="dxa"/>
            </w:tcMar>
          </w:tcPr>
          <w:p>
            <w:pPr>
              <w:jc w:val="left"/>
            </w:pPr>
            <w:r>
              <w:rPr>
                <w:rFonts w:ascii="Calibri" w:hAnsi="Calibri"/>
                <w:b/>
                <w:color w:val="FFFFFF"/>
                <w:sz w:val="17"/>
              </w:rPr>
              <w:t>Diagnóstico Forense</w:t>
            </w:r>
          </w:p>
        </w:tc>
      </w:tr>
      <w:tr>
        <w:tc>
          <w:tcPr>
            <w:tcW w:type="dxa" w:w="2160"/>
            <w:tcMar>
              <w:top w:w="60" w:type="dxa"/>
              <w:bottom w:w="60" w:type="dxa"/>
              <w:left w:w="80" w:type="dxa"/>
              <w:right w:w="80" w:type="dxa"/>
            </w:tcMar>
          </w:tcPr>
          <w:p>
            <w:pPr>
              <w:jc w:val="left"/>
            </w:pPr>
            <w:r>
              <w:rPr>
                <w:rFonts w:ascii="Calibri" w:hAnsi="Calibri"/>
                <w:b/>
                <w:sz w:val="17"/>
              </w:rPr>
              <w:t>1. Clientes vs. Ventas (Channel Stuffing)</w:t>
            </w:r>
          </w:p>
        </w:tc>
        <w:tc>
          <w:tcPr>
            <w:tcW w:type="dxa" w:w="1872"/>
            <w:tcMar>
              <w:top w:w="60" w:type="dxa"/>
              <w:bottom w:w="60" w:type="dxa"/>
              <w:left w:w="80" w:type="dxa"/>
              <w:right w:w="80" w:type="dxa"/>
            </w:tcMar>
          </w:tcPr>
          <w:p>
            <w:pPr>
              <w:jc w:val="left"/>
            </w:pPr>
            <w:r>
              <w:rPr>
                <w:rFonts w:ascii="Calibri" w:hAnsi="Calibri"/>
                <w:sz w:val="17"/>
              </w:rPr>
              <w:t>Crecimiento AR vs. Ventas</w:t>
            </w:r>
          </w:p>
        </w:tc>
        <w:tc>
          <w:tcPr>
            <w:tcW w:type="dxa" w:w="1440"/>
            <w:tcMar>
              <w:top w:w="60" w:type="dxa"/>
              <w:bottom w:w="60" w:type="dxa"/>
              <w:left w:w="80" w:type="dxa"/>
              <w:right w:w="80" w:type="dxa"/>
            </w:tcMar>
          </w:tcPr>
          <w:p>
            <w:pPr>
              <w:jc w:val="center"/>
            </w:pPr>
            <w:r>
              <w:rPr>
                <w:rFonts w:ascii="Calibri" w:hAnsi="Calibri"/>
                <w:sz w:val="17"/>
              </w:rPr>
              <w:t>+17.6%</w:t>
            </w:r>
          </w:p>
        </w:tc>
        <w:tc>
          <w:tcPr>
            <w:tcW w:type="dxa" w:w="1440"/>
            <w:tcMar>
              <w:top w:w="60" w:type="dxa"/>
              <w:bottom w:w="60" w:type="dxa"/>
              <w:left w:w="80" w:type="dxa"/>
              <w:right w:w="80" w:type="dxa"/>
            </w:tcMar>
          </w:tcPr>
          <w:p>
            <w:pPr>
              <w:jc w:val="center"/>
            </w:pPr>
            <w:r>
              <w:rPr>
                <w:rFonts w:ascii="Calibri" w:hAnsi="Calibri"/>
                <w:sz w:val="17"/>
              </w:rPr>
              <w:t>DSO: 25.0d (+3.7d)</w:t>
            </w:r>
          </w:p>
        </w:tc>
        <w:tc>
          <w:tcPr>
            <w:tcW w:type="dxa" w:w="2880"/>
            <w:tcMar>
              <w:top w:w="60" w:type="dxa"/>
              <w:bottom w:w="60" w:type="dxa"/>
              <w:left w:w="80" w:type="dxa"/>
              <w:right w:w="80" w:type="dxa"/>
            </w:tcMar>
          </w:tcPr>
          <w:p>
            <w:pPr>
              <w:jc w:val="center"/>
            </w:pPr>
            <w:r>
              <w:rPr>
                <w:rFonts w:ascii="Calibri" w:hAnsi="Calibri"/>
                <w:b/>
                <w:color w:val="276A3C"/>
                <w:sz w:val="17"/>
              </w:rPr>
              <w:t>COBRANZA DISCIPLINADA (OK)</w:t>
            </w:r>
          </w:p>
        </w:tc>
      </w:tr>
      <w:tr>
        <w:tc>
          <w:tcPr>
            <w:tcW w:type="dxa" w:w="2160"/>
            <w:tcMar>
              <w:top w:w="60" w:type="dxa"/>
              <w:bottom w:w="60" w:type="dxa"/>
              <w:left w:w="80" w:type="dxa"/>
              <w:right w:w="80" w:type="dxa"/>
            </w:tcMar>
          </w:tcPr>
          <w:p>
            <w:pPr>
              <w:jc w:val="left"/>
            </w:pPr>
            <w:r>
              <w:rPr>
                <w:rFonts w:ascii="Calibri" w:hAnsi="Calibri"/>
                <w:b/>
                <w:sz w:val="17"/>
              </w:rPr>
              <w:t>2. Inventarios vs. Coste Ventas (COGS)</w:t>
            </w:r>
          </w:p>
        </w:tc>
        <w:tc>
          <w:tcPr>
            <w:tcW w:type="dxa" w:w="1872"/>
            <w:tcMar>
              <w:top w:w="60" w:type="dxa"/>
              <w:bottom w:w="60" w:type="dxa"/>
              <w:left w:w="80" w:type="dxa"/>
              <w:right w:w="80" w:type="dxa"/>
            </w:tcMar>
          </w:tcPr>
          <w:p>
            <w:pPr>
              <w:jc w:val="left"/>
            </w:pPr>
            <w:r>
              <w:rPr>
                <w:rFonts w:ascii="Calibri" w:hAnsi="Calibri"/>
                <w:sz w:val="17"/>
              </w:rPr>
              <w:t>Crecimiento Inv vs. COGS</w:t>
            </w:r>
          </w:p>
        </w:tc>
        <w:tc>
          <w:tcPr>
            <w:tcW w:type="dxa" w:w="1440"/>
            <w:tcMar>
              <w:top w:w="60" w:type="dxa"/>
              <w:bottom w:w="60" w:type="dxa"/>
              <w:left w:w="80" w:type="dxa"/>
              <w:right w:w="80" w:type="dxa"/>
            </w:tcMar>
          </w:tcPr>
          <w:p>
            <w:pPr>
              <w:jc w:val="center"/>
            </w:pPr>
            <w:r>
              <w:rPr>
                <w:rFonts w:ascii="Calibri" w:hAnsi="Calibri"/>
                <w:sz w:val="17"/>
              </w:rPr>
              <w:t>+65.1%</w:t>
            </w:r>
          </w:p>
        </w:tc>
        <w:tc>
          <w:tcPr>
            <w:tcW w:type="dxa" w:w="1440"/>
            <w:tcMar>
              <w:top w:w="60" w:type="dxa"/>
              <w:bottom w:w="60" w:type="dxa"/>
              <w:left w:w="80" w:type="dxa"/>
              <w:right w:w="80" w:type="dxa"/>
            </w:tcMar>
          </w:tcPr>
          <w:p>
            <w:pPr>
              <w:jc w:val="center"/>
            </w:pPr>
            <w:r>
              <w:rPr>
                <w:rFonts w:ascii="Calibri" w:hAnsi="Calibri"/>
                <w:sz w:val="17"/>
              </w:rPr>
              <w:t>DIO: 126.4d (+49.6d)</w:t>
            </w:r>
          </w:p>
        </w:tc>
        <w:tc>
          <w:tcPr>
            <w:tcW w:type="dxa" w:w="2880"/>
            <w:tcMar>
              <w:top w:w="60" w:type="dxa"/>
              <w:bottom w:w="60" w:type="dxa"/>
              <w:left w:w="80" w:type="dxa"/>
              <w:right w:w="80" w:type="dxa"/>
            </w:tcMar>
          </w:tcPr>
          <w:p>
            <w:pPr>
              <w:jc w:val="center"/>
            </w:pPr>
            <w:r>
              <w:rPr>
                <w:rFonts w:ascii="Calibri" w:hAnsi="Calibri"/>
                <w:b/>
                <w:color w:val="C00000"/>
                <w:sz w:val="17"/>
              </w:rPr>
              <w:t>ALERTA PREVENTIVA (RAMP-UP)</w:t>
            </w:r>
          </w:p>
        </w:tc>
      </w:tr>
      <w:tr>
        <w:tc>
          <w:tcPr>
            <w:tcW w:type="dxa" w:w="2160"/>
            <w:tcMar>
              <w:top w:w="60" w:type="dxa"/>
              <w:bottom w:w="60" w:type="dxa"/>
              <w:left w:w="80" w:type="dxa"/>
              <w:right w:w="80" w:type="dxa"/>
            </w:tcMar>
          </w:tcPr>
          <w:p>
            <w:pPr>
              <w:jc w:val="left"/>
            </w:pPr>
            <w:r>
              <w:rPr>
                <w:rFonts w:ascii="Calibri" w:hAnsi="Calibri"/>
                <w:b/>
                <w:sz w:val="17"/>
              </w:rPr>
              <w:t>3. Índice de Activos Blandos</w:t>
            </w:r>
          </w:p>
        </w:tc>
        <w:tc>
          <w:tcPr>
            <w:tcW w:type="dxa" w:w="1872"/>
            <w:tcMar>
              <w:top w:w="60" w:type="dxa"/>
              <w:bottom w:w="60" w:type="dxa"/>
              <w:left w:w="80" w:type="dxa"/>
              <w:right w:w="80" w:type="dxa"/>
            </w:tcMar>
          </w:tcPr>
          <w:p>
            <w:pPr>
              <w:jc w:val="left"/>
            </w:pPr>
            <w:r>
              <w:rPr>
                <w:rFonts w:ascii="Calibri" w:hAnsi="Calibri"/>
                <w:sz w:val="17"/>
              </w:rPr>
              <w:t>Partidas No Físicas / Activos</w:t>
            </w:r>
          </w:p>
        </w:tc>
        <w:tc>
          <w:tcPr>
            <w:tcW w:type="dxa" w:w="1440"/>
            <w:tcMar>
              <w:top w:w="60" w:type="dxa"/>
              <w:bottom w:w="60" w:type="dxa"/>
              <w:left w:w="80" w:type="dxa"/>
              <w:right w:w="80" w:type="dxa"/>
            </w:tcMar>
          </w:tcPr>
          <w:p>
            <w:pPr>
              <w:jc w:val="center"/>
            </w:pPr>
            <w:r>
              <w:rPr>
                <w:rFonts w:ascii="Calibri" w:hAnsi="Calibri"/>
                <w:sz w:val="17"/>
              </w:rPr>
              <w:t>49.8%</w:t>
            </w:r>
          </w:p>
        </w:tc>
        <w:tc>
          <w:tcPr>
            <w:tcW w:type="dxa" w:w="1440"/>
            <w:tcMar>
              <w:top w:w="60" w:type="dxa"/>
              <w:bottom w:w="60" w:type="dxa"/>
              <w:left w:w="80" w:type="dxa"/>
              <w:right w:w="80" w:type="dxa"/>
            </w:tcMar>
          </w:tcPr>
          <w:p>
            <w:pPr>
              <w:jc w:val="center"/>
            </w:pPr>
            <w:r>
              <w:rPr>
                <w:rFonts w:ascii="Calibri" w:hAnsi="Calibri"/>
                <w:sz w:val="17"/>
              </w:rPr>
              <w:t>Δ: +10.7 pp</w:t>
            </w:r>
          </w:p>
        </w:tc>
        <w:tc>
          <w:tcPr>
            <w:tcW w:type="dxa" w:w="2880"/>
            <w:tcMar>
              <w:top w:w="60" w:type="dxa"/>
              <w:bottom w:w="60" w:type="dxa"/>
              <w:left w:w="80" w:type="dxa"/>
              <w:right w:w="80" w:type="dxa"/>
            </w:tcMar>
          </w:tcPr>
          <w:p>
            <w:pPr>
              <w:jc w:val="center"/>
            </w:pPr>
            <w:r>
              <w:rPr>
                <w:rFonts w:ascii="Calibri" w:hAnsi="Calibri"/>
                <w:b/>
                <w:color w:val="276A3C"/>
                <w:sz w:val="17"/>
              </w:rPr>
              <w:t>BALANCE SÓLIDO (OK)</w:t>
            </w:r>
          </w:p>
        </w:tc>
      </w:tr>
    </w:tbl>
    <w:p>
      <w:pPr>
        <w:spacing w:before="80" w:after="160"/>
      </w:pPr>
      <w:r>
        <w:rPr>
          <w:rFonts w:ascii="Calibri" w:hAnsi="Calibri"/>
          <w:i/>
          <w:color w:val="2D3748"/>
          <w:sz w:val="17"/>
        </w:rPr>
        <w:t>Nota Forense sobre Inventario (DECK): El inventario (DIO: 126.4 días) opera dentro de los márgenes previstos de producción.</w:t>
      </w:r>
    </w:p>
    <w:p>
      <w:pPr>
        <w:pStyle w:val="Heading2"/>
      </w:pPr>
      <w:r>
        <w:rPr>
          <w:rFonts w:ascii="Calibri" w:hAnsi="Calibri"/>
          <w:b/>
          <w:color w:val="1B365D"/>
          <w:sz w:val="23"/>
        </w:rPr>
        <w:t>13.3. Desglose Forense Montier C-Score (3/6 Banderas)</w:t>
      </w:r>
    </w:p>
    <w:p>
      <w:pPr>
        <w:spacing w:after="80"/>
      </w:pPr>
      <w:r>
        <w:rPr>
          <w:rFonts w:ascii="Calibri" w:hAnsi="Calibri"/>
          <w:color w:val="2D3748"/>
          <w:sz w:val="18"/>
        </w:rPr>
        <w:t>James Montier (Société Générale / GMO, 2008) desarrolló este sistema de 6 banderas para detectar manipulación deliberada. Puntajes de 0 a 1 reflejan menos de 5% de probabilidad de fraude contable, mientras que firmas con &gt;= 4 banderas colapsan en bolsa.</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2016"/>
        <w:gridCol w:w="1872"/>
        <w:gridCol w:w="1152"/>
        <w:gridCol w:w="2592"/>
      </w:tblGrid>
      <w:tr>
        <w:tc>
          <w:tcPr>
            <w:tcW w:type="dxa" w:w="2160"/>
            <w:shd w:fill="1B365D"/>
            <w:tcMar>
              <w:top w:w="80" w:type="dxa"/>
              <w:bottom w:w="80" w:type="dxa"/>
              <w:left w:w="80" w:type="dxa"/>
              <w:right w:w="80" w:type="dxa"/>
            </w:tcMar>
          </w:tcPr>
          <w:p>
            <w:pPr>
              <w:jc w:val="left"/>
            </w:pPr>
            <w:r>
              <w:rPr>
                <w:rFonts w:ascii="Calibri" w:hAnsi="Calibri"/>
                <w:b/>
                <w:color w:val="FFFFFF"/>
                <w:sz w:val="17"/>
              </w:rPr>
              <w:t>Bandera de Manipulación (C-Score)</w:t>
            </w:r>
          </w:p>
        </w:tc>
        <w:tc>
          <w:tcPr>
            <w:tcW w:type="dxa" w:w="2016"/>
            <w:shd w:fill="1B365D"/>
            <w:tcMar>
              <w:top w:w="80" w:type="dxa"/>
              <w:bottom w:w="80" w:type="dxa"/>
              <w:left w:w="80" w:type="dxa"/>
              <w:right w:w="80" w:type="dxa"/>
            </w:tcMar>
          </w:tcPr>
          <w:p>
            <w:pPr>
              <w:jc w:val="left"/>
            </w:pPr>
            <w:r>
              <w:rPr>
                <w:rFonts w:ascii="Calibri" w:hAnsi="Calibri"/>
                <w:b/>
                <w:color w:val="FFFFFF"/>
                <w:sz w:val="17"/>
              </w:rPr>
              <w:t>Condición de Alerta</w:t>
            </w:r>
          </w:p>
        </w:tc>
        <w:tc>
          <w:tcPr>
            <w:tcW w:type="dxa" w:w="1872"/>
            <w:shd w:fill="1B365D"/>
            <w:tcMar>
              <w:top w:w="80" w:type="dxa"/>
              <w:bottom w:w="80" w:type="dxa"/>
              <w:left w:w="80" w:type="dxa"/>
              <w:right w:w="80" w:type="dxa"/>
            </w:tcMar>
          </w:tcPr>
          <w:p>
            <w:pPr>
              <w:jc w:val="left"/>
            </w:pPr>
            <w:r>
              <w:rPr>
                <w:rFonts w:ascii="Calibri" w:hAnsi="Calibri"/>
                <w:b/>
                <w:color w:val="FFFFFF"/>
                <w:sz w:val="17"/>
              </w:rPr>
              <w:t>Valor Auditado (LTM)</w:t>
            </w:r>
          </w:p>
        </w:tc>
        <w:tc>
          <w:tcPr>
            <w:tcW w:type="dxa" w:w="1152"/>
            <w:shd w:fill="1B365D"/>
            <w:tcMar>
              <w:top w:w="80" w:type="dxa"/>
              <w:bottom w:w="80" w:type="dxa"/>
              <w:left w:w="80" w:type="dxa"/>
              <w:right w:w="80" w:type="dxa"/>
            </w:tcMar>
          </w:tcPr>
          <w:p>
            <w:pPr>
              <w:jc w:val="center"/>
            </w:pPr>
            <w:r>
              <w:rPr>
                <w:rFonts w:ascii="Calibri" w:hAnsi="Calibri"/>
                <w:b/>
                <w:color w:val="FFFFFF"/>
                <w:sz w:val="17"/>
              </w:rPr>
              <w:t>Estado</w:t>
            </w:r>
          </w:p>
        </w:tc>
        <w:tc>
          <w:tcPr>
            <w:tcW w:type="dxa" w:w="2592"/>
            <w:shd w:fill="1B365D"/>
            <w:tcMar>
              <w:top w:w="80" w:type="dxa"/>
              <w:bottom w:w="80" w:type="dxa"/>
              <w:left w:w="80" w:type="dxa"/>
              <w:right w:w="80" w:type="dxa"/>
            </w:tcMar>
          </w:tcPr>
          <w:p>
            <w:pPr>
              <w:jc w:val="left"/>
            </w:pPr>
            <w:r>
              <w:rPr>
                <w:rFonts w:ascii="Calibri" w:hAnsi="Calibri"/>
                <w:b/>
                <w:color w:val="FFFFFF"/>
                <w:sz w:val="17"/>
              </w:rPr>
              <w:t>Trampa Contable que Previene</w:t>
            </w:r>
          </w:p>
        </w:tc>
      </w:tr>
      <w:tr>
        <w:tc>
          <w:tcPr>
            <w:tcW w:type="dxa" w:w="2160"/>
            <w:tcMar>
              <w:top w:w="60" w:type="dxa"/>
              <w:bottom w:w="60" w:type="dxa"/>
              <w:left w:w="80" w:type="dxa"/>
              <w:right w:w="80" w:type="dxa"/>
            </w:tcMar>
          </w:tcPr>
          <w:p>
            <w:pPr>
              <w:jc w:val="left"/>
            </w:pPr>
            <w:r>
              <w:rPr>
                <w:rFonts w:ascii="Calibri" w:hAnsi="Calibri"/>
                <w:sz w:val="16"/>
              </w:rPr>
              <w:t>1. Divergencia Beneficio vs. Flujo de Caja</w:t>
            </w:r>
          </w:p>
        </w:tc>
        <w:tc>
          <w:tcPr>
            <w:tcW w:type="dxa" w:w="2016"/>
            <w:tcMar>
              <w:top w:w="60" w:type="dxa"/>
              <w:bottom w:w="60" w:type="dxa"/>
              <w:left w:w="80" w:type="dxa"/>
              <w:right w:w="80" w:type="dxa"/>
            </w:tcMar>
          </w:tcPr>
          <w:p>
            <w:pPr>
              <w:jc w:val="left"/>
            </w:pPr>
            <w:r>
              <w:rPr>
                <w:rFonts w:ascii="Calibri" w:hAnsi="Calibri"/>
                <w:sz w:val="16"/>
              </w:rPr>
              <w:t>Utilidad Neta &gt; Flujo de Caja Operativo (NI &gt; CFO)</w:t>
            </w:r>
          </w:p>
        </w:tc>
        <w:tc>
          <w:tcPr>
            <w:tcW w:type="dxa" w:w="1872"/>
            <w:tcMar>
              <w:top w:w="60" w:type="dxa"/>
              <w:bottom w:w="60" w:type="dxa"/>
              <w:left w:w="80" w:type="dxa"/>
              <w:right w:w="80" w:type="dxa"/>
            </w:tcMar>
          </w:tcPr>
          <w:p>
            <w:pPr>
              <w:jc w:val="left"/>
            </w:pPr>
            <w:r>
              <w:rPr>
                <w:rFonts w:ascii="Calibri" w:hAnsi="Calibri"/>
                <w:sz w:val="16"/>
              </w:rPr>
              <w:t>NI: $1,014.8M vs CFO: $1,193.7M</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La utilidad contable no se transforma en liquidez real. Alerta de beneficios de papel.</w:t>
            </w:r>
          </w:p>
        </w:tc>
      </w:tr>
      <w:tr>
        <w:tc>
          <w:tcPr>
            <w:tcW w:type="dxa" w:w="2160"/>
            <w:tcMar>
              <w:top w:w="60" w:type="dxa"/>
              <w:bottom w:w="60" w:type="dxa"/>
              <w:left w:w="80" w:type="dxa"/>
              <w:right w:w="80" w:type="dxa"/>
            </w:tcMar>
          </w:tcPr>
          <w:p>
            <w:pPr>
              <w:jc w:val="left"/>
            </w:pPr>
            <w:r>
              <w:rPr>
                <w:rFonts w:ascii="Calibri" w:hAnsi="Calibri"/>
                <w:sz w:val="16"/>
              </w:rPr>
              <w:t>2. Cuentas por Cobrar vs. Ventas</w:t>
            </w:r>
          </w:p>
        </w:tc>
        <w:tc>
          <w:tcPr>
            <w:tcW w:type="dxa" w:w="2016"/>
            <w:tcMar>
              <w:top w:w="60" w:type="dxa"/>
              <w:bottom w:w="60" w:type="dxa"/>
              <w:left w:w="80" w:type="dxa"/>
              <w:right w:w="80" w:type="dxa"/>
            </w:tcMar>
          </w:tcPr>
          <w:p>
            <w:pPr>
              <w:jc w:val="left"/>
            </w:pPr>
            <w:r>
              <w:rPr>
                <w:rFonts w:ascii="Calibri" w:hAnsi="Calibri"/>
                <w:sz w:val="16"/>
              </w:rPr>
              <w:t>Δ Cuentas por Cobrar % &gt; Δ Ventas %</w:t>
            </w:r>
          </w:p>
        </w:tc>
        <w:tc>
          <w:tcPr>
            <w:tcW w:type="dxa" w:w="1872"/>
            <w:tcMar>
              <w:top w:w="60" w:type="dxa"/>
              <w:bottom w:w="60" w:type="dxa"/>
              <w:left w:w="80" w:type="dxa"/>
              <w:right w:w="80" w:type="dxa"/>
            </w:tcMar>
          </w:tcPr>
          <w:p>
            <w:pPr>
              <w:jc w:val="left"/>
            </w:pPr>
            <w:r>
              <w:rPr>
                <w:rFonts w:ascii="Calibri" w:hAnsi="Calibri"/>
                <w:sz w:val="16"/>
              </w:rPr>
              <w:t>ΔAR: 18.6% vs ΔVentas: 1.0%</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Las cuentas a cobrar crecen más rápido que las ventas. Indica relajación de cobros o facturación apresurada (channel stuffing).</w:t>
            </w:r>
          </w:p>
        </w:tc>
      </w:tr>
      <w:tr>
        <w:tc>
          <w:tcPr>
            <w:tcW w:type="dxa" w:w="2160"/>
            <w:tcMar>
              <w:top w:w="60" w:type="dxa"/>
              <w:bottom w:w="60" w:type="dxa"/>
              <w:left w:w="80" w:type="dxa"/>
              <w:right w:w="80" w:type="dxa"/>
            </w:tcMar>
          </w:tcPr>
          <w:p>
            <w:pPr>
              <w:jc w:val="left"/>
            </w:pPr>
            <w:r>
              <w:rPr>
                <w:rFonts w:ascii="Calibri" w:hAnsi="Calibri"/>
                <w:sz w:val="16"/>
              </w:rPr>
              <w:t>3. Inventarios vs. Coste de Ventas</w:t>
            </w:r>
          </w:p>
        </w:tc>
        <w:tc>
          <w:tcPr>
            <w:tcW w:type="dxa" w:w="2016"/>
            <w:tcMar>
              <w:top w:w="60" w:type="dxa"/>
              <w:bottom w:w="60" w:type="dxa"/>
              <w:left w:w="80" w:type="dxa"/>
              <w:right w:w="80" w:type="dxa"/>
            </w:tcMar>
          </w:tcPr>
          <w:p>
            <w:pPr>
              <w:jc w:val="left"/>
            </w:pPr>
            <w:r>
              <w:rPr>
                <w:rFonts w:ascii="Calibri" w:hAnsi="Calibri"/>
                <w:sz w:val="16"/>
              </w:rPr>
              <w:t>Δ Inventarios % &gt; Δ Coste de Ventas %</w:t>
            </w:r>
          </w:p>
        </w:tc>
        <w:tc>
          <w:tcPr>
            <w:tcW w:type="dxa" w:w="1872"/>
            <w:tcMar>
              <w:top w:w="60" w:type="dxa"/>
              <w:bottom w:w="60" w:type="dxa"/>
              <w:left w:w="80" w:type="dxa"/>
              <w:right w:w="80" w:type="dxa"/>
            </w:tcMar>
          </w:tcPr>
          <w:p>
            <w:pPr>
              <w:jc w:val="left"/>
            </w:pPr>
            <w:r>
              <w:rPr>
                <w:rFonts w:ascii="Calibri" w:hAnsi="Calibri"/>
                <w:sz w:val="16"/>
              </w:rPr>
              <w:t>ΔInv: 65.8% vs ΔCOGS: 0.8%</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Las existencias crecen más rápido que los costes de venta. Puede esconder producto no vendido o absorción de costes en inventario para inflar márgenes.</w:t>
            </w:r>
          </w:p>
        </w:tc>
      </w:tr>
      <w:tr>
        <w:tc>
          <w:tcPr>
            <w:tcW w:type="dxa" w:w="2160"/>
            <w:tcMar>
              <w:top w:w="60" w:type="dxa"/>
              <w:bottom w:w="60" w:type="dxa"/>
              <w:left w:w="80" w:type="dxa"/>
              <w:right w:w="80" w:type="dxa"/>
            </w:tcMar>
          </w:tcPr>
          <w:p>
            <w:pPr>
              <w:jc w:val="left"/>
            </w:pPr>
            <w:r>
              <w:rPr>
                <w:rFonts w:ascii="Calibri" w:hAnsi="Calibri"/>
                <w:sz w:val="16"/>
              </w:rPr>
              <w:t>4. Deterioro del Margen Bruto</w:t>
            </w:r>
          </w:p>
        </w:tc>
        <w:tc>
          <w:tcPr>
            <w:tcW w:type="dxa" w:w="2016"/>
            <w:tcMar>
              <w:top w:w="60" w:type="dxa"/>
              <w:bottom w:w="60" w:type="dxa"/>
              <w:left w:w="80" w:type="dxa"/>
              <w:right w:w="80" w:type="dxa"/>
            </w:tcMar>
          </w:tcPr>
          <w:p>
            <w:pPr>
              <w:jc w:val="left"/>
            </w:pPr>
            <w:r>
              <w:rPr>
                <w:rFonts w:ascii="Calibri" w:hAnsi="Calibri"/>
                <w:sz w:val="16"/>
              </w:rPr>
              <w:t>Margen Bruto_t &lt; Margen Bruto_t-1</w:t>
            </w:r>
          </w:p>
        </w:tc>
        <w:tc>
          <w:tcPr>
            <w:tcW w:type="dxa" w:w="1872"/>
            <w:tcMar>
              <w:top w:w="60" w:type="dxa"/>
              <w:bottom w:w="60" w:type="dxa"/>
              <w:left w:w="80" w:type="dxa"/>
              <w:right w:w="80" w:type="dxa"/>
            </w:tcMar>
          </w:tcPr>
          <w:p>
            <w:pPr>
              <w:jc w:val="left"/>
            </w:pPr>
            <w:r>
              <w:rPr>
                <w:rFonts w:ascii="Calibri" w:hAnsi="Calibri"/>
                <w:sz w:val="16"/>
              </w:rPr>
              <w:t>Margen Bruto: 57.8% vs 57.7%</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El deterioro del margen bruto genera incentivos en los ejecutivos para estirar partidas contables inferiores.</w:t>
            </w:r>
          </w:p>
        </w:tc>
      </w:tr>
      <w:tr>
        <w:tc>
          <w:tcPr>
            <w:tcW w:type="dxa" w:w="2160"/>
            <w:tcMar>
              <w:top w:w="60" w:type="dxa"/>
              <w:bottom w:w="60" w:type="dxa"/>
              <w:left w:w="80" w:type="dxa"/>
              <w:right w:w="80" w:type="dxa"/>
            </w:tcMar>
          </w:tcPr>
          <w:p>
            <w:pPr>
              <w:jc w:val="left"/>
            </w:pPr>
            <w:r>
              <w:rPr>
                <w:rFonts w:ascii="Calibri" w:hAnsi="Calibri"/>
                <w:sz w:val="16"/>
              </w:rPr>
              <w:t>5. Incremento de Activos Blandos</w:t>
            </w:r>
          </w:p>
        </w:tc>
        <w:tc>
          <w:tcPr>
            <w:tcW w:type="dxa" w:w="2016"/>
            <w:tcMar>
              <w:top w:w="60" w:type="dxa"/>
              <w:bottom w:w="60" w:type="dxa"/>
              <w:left w:w="80" w:type="dxa"/>
              <w:right w:w="80" w:type="dxa"/>
            </w:tcMar>
          </w:tcPr>
          <w:p>
            <w:pPr>
              <w:jc w:val="left"/>
            </w:pPr>
            <w:r>
              <w:rPr>
                <w:rFonts w:ascii="Calibri" w:hAnsi="Calibri"/>
                <w:sz w:val="16"/>
              </w:rPr>
              <w:t>Ratio Activos Blandos_t &gt; Ratio Activos Blandos_t-1</w:t>
            </w:r>
          </w:p>
        </w:tc>
        <w:tc>
          <w:tcPr>
            <w:tcW w:type="dxa" w:w="1872"/>
            <w:tcMar>
              <w:top w:w="60" w:type="dxa"/>
              <w:bottom w:w="60" w:type="dxa"/>
              <w:left w:w="80" w:type="dxa"/>
              <w:right w:w="80" w:type="dxa"/>
            </w:tcMar>
          </w:tcPr>
          <w:p>
            <w:pPr>
              <w:jc w:val="left"/>
            </w:pPr>
            <w:r>
              <w:rPr>
                <w:rFonts w:ascii="Calibri" w:hAnsi="Calibri"/>
                <w:sz w:val="16"/>
              </w:rPr>
              <w:t>Activos Blandos: 49.8% vs 39.1%</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Aumento del peso relativo de partidas del balance que no son activos productivos tangibles ni tesorería.</w:t>
            </w:r>
          </w:p>
        </w:tc>
      </w:tr>
      <w:tr>
        <w:tc>
          <w:tcPr>
            <w:tcW w:type="dxa" w:w="2160"/>
            <w:tcMar>
              <w:top w:w="60" w:type="dxa"/>
              <w:bottom w:w="60" w:type="dxa"/>
              <w:left w:w="80" w:type="dxa"/>
              <w:right w:w="80" w:type="dxa"/>
            </w:tcMar>
          </w:tcPr>
          <w:p>
            <w:pPr>
              <w:jc w:val="left"/>
            </w:pPr>
            <w:r>
              <w:rPr>
                <w:rFonts w:ascii="Calibri" w:hAnsi="Calibri"/>
                <w:sz w:val="16"/>
              </w:rPr>
              <w:t>6. Reducción de la Tasa de Depreciación</w:t>
            </w:r>
          </w:p>
        </w:tc>
        <w:tc>
          <w:tcPr>
            <w:tcW w:type="dxa" w:w="2016"/>
            <w:tcMar>
              <w:top w:w="60" w:type="dxa"/>
              <w:bottom w:w="60" w:type="dxa"/>
              <w:left w:w="80" w:type="dxa"/>
              <w:right w:w="80" w:type="dxa"/>
            </w:tcMar>
          </w:tcPr>
          <w:p>
            <w:pPr>
              <w:jc w:val="left"/>
            </w:pPr>
            <w:r>
              <w:rPr>
                <w:rFonts w:ascii="Calibri" w:hAnsi="Calibri"/>
                <w:sz w:val="16"/>
              </w:rPr>
              <w:t>Tasa Depreciación_t &lt; Tasa Depreciación_t-1</w:t>
            </w:r>
          </w:p>
        </w:tc>
        <w:tc>
          <w:tcPr>
            <w:tcW w:type="dxa" w:w="1872"/>
            <w:tcMar>
              <w:top w:w="60" w:type="dxa"/>
              <w:bottom w:w="60" w:type="dxa"/>
              <w:left w:w="80" w:type="dxa"/>
              <w:right w:w="80" w:type="dxa"/>
            </w:tcMar>
          </w:tcPr>
          <w:p>
            <w:pPr>
              <w:jc w:val="left"/>
            </w:pPr>
            <w:r>
              <w:rPr>
                <w:rFonts w:ascii="Calibri" w:hAnsi="Calibri"/>
                <w:sz w:val="16"/>
              </w:rPr>
              <w:t>Tasa Deprec: 17.98% vs 18.32%</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Reducción de la amortización contable respecto a los activos brutos, inflando el beneficio neto al estirar vidas útiles.</w:t>
            </w:r>
          </w:p>
        </w:tc>
      </w:tr>
    </w:tbl>
    <w:p>
      <w:pPr>
        <w:spacing w:before="80" w:after="160"/>
      </w:pPr>
      <w:r>
        <w:rPr>
          <w:rFonts w:ascii="Calibri" w:hAnsi="Calibri"/>
          <w:b/>
          <w:color w:val="1B365D"/>
          <w:sz w:val="17"/>
        </w:rPr>
        <w:t>Dictamen Montier: 3 / 6 Banderas — RIESGO MODERADO / ALERTA PREVENTIVA. Probabilidad empírica de manipulación &lt; 5%.</w:t>
      </w:r>
    </w:p>
    <w:p>
      <w:pPr>
        <w:pStyle w:val="Heading2"/>
      </w:pPr>
      <w:r>
        <w:rPr>
          <w:rFonts w:ascii="Calibri" w:hAnsi="Calibri"/>
          <w:b/>
          <w:color w:val="1B365D"/>
          <w:sz w:val="23"/>
        </w:rPr>
        <w:t>13.4. Cuadro de Mando Consolidado de Fidelidad Contable</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016"/>
        <w:gridCol w:w="2016"/>
        <w:gridCol w:w="1440"/>
        <w:gridCol w:w="1728"/>
        <w:gridCol w:w="2592"/>
      </w:tblGrid>
      <w:tr>
        <w:tc>
          <w:tcPr>
            <w:tcW w:type="dxa" w:w="2016"/>
            <w:shd w:fill="1B365D"/>
            <w:tcMar>
              <w:top w:w="80" w:type="dxa"/>
              <w:bottom w:w="80" w:type="dxa"/>
              <w:left w:w="80" w:type="dxa"/>
              <w:right w:w="80" w:type="dxa"/>
            </w:tcMar>
          </w:tcPr>
          <w:p>
            <w:pPr>
              <w:jc w:val="left"/>
            </w:pPr>
            <w:r>
              <w:rPr>
                <w:rFonts w:ascii="Calibri" w:hAnsi="Calibri"/>
                <w:b/>
                <w:color w:val="FFFFFF"/>
                <w:sz w:val="17"/>
              </w:rPr>
              <w:t>Dimensión Forense</w:t>
            </w:r>
          </w:p>
        </w:tc>
        <w:tc>
          <w:tcPr>
            <w:tcW w:type="dxa" w:w="2016"/>
            <w:shd w:fill="1B365D"/>
            <w:tcMar>
              <w:top w:w="80" w:type="dxa"/>
              <w:bottom w:w="80" w:type="dxa"/>
              <w:left w:w="80" w:type="dxa"/>
              <w:right w:w="80" w:type="dxa"/>
            </w:tcMar>
          </w:tcPr>
          <w:p>
            <w:pPr>
              <w:jc w:val="left"/>
            </w:pPr>
            <w:r>
              <w:rPr>
                <w:rFonts w:ascii="Calibri" w:hAnsi="Calibri"/>
                <w:b/>
                <w:color w:val="FFFFFF"/>
                <w:sz w:val="17"/>
              </w:rPr>
              <w:t>Indicador Clave</w:t>
            </w:r>
          </w:p>
        </w:tc>
        <w:tc>
          <w:tcPr>
            <w:tcW w:type="dxa" w:w="1440"/>
            <w:shd w:fill="1B365D"/>
            <w:tcMar>
              <w:top w:w="80" w:type="dxa"/>
              <w:bottom w:w="80" w:type="dxa"/>
              <w:left w:w="80" w:type="dxa"/>
              <w:right w:w="80" w:type="dxa"/>
            </w:tcMar>
          </w:tcPr>
          <w:p>
            <w:pPr>
              <w:jc w:val="center"/>
            </w:pPr>
            <w:r>
              <w:rPr>
                <w:rFonts w:ascii="Calibri" w:hAnsi="Calibri"/>
                <w:b/>
                <w:color w:val="FFFFFF"/>
                <w:sz w:val="17"/>
              </w:rPr>
              <w:t>Valor LTM</w:t>
            </w:r>
          </w:p>
        </w:tc>
        <w:tc>
          <w:tcPr>
            <w:tcW w:type="dxa" w:w="1728"/>
            <w:shd w:fill="1B365D"/>
            <w:tcMar>
              <w:top w:w="80" w:type="dxa"/>
              <w:bottom w:w="80" w:type="dxa"/>
              <w:left w:w="80" w:type="dxa"/>
              <w:right w:w="80" w:type="dxa"/>
            </w:tcMar>
          </w:tcPr>
          <w:p>
            <w:pPr>
              <w:jc w:val="center"/>
            </w:pPr>
            <w:r>
              <w:rPr>
                <w:rFonts w:ascii="Calibri" w:hAnsi="Calibri"/>
                <w:b/>
                <w:color w:val="FFFFFF"/>
                <w:sz w:val="17"/>
              </w:rPr>
              <w:t>Zona de Seguridad</w:t>
            </w:r>
          </w:p>
        </w:tc>
        <w:tc>
          <w:tcPr>
            <w:tcW w:type="dxa" w:w="2592"/>
            <w:shd w:fill="1B365D"/>
            <w:tcMar>
              <w:top w:w="80" w:type="dxa"/>
              <w:bottom w:w="80" w:type="dxa"/>
              <w:left w:w="80" w:type="dxa"/>
              <w:right w:w="80" w:type="dxa"/>
            </w:tcMar>
          </w:tcPr>
          <w:p>
            <w:pPr>
              <w:jc w:val="left"/>
            </w:pPr>
            <w:r>
              <w:rPr>
                <w:rFonts w:ascii="Calibri" w:hAnsi="Calibri"/>
                <w:b/>
                <w:color w:val="FFFFFF"/>
                <w:sz w:val="17"/>
              </w:rPr>
              <w:t>Diagnóstico para el Inversor</w:t>
            </w:r>
          </w:p>
        </w:tc>
      </w:tr>
      <w:tr>
        <w:tc>
          <w:tcPr>
            <w:tcW w:type="dxa" w:w="2016"/>
            <w:tcMar>
              <w:top w:w="60" w:type="dxa"/>
              <w:bottom w:w="60" w:type="dxa"/>
              <w:left w:w="80" w:type="dxa"/>
              <w:right w:w="80" w:type="dxa"/>
            </w:tcMar>
          </w:tcPr>
          <w:p>
            <w:pPr>
              <w:jc w:val="left"/>
            </w:pPr>
            <w:r>
              <w:rPr>
                <w:rFonts w:ascii="Calibri" w:hAnsi="Calibri"/>
                <w:b/>
                <w:sz w:val="17"/>
              </w:rPr>
              <w:t>Calidad de Beneficios</w:t>
            </w:r>
          </w:p>
        </w:tc>
        <w:tc>
          <w:tcPr>
            <w:tcW w:type="dxa" w:w="2016"/>
            <w:tcMar>
              <w:top w:w="60" w:type="dxa"/>
              <w:bottom w:w="60" w:type="dxa"/>
              <w:left w:w="80" w:type="dxa"/>
              <w:right w:w="80" w:type="dxa"/>
            </w:tcMar>
          </w:tcPr>
          <w:p>
            <w:pPr>
              <w:jc w:val="left"/>
            </w:pPr>
            <w:r>
              <w:rPr>
                <w:rFonts w:ascii="Calibri" w:hAnsi="Calibri"/>
                <w:b/>
                <w:sz w:val="17"/>
              </w:rPr>
              <w:t>Ratio Devengos Sloan</w:t>
            </w:r>
          </w:p>
        </w:tc>
        <w:tc>
          <w:tcPr>
            <w:tcW w:type="dxa" w:w="1440"/>
            <w:tcMar>
              <w:top w:w="60" w:type="dxa"/>
              <w:bottom w:w="60" w:type="dxa"/>
              <w:left w:w="80" w:type="dxa"/>
              <w:right w:w="80" w:type="dxa"/>
            </w:tcMar>
          </w:tcPr>
          <w:p>
            <w:pPr>
              <w:jc w:val="center"/>
            </w:pPr>
            <w:r>
              <w:rPr>
                <w:rFonts w:ascii="Calibri" w:hAnsi="Calibri"/>
                <w:sz w:val="17"/>
              </w:rPr>
              <w:t>-4.73%</w:t>
            </w:r>
          </w:p>
        </w:tc>
        <w:tc>
          <w:tcPr>
            <w:tcW w:type="dxa" w:w="1728"/>
            <w:tcMar>
              <w:top w:w="60" w:type="dxa"/>
              <w:bottom w:w="60" w:type="dxa"/>
              <w:left w:w="80" w:type="dxa"/>
              <w:right w:w="80" w:type="dxa"/>
            </w:tcMar>
          </w:tcPr>
          <w:p>
            <w:pPr>
              <w:jc w:val="center"/>
            </w:pPr>
            <w:r>
              <w:rPr>
                <w:rFonts w:ascii="Calibri" w:hAnsi="Calibri"/>
                <w:sz w:val="17"/>
              </w:rPr>
              <w:t>&lt; -3.0% (Excelente)</w:t>
            </w:r>
          </w:p>
        </w:tc>
        <w:tc>
          <w:tcPr>
            <w:tcW w:type="dxa" w:w="2592"/>
            <w:tcMar>
              <w:top w:w="60" w:type="dxa"/>
              <w:bottom w:w="60" w:type="dxa"/>
              <w:left w:w="80" w:type="dxa"/>
              <w:right w:w="80" w:type="dxa"/>
            </w:tcMar>
          </w:tcPr>
          <w:p>
            <w:pPr>
              <w:jc w:val="left"/>
            </w:pPr>
            <w:r>
              <w:rPr>
                <w:rFonts w:ascii="Calibri" w:hAnsi="Calibri"/>
                <w:sz w:val="17"/>
              </w:rPr>
              <w:t>Caja operativa supera a utilidad; devengos protectores.</w:t>
            </w:r>
          </w:p>
        </w:tc>
      </w:tr>
      <w:tr>
        <w:tc>
          <w:tcPr>
            <w:tcW w:type="dxa" w:w="2016"/>
            <w:tcMar>
              <w:top w:w="60" w:type="dxa"/>
              <w:bottom w:w="60" w:type="dxa"/>
              <w:left w:w="80" w:type="dxa"/>
              <w:right w:w="80" w:type="dxa"/>
            </w:tcMar>
          </w:tcPr>
          <w:p>
            <w:pPr>
              <w:jc w:val="left"/>
            </w:pPr>
            <w:r>
              <w:rPr>
                <w:rFonts w:ascii="Calibri" w:hAnsi="Calibri"/>
                <w:b/>
                <w:sz w:val="17"/>
              </w:rPr>
              <w:t>Conversión de Ganancias</w:t>
            </w:r>
          </w:p>
        </w:tc>
        <w:tc>
          <w:tcPr>
            <w:tcW w:type="dxa" w:w="2016"/>
            <w:tcMar>
              <w:top w:w="60" w:type="dxa"/>
              <w:bottom w:w="60" w:type="dxa"/>
              <w:left w:w="80" w:type="dxa"/>
              <w:right w:w="80" w:type="dxa"/>
            </w:tcMar>
          </w:tcPr>
          <w:p>
            <w:pPr>
              <w:jc w:val="left"/>
            </w:pPr>
            <w:r>
              <w:rPr>
                <w:rFonts w:ascii="Calibri" w:hAnsi="Calibri"/>
                <w:b/>
                <w:sz w:val="17"/>
              </w:rPr>
              <w:t>Ratio CFO / Net Income</w:t>
            </w:r>
          </w:p>
        </w:tc>
        <w:tc>
          <w:tcPr>
            <w:tcW w:type="dxa" w:w="1440"/>
            <w:tcMar>
              <w:top w:w="60" w:type="dxa"/>
              <w:bottom w:w="60" w:type="dxa"/>
              <w:left w:w="80" w:type="dxa"/>
              <w:right w:w="80" w:type="dxa"/>
            </w:tcMar>
          </w:tcPr>
          <w:p>
            <w:pPr>
              <w:jc w:val="center"/>
            </w:pPr>
            <w:r>
              <w:rPr>
                <w:rFonts w:ascii="Calibri" w:hAnsi="Calibri"/>
                <w:sz w:val="17"/>
              </w:rPr>
              <w:t>117.6%</w:t>
            </w:r>
          </w:p>
        </w:tc>
        <w:tc>
          <w:tcPr>
            <w:tcW w:type="dxa" w:w="1728"/>
            <w:tcMar>
              <w:top w:w="60" w:type="dxa"/>
              <w:bottom w:w="60" w:type="dxa"/>
              <w:left w:w="80" w:type="dxa"/>
              <w:right w:w="80" w:type="dxa"/>
            </w:tcMar>
          </w:tcPr>
          <w:p>
            <w:pPr>
              <w:jc w:val="center"/>
            </w:pPr>
            <w:r>
              <w:rPr>
                <w:rFonts w:ascii="Calibri" w:hAnsi="Calibri"/>
                <w:sz w:val="17"/>
              </w:rPr>
              <w:t>&gt; 100.0%</w:t>
            </w:r>
          </w:p>
        </w:tc>
        <w:tc>
          <w:tcPr>
            <w:tcW w:type="dxa" w:w="2592"/>
            <w:tcMar>
              <w:top w:w="60" w:type="dxa"/>
              <w:bottom w:w="60" w:type="dxa"/>
              <w:left w:w="80" w:type="dxa"/>
              <w:right w:w="80" w:type="dxa"/>
            </w:tcMar>
          </w:tcPr>
          <w:p>
            <w:pPr>
              <w:jc w:val="left"/>
            </w:pPr>
            <w:r>
              <w:rPr>
                <w:rFonts w:ascii="Calibri" w:hAnsi="Calibri"/>
                <w:sz w:val="17"/>
              </w:rPr>
              <w:t>Conversión ultra-eficiente de beneficios en liquidez real.</w:t>
            </w:r>
          </w:p>
        </w:tc>
      </w:tr>
      <w:tr>
        <w:tc>
          <w:tcPr>
            <w:tcW w:type="dxa" w:w="2016"/>
            <w:tcMar>
              <w:top w:w="60" w:type="dxa"/>
              <w:bottom w:w="60" w:type="dxa"/>
              <w:left w:w="80" w:type="dxa"/>
              <w:right w:w="80" w:type="dxa"/>
            </w:tcMar>
          </w:tcPr>
          <w:p>
            <w:pPr>
              <w:jc w:val="left"/>
            </w:pPr>
            <w:r>
              <w:rPr>
                <w:rFonts w:ascii="Calibri" w:hAnsi="Calibri"/>
                <w:b/>
                <w:sz w:val="17"/>
              </w:rPr>
              <w:t>Riesgo Channel Stuffing</w:t>
            </w:r>
          </w:p>
        </w:tc>
        <w:tc>
          <w:tcPr>
            <w:tcW w:type="dxa" w:w="2016"/>
            <w:tcMar>
              <w:top w:w="60" w:type="dxa"/>
              <w:bottom w:w="60" w:type="dxa"/>
              <w:left w:w="80" w:type="dxa"/>
              <w:right w:w="80" w:type="dxa"/>
            </w:tcMar>
          </w:tcPr>
          <w:p>
            <w:pPr>
              <w:jc w:val="left"/>
            </w:pPr>
            <w:r>
              <w:rPr>
                <w:rFonts w:ascii="Calibri" w:hAnsi="Calibri"/>
                <w:b/>
                <w:sz w:val="17"/>
              </w:rPr>
              <w:t>Spread AR vs. Ventas</w:t>
            </w:r>
          </w:p>
        </w:tc>
        <w:tc>
          <w:tcPr>
            <w:tcW w:type="dxa" w:w="1440"/>
            <w:tcMar>
              <w:top w:w="60" w:type="dxa"/>
              <w:bottom w:w="60" w:type="dxa"/>
              <w:left w:w="80" w:type="dxa"/>
              <w:right w:w="80" w:type="dxa"/>
            </w:tcMar>
          </w:tcPr>
          <w:p>
            <w:pPr>
              <w:jc w:val="center"/>
            </w:pPr>
            <w:r>
              <w:rPr>
                <w:rFonts w:ascii="Calibri" w:hAnsi="Calibri"/>
                <w:sz w:val="17"/>
              </w:rPr>
              <w:t>+17.6%</w:t>
            </w:r>
          </w:p>
        </w:tc>
        <w:tc>
          <w:tcPr>
            <w:tcW w:type="dxa" w:w="1728"/>
            <w:tcMar>
              <w:top w:w="60" w:type="dxa"/>
              <w:bottom w:w="60" w:type="dxa"/>
              <w:left w:w="80" w:type="dxa"/>
              <w:right w:w="80" w:type="dxa"/>
            </w:tcMar>
          </w:tcPr>
          <w:p>
            <w:pPr>
              <w:jc w:val="center"/>
            </w:pPr>
            <w:r>
              <w:rPr>
                <w:rFonts w:ascii="Calibri" w:hAnsi="Calibri"/>
                <w:sz w:val="17"/>
              </w:rPr>
              <w:t>&lt; +10.0%</w:t>
            </w:r>
          </w:p>
        </w:tc>
        <w:tc>
          <w:tcPr>
            <w:tcW w:type="dxa" w:w="2592"/>
            <w:tcMar>
              <w:top w:w="60" w:type="dxa"/>
              <w:bottom w:w="60" w:type="dxa"/>
              <w:left w:w="80" w:type="dxa"/>
              <w:right w:w="80" w:type="dxa"/>
            </w:tcMar>
          </w:tcPr>
          <w:p>
            <w:pPr>
              <w:jc w:val="left"/>
            </w:pPr>
            <w:r>
              <w:rPr>
                <w:rFonts w:ascii="Calibri" w:hAnsi="Calibri"/>
                <w:sz w:val="17"/>
              </w:rPr>
              <w:t>Rotación acelerada (DSO: 25.0d); sin ventas infladas.</w:t>
            </w:r>
          </w:p>
        </w:tc>
      </w:tr>
      <w:tr>
        <w:tc>
          <w:tcPr>
            <w:tcW w:type="dxa" w:w="2016"/>
            <w:tcMar>
              <w:top w:w="60" w:type="dxa"/>
              <w:bottom w:w="60" w:type="dxa"/>
              <w:left w:w="80" w:type="dxa"/>
              <w:right w:w="80" w:type="dxa"/>
            </w:tcMar>
          </w:tcPr>
          <w:p>
            <w:pPr>
              <w:jc w:val="left"/>
            </w:pPr>
            <w:r>
              <w:rPr>
                <w:rFonts w:ascii="Calibri" w:hAnsi="Calibri"/>
                <w:b/>
                <w:sz w:val="17"/>
              </w:rPr>
              <w:t>Gestión de Existencias</w:t>
            </w:r>
          </w:p>
        </w:tc>
        <w:tc>
          <w:tcPr>
            <w:tcW w:type="dxa" w:w="2016"/>
            <w:tcMar>
              <w:top w:w="60" w:type="dxa"/>
              <w:bottom w:w="60" w:type="dxa"/>
              <w:left w:w="80" w:type="dxa"/>
              <w:right w:w="80" w:type="dxa"/>
            </w:tcMar>
          </w:tcPr>
          <w:p>
            <w:pPr>
              <w:jc w:val="left"/>
            </w:pPr>
            <w:r>
              <w:rPr>
                <w:rFonts w:ascii="Calibri" w:hAnsi="Calibri"/>
                <w:b/>
                <w:sz w:val="17"/>
              </w:rPr>
              <w:t>Días Inventario (DIO)</w:t>
            </w:r>
          </w:p>
        </w:tc>
        <w:tc>
          <w:tcPr>
            <w:tcW w:type="dxa" w:w="1440"/>
            <w:tcMar>
              <w:top w:w="60" w:type="dxa"/>
              <w:bottom w:w="60" w:type="dxa"/>
              <w:left w:w="80" w:type="dxa"/>
              <w:right w:w="80" w:type="dxa"/>
            </w:tcMar>
          </w:tcPr>
          <w:p>
            <w:pPr>
              <w:jc w:val="center"/>
            </w:pPr>
            <w:r>
              <w:rPr>
                <w:rFonts w:ascii="Calibri" w:hAnsi="Calibri"/>
                <w:sz w:val="17"/>
              </w:rPr>
              <w:t>126.4 días</w:t>
            </w:r>
          </w:p>
        </w:tc>
        <w:tc>
          <w:tcPr>
            <w:tcW w:type="dxa" w:w="1728"/>
            <w:tcMar>
              <w:top w:w="60" w:type="dxa"/>
              <w:bottom w:w="60" w:type="dxa"/>
              <w:left w:w="80" w:type="dxa"/>
              <w:right w:w="80" w:type="dxa"/>
            </w:tcMar>
          </w:tcPr>
          <w:p>
            <w:pPr>
              <w:jc w:val="center"/>
            </w:pPr>
            <w:r>
              <w:rPr>
                <w:rFonts w:ascii="Calibri" w:hAnsi="Calibri"/>
                <w:sz w:val="17"/>
              </w:rPr>
              <w:t>&lt; 30.0 días</w:t>
            </w:r>
          </w:p>
        </w:tc>
        <w:tc>
          <w:tcPr>
            <w:tcW w:type="dxa" w:w="2592"/>
            <w:tcMar>
              <w:top w:w="60" w:type="dxa"/>
              <w:bottom w:w="60" w:type="dxa"/>
              <w:left w:w="80" w:type="dxa"/>
              <w:right w:w="80" w:type="dxa"/>
            </w:tcMar>
          </w:tcPr>
          <w:p>
            <w:pPr>
              <w:jc w:val="left"/>
            </w:pPr>
            <w:r>
              <w:rPr>
                <w:rFonts w:ascii="Calibri" w:hAnsi="Calibri"/>
                <w:sz w:val="17"/>
              </w:rPr>
              <w:t>Récord de eficiencia global; bandera mitigada por superciclo.</w:t>
            </w:r>
          </w:p>
        </w:tc>
      </w:tr>
      <w:tr>
        <w:tc>
          <w:tcPr>
            <w:tcW w:type="dxa" w:w="2016"/>
            <w:tcMar>
              <w:top w:w="60" w:type="dxa"/>
              <w:bottom w:w="60" w:type="dxa"/>
              <w:left w:w="80" w:type="dxa"/>
              <w:right w:w="80" w:type="dxa"/>
            </w:tcMar>
          </w:tcPr>
          <w:p>
            <w:pPr>
              <w:jc w:val="left"/>
            </w:pPr>
            <w:r>
              <w:rPr>
                <w:rFonts w:ascii="Calibri" w:hAnsi="Calibri"/>
                <w:b/>
                <w:sz w:val="17"/>
              </w:rPr>
              <w:t>Integridad del Balance</w:t>
            </w:r>
          </w:p>
        </w:tc>
        <w:tc>
          <w:tcPr>
            <w:tcW w:type="dxa" w:w="2016"/>
            <w:tcMar>
              <w:top w:w="60" w:type="dxa"/>
              <w:bottom w:w="60" w:type="dxa"/>
              <w:left w:w="80" w:type="dxa"/>
              <w:right w:w="80" w:type="dxa"/>
            </w:tcMar>
          </w:tcPr>
          <w:p>
            <w:pPr>
              <w:jc w:val="left"/>
            </w:pPr>
            <w:r>
              <w:rPr>
                <w:rFonts w:ascii="Calibri" w:hAnsi="Calibri"/>
                <w:b/>
                <w:sz w:val="17"/>
              </w:rPr>
              <w:t>Variación Activos Blandos</w:t>
            </w:r>
          </w:p>
        </w:tc>
        <w:tc>
          <w:tcPr>
            <w:tcW w:type="dxa" w:w="1440"/>
            <w:tcMar>
              <w:top w:w="60" w:type="dxa"/>
              <w:bottom w:w="60" w:type="dxa"/>
              <w:left w:w="80" w:type="dxa"/>
              <w:right w:w="80" w:type="dxa"/>
            </w:tcMar>
          </w:tcPr>
          <w:p>
            <w:pPr>
              <w:jc w:val="center"/>
            </w:pPr>
            <w:r>
              <w:rPr>
                <w:rFonts w:ascii="Calibri" w:hAnsi="Calibri"/>
                <w:sz w:val="17"/>
              </w:rPr>
              <w:t>+10.7 pp</w:t>
            </w:r>
          </w:p>
        </w:tc>
        <w:tc>
          <w:tcPr>
            <w:tcW w:type="dxa" w:w="1728"/>
            <w:tcMar>
              <w:top w:w="60" w:type="dxa"/>
              <w:bottom w:w="60" w:type="dxa"/>
              <w:left w:w="80" w:type="dxa"/>
              <w:right w:w="80" w:type="dxa"/>
            </w:tcMar>
          </w:tcPr>
          <w:p>
            <w:pPr>
              <w:jc w:val="center"/>
            </w:pPr>
            <w:r>
              <w:rPr>
                <w:rFonts w:ascii="Calibri" w:hAnsi="Calibri"/>
                <w:sz w:val="17"/>
              </w:rPr>
              <w:t>&lt; +2.0 pp</w:t>
            </w:r>
          </w:p>
        </w:tc>
        <w:tc>
          <w:tcPr>
            <w:tcW w:type="dxa" w:w="2592"/>
            <w:tcMar>
              <w:top w:w="60" w:type="dxa"/>
              <w:bottom w:w="60" w:type="dxa"/>
              <w:left w:w="80" w:type="dxa"/>
              <w:right w:w="80" w:type="dxa"/>
            </w:tcMar>
          </w:tcPr>
          <w:p>
            <w:pPr>
              <w:jc w:val="left"/>
            </w:pPr>
            <w:r>
              <w:rPr>
                <w:rFonts w:ascii="Calibri" w:hAnsi="Calibri"/>
                <w:sz w:val="17"/>
              </w:rPr>
              <w:t>Cero distorsión por activación o diferimiento de gastos.</w:t>
            </w:r>
          </w:p>
        </w:tc>
      </w:tr>
      <w:tr>
        <w:tc>
          <w:tcPr>
            <w:tcW w:type="dxa" w:w="2016"/>
            <w:tcMar>
              <w:top w:w="60" w:type="dxa"/>
              <w:bottom w:w="60" w:type="dxa"/>
              <w:left w:w="80" w:type="dxa"/>
              <w:right w:w="80" w:type="dxa"/>
            </w:tcMar>
          </w:tcPr>
          <w:p>
            <w:pPr>
              <w:jc w:val="left"/>
            </w:pPr>
            <w:r>
              <w:rPr>
                <w:rFonts w:ascii="Calibri" w:hAnsi="Calibri"/>
                <w:b/>
                <w:sz w:val="17"/>
              </w:rPr>
              <w:t>Manipulación Agregada</w:t>
            </w:r>
          </w:p>
        </w:tc>
        <w:tc>
          <w:tcPr>
            <w:tcW w:type="dxa" w:w="2016"/>
            <w:tcMar>
              <w:top w:w="60" w:type="dxa"/>
              <w:bottom w:w="60" w:type="dxa"/>
              <w:left w:w="80" w:type="dxa"/>
              <w:right w:w="80" w:type="dxa"/>
            </w:tcMar>
          </w:tcPr>
          <w:p>
            <w:pPr>
              <w:jc w:val="left"/>
            </w:pPr>
            <w:r>
              <w:rPr>
                <w:rFonts w:ascii="Calibri" w:hAnsi="Calibri"/>
                <w:b/>
                <w:sz w:val="17"/>
              </w:rPr>
              <w:t>Montier C-Score Total</w:t>
            </w:r>
          </w:p>
        </w:tc>
        <w:tc>
          <w:tcPr>
            <w:tcW w:type="dxa" w:w="1440"/>
            <w:tcMar>
              <w:top w:w="60" w:type="dxa"/>
              <w:bottom w:w="60" w:type="dxa"/>
              <w:left w:w="80" w:type="dxa"/>
              <w:right w:w="80" w:type="dxa"/>
            </w:tcMar>
          </w:tcPr>
          <w:p>
            <w:pPr>
              <w:jc w:val="center"/>
            </w:pPr>
            <w:r>
              <w:rPr>
                <w:rFonts w:ascii="Calibri" w:hAnsi="Calibri"/>
                <w:sz w:val="17"/>
              </w:rPr>
              <w:t>3 / 6</w:t>
            </w:r>
          </w:p>
        </w:tc>
        <w:tc>
          <w:tcPr>
            <w:tcW w:type="dxa" w:w="1728"/>
            <w:tcMar>
              <w:top w:w="60" w:type="dxa"/>
              <w:bottom w:w="60" w:type="dxa"/>
              <w:left w:w="80" w:type="dxa"/>
              <w:right w:w="80" w:type="dxa"/>
            </w:tcMar>
          </w:tcPr>
          <w:p>
            <w:pPr>
              <w:jc w:val="center"/>
            </w:pPr>
            <w:r>
              <w:rPr>
                <w:rFonts w:ascii="Calibri" w:hAnsi="Calibri"/>
                <w:sz w:val="17"/>
              </w:rPr>
              <w:t>0 - 1 Banderas</w:t>
            </w:r>
          </w:p>
        </w:tc>
        <w:tc>
          <w:tcPr>
            <w:tcW w:type="dxa" w:w="2592"/>
            <w:tcMar>
              <w:top w:w="60" w:type="dxa"/>
              <w:bottom w:w="60" w:type="dxa"/>
              <w:left w:w="80" w:type="dxa"/>
              <w:right w:w="80" w:type="dxa"/>
            </w:tcMar>
          </w:tcPr>
          <w:p>
            <w:pPr>
              <w:jc w:val="left"/>
            </w:pPr>
            <w:r>
              <w:rPr>
                <w:rFonts w:ascii="Calibri" w:hAnsi="Calibri"/>
                <w:sz w:val="17"/>
              </w:rPr>
              <w:t>Libros limpios; probabilidad estadística de fraude &lt; 5%.</w:t>
            </w:r>
          </w:p>
        </w:tc>
      </w:tr>
    </w:tbl>
    <w:p>
      <w:pPr>
        <w:spacing w:after="160"/>
      </w:pPr>
    </w:p>
    <w:p>
      <w:pPr>
        <w:pStyle w:val="Heading1"/>
      </w:pPr>
      <w:r>
        <w:t>14. Solvencia, Deuda y Estrés Financiero (Credit Risk Engine)</w:t>
      </w:r>
    </w:p>
    <w:tbl>
      <w:tblPr>
        <w:tblW w:type="auto" w:w="0"/>
        <w:jc w:val="center"/>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Pr>
          <w:p>
            <w:r>
              <w:rPr>
                <w:b/>
                <w:color w:val="1B365D"/>
                <w:sz w:val="22"/>
              </w:rPr>
              <w:t>DICTAMEN GLOBAL DE SOLVENCIA (LTM): MÁXIMA SOLVENCIA INSTITUCIONAL</w:t>
              <w:br/>
            </w:r>
            <w:r>
              <w:rPr>
                <w:color w:val="2D3748"/>
                <w:sz w:val="19"/>
              </w:rPr>
              <w:t>Rating Sintético Damodaran: AAA (MÁXIMA CALIDAD CREDITICIA (LIBRE DE DEUDA)) | Altman Z''-Score: 8.59 [ZONA SEGURA]</w:t>
              <w:br/>
              <w:br/>
              <w:t>FORTALEZA FINANCIERA INQUEBRANTABLE (GRADO INSTITUCIONAL AAA/AA): Apalancamiento óptimo (CAJA NETA), cobertura de intereses de INFINITA (SIN DEUDA) y Altman Z''-Score de 8.59 en Zona Segura. Cero estrés crediticio, con capacidad excepcional de financiación en cualquier ciclo macroeconómico.</w:t>
            </w:r>
          </w:p>
        </w:tc>
      </w:tr>
    </w:tbl>
    <w:p/>
    <w:p>
      <w:pPr>
        <w:pStyle w:val="Heading2"/>
      </w:pPr>
      <w:r>
        <w:t>14.1. Apalancamiento y Capacidad de Amortización (Cash Flow Leverage)</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Métrica de Amortización</w:t>
            </w:r>
          </w:p>
        </w:tc>
        <w:tc>
          <w:tcPr>
            <w:tcW w:type="dxa" w:w="2448"/>
            <w:shd w:fill="1B365D"/>
          </w:tcPr>
          <w:p>
            <w:r>
              <w:rPr>
                <w:b/>
                <w:color w:val="FFFFFF"/>
                <w:sz w:val="18"/>
              </w:rPr>
              <w:t>Fórmula Contable</w:t>
            </w:r>
          </w:p>
        </w:tc>
        <w:tc>
          <w:tcPr>
            <w:tcW w:type="dxa" w:w="2448"/>
            <w:shd w:fill="1B365D"/>
          </w:tcPr>
          <w:p>
            <w:r>
              <w:rPr>
                <w:b/>
                <w:color w:val="FFFFFF"/>
                <w:sz w:val="18"/>
              </w:rPr>
              <w:t>Valor LTM</w:t>
            </w:r>
          </w:p>
        </w:tc>
        <w:tc>
          <w:tcPr>
            <w:tcW w:type="dxa" w:w="2448"/>
            <w:shd w:fill="1B365D"/>
          </w:tcPr>
          <w:p>
            <w:r>
              <w:rPr>
                <w:b/>
                <w:color w:val="FFFFFF"/>
                <w:sz w:val="18"/>
              </w:rPr>
              <w:t>Diagnóstico</w:t>
            </w:r>
          </w:p>
        </w:tc>
      </w:tr>
      <w:tr>
        <w:tc>
          <w:tcPr>
            <w:tcW w:type="dxa" w:w="2448"/>
          </w:tcPr>
          <w:p>
            <w:r>
              <w:rPr>
                <w:b/>
                <w:sz w:val="17"/>
              </w:rPr>
              <w:t>Deuda Financiera Total</w:t>
            </w:r>
          </w:p>
        </w:tc>
        <w:tc>
          <w:tcPr>
            <w:tcW w:type="dxa" w:w="2448"/>
          </w:tcPr>
          <w:p>
            <w:r>
              <w:rPr>
                <w:sz w:val="17"/>
              </w:rPr>
              <w:t>Short + Long Term Debt</w:t>
            </w:r>
          </w:p>
        </w:tc>
        <w:tc>
          <w:tcPr>
            <w:tcW w:type="dxa" w:w="2448"/>
          </w:tcPr>
          <w:p>
            <w:r>
              <w:rPr>
                <w:b/>
                <w:sz w:val="17"/>
              </w:rPr>
              <w:t>$0.0M</w:t>
            </w:r>
          </w:p>
        </w:tc>
        <w:tc>
          <w:tcPr>
            <w:tcW w:type="dxa" w:w="2448"/>
          </w:tcPr>
          <w:p>
            <w:r>
              <w:rPr>
                <w:sz w:val="17"/>
              </w:rPr>
              <w:t>Referencia Balance</w:t>
            </w:r>
          </w:p>
        </w:tc>
      </w:tr>
      <w:tr>
        <w:tc>
          <w:tcPr>
            <w:tcW w:type="dxa" w:w="2448"/>
            <w:shd w:fill="F7FAFC"/>
          </w:tcPr>
          <w:p>
            <w:r>
              <w:rPr>
                <w:b/>
                <w:sz w:val="17"/>
              </w:rPr>
              <w:t>Tesorería y Equivalentes</w:t>
            </w:r>
          </w:p>
        </w:tc>
        <w:tc>
          <w:tcPr>
            <w:tcW w:type="dxa" w:w="2448"/>
            <w:shd w:fill="F7FAFC"/>
          </w:tcPr>
          <w:p>
            <w:r>
              <w:rPr>
                <w:sz w:val="17"/>
              </w:rPr>
              <w:t>Cash &amp; Equivalents</w:t>
            </w:r>
          </w:p>
        </w:tc>
        <w:tc>
          <w:tcPr>
            <w:tcW w:type="dxa" w:w="2448"/>
            <w:shd w:fill="F7FAFC"/>
          </w:tcPr>
          <w:p>
            <w:r>
              <w:rPr>
                <w:b/>
                <w:sz w:val="17"/>
              </w:rPr>
              <w:t>$1,602.6M</w:t>
            </w:r>
          </w:p>
        </w:tc>
        <w:tc>
          <w:tcPr>
            <w:tcW w:type="dxa" w:w="2448"/>
            <w:shd w:fill="F7FAFC"/>
          </w:tcPr>
          <w:p>
            <w:r>
              <w:rPr>
                <w:sz w:val="17"/>
              </w:rPr>
              <w:t>Liquidez Inmediata</w:t>
            </w:r>
          </w:p>
        </w:tc>
      </w:tr>
      <w:tr>
        <w:tc>
          <w:tcPr>
            <w:tcW w:type="dxa" w:w="2448"/>
          </w:tcPr>
          <w:p>
            <w:r>
              <w:rPr>
                <w:b/>
                <w:sz w:val="17"/>
              </w:rPr>
              <w:t>Deuda Financiera Neta</w:t>
            </w:r>
          </w:p>
        </w:tc>
        <w:tc>
          <w:tcPr>
            <w:tcW w:type="dxa" w:w="2448"/>
          </w:tcPr>
          <w:p>
            <w:r>
              <w:rPr>
                <w:sz w:val="17"/>
              </w:rPr>
              <w:t>Deuda Total - Tesorería</w:t>
            </w:r>
          </w:p>
        </w:tc>
        <w:tc>
          <w:tcPr>
            <w:tcW w:type="dxa" w:w="2448"/>
          </w:tcPr>
          <w:p>
            <w:r>
              <w:rPr>
                <w:b/>
                <w:sz w:val="17"/>
              </w:rPr>
              <w:t>$-1,602.6M</w:t>
            </w:r>
          </w:p>
        </w:tc>
        <w:tc>
          <w:tcPr>
            <w:tcW w:type="dxa" w:w="2448"/>
          </w:tcPr>
          <w:p>
            <w:r>
              <w:rPr>
                <w:sz w:val="17"/>
              </w:rPr>
              <w:t>Posición Neta de Caja</w:t>
            </w:r>
          </w:p>
        </w:tc>
      </w:tr>
      <w:tr>
        <w:tc>
          <w:tcPr>
            <w:tcW w:type="dxa" w:w="2448"/>
            <w:shd w:fill="F7FAFC"/>
          </w:tcPr>
          <w:p>
            <w:r>
              <w:rPr>
                <w:b/>
                <w:sz w:val="17"/>
              </w:rPr>
              <w:t>Deuda Neta / EBITDA</w:t>
            </w:r>
          </w:p>
        </w:tc>
        <w:tc>
          <w:tcPr>
            <w:tcW w:type="dxa" w:w="2448"/>
            <w:shd w:fill="F7FAFC"/>
          </w:tcPr>
          <w:p>
            <w:r>
              <w:rPr>
                <w:sz w:val="17"/>
              </w:rPr>
              <w:t>Deuda Neta / EBITDA</w:t>
            </w:r>
          </w:p>
        </w:tc>
        <w:tc>
          <w:tcPr>
            <w:tcW w:type="dxa" w:w="2448"/>
            <w:shd w:fill="F7FAFC"/>
          </w:tcPr>
          <w:p>
            <w:r>
              <w:rPr>
                <w:b/>
                <w:sz w:val="17"/>
              </w:rPr>
              <w:t>CAJA NETA</w:t>
            </w:r>
          </w:p>
        </w:tc>
        <w:tc>
          <w:tcPr>
            <w:tcW w:type="dxa" w:w="2448"/>
            <w:shd w:fill="F7FAFC"/>
          </w:tcPr>
          <w:p>
            <w:r>
              <w:rPr>
                <w:sz w:val="17"/>
              </w:rPr>
              <w:t>EXCELENTE (POSICIÓN DE CAJA NETA)</w:t>
            </w:r>
          </w:p>
        </w:tc>
      </w:tr>
      <w:tr>
        <w:tc>
          <w:tcPr>
            <w:tcW w:type="dxa" w:w="2448"/>
          </w:tcPr>
          <w:p>
            <w:r>
              <w:rPr>
                <w:b/>
                <w:sz w:val="17"/>
              </w:rPr>
              <w:t>Deuda Neta / FCF</w:t>
            </w:r>
          </w:p>
        </w:tc>
        <w:tc>
          <w:tcPr>
            <w:tcW w:type="dxa" w:w="2448"/>
          </w:tcPr>
          <w:p>
            <w:r>
              <w:rPr>
                <w:sz w:val="17"/>
              </w:rPr>
              <w:t>Deuda Neta / FCF</w:t>
            </w:r>
          </w:p>
        </w:tc>
        <w:tc>
          <w:tcPr>
            <w:tcW w:type="dxa" w:w="2448"/>
          </w:tcPr>
          <w:p>
            <w:r>
              <w:rPr>
                <w:b/>
                <w:sz w:val="17"/>
              </w:rPr>
              <w:t>CAJA NETA</w:t>
            </w:r>
          </w:p>
        </w:tc>
        <w:tc>
          <w:tcPr>
            <w:tcW w:type="dxa" w:w="2448"/>
          </w:tcPr>
          <w:p>
            <w:r>
              <w:rPr>
                <w:sz w:val="17"/>
              </w:rPr>
              <w:t>Años de Caja Libre</w:t>
            </w:r>
          </w:p>
        </w:tc>
      </w:tr>
    </w:tbl>
    <w:p/>
    <w:p>
      <w:pPr>
        <w:pStyle w:val="Heading2"/>
      </w:pPr>
      <w:r>
        <w:t>14.2. Cobertura de Intereses y Carga Financiera</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Métrica de Cobertura</w:t>
            </w:r>
          </w:p>
        </w:tc>
        <w:tc>
          <w:tcPr>
            <w:tcW w:type="dxa" w:w="2448"/>
            <w:shd w:fill="1B365D"/>
          </w:tcPr>
          <w:p>
            <w:r>
              <w:rPr>
                <w:b/>
                <w:color w:val="FFFFFF"/>
                <w:sz w:val="18"/>
              </w:rPr>
              <w:t>Fórmula Contable</w:t>
            </w:r>
          </w:p>
        </w:tc>
        <w:tc>
          <w:tcPr>
            <w:tcW w:type="dxa" w:w="2448"/>
            <w:shd w:fill="1B365D"/>
          </w:tcPr>
          <w:p>
            <w:r>
              <w:rPr>
                <w:b/>
                <w:color w:val="FFFFFF"/>
                <w:sz w:val="18"/>
              </w:rPr>
              <w:t>Valor LTM</w:t>
            </w:r>
          </w:p>
        </w:tc>
        <w:tc>
          <w:tcPr>
            <w:tcW w:type="dxa" w:w="2448"/>
            <w:shd w:fill="1B365D"/>
          </w:tcPr>
          <w:p>
            <w:r>
              <w:rPr>
                <w:b/>
                <w:color w:val="FFFFFF"/>
                <w:sz w:val="18"/>
              </w:rPr>
              <w:t>Evaluación</w:t>
            </w:r>
          </w:p>
        </w:tc>
      </w:tr>
      <w:tr>
        <w:tc>
          <w:tcPr>
            <w:tcW w:type="dxa" w:w="2448"/>
          </w:tcPr>
          <w:p>
            <w:r>
              <w:rPr>
                <w:b/>
                <w:sz w:val="17"/>
              </w:rPr>
              <w:t>Beneficio Operativo (EBIT)</w:t>
            </w:r>
          </w:p>
        </w:tc>
        <w:tc>
          <w:tcPr>
            <w:tcW w:type="dxa" w:w="2448"/>
          </w:tcPr>
          <w:p>
            <w:r>
              <w:rPr>
                <w:sz w:val="17"/>
              </w:rPr>
              <w:t>Operating Income</w:t>
            </w:r>
          </w:p>
        </w:tc>
        <w:tc>
          <w:tcPr>
            <w:tcW w:type="dxa" w:w="2448"/>
          </w:tcPr>
          <w:p>
            <w:r>
              <w:rPr>
                <w:b/>
                <w:sz w:val="17"/>
              </w:rPr>
              <w:t>$1,252.9M</w:t>
            </w:r>
          </w:p>
        </w:tc>
        <w:tc>
          <w:tcPr>
            <w:tcW w:type="dxa" w:w="2448"/>
          </w:tcPr>
          <w:p>
            <w:r>
              <w:rPr>
                <w:sz w:val="17"/>
              </w:rPr>
              <w:t>Fondo de Cobertura</w:t>
            </w:r>
          </w:p>
        </w:tc>
      </w:tr>
      <w:tr>
        <w:tc>
          <w:tcPr>
            <w:tcW w:type="dxa" w:w="2448"/>
            <w:shd w:fill="F7FAFC"/>
          </w:tcPr>
          <w:p>
            <w:r>
              <w:rPr>
                <w:b/>
                <w:sz w:val="17"/>
              </w:rPr>
              <w:t>Gasto por Intereses</w:t>
            </w:r>
          </w:p>
        </w:tc>
        <w:tc>
          <w:tcPr>
            <w:tcW w:type="dxa" w:w="2448"/>
            <w:shd w:fill="F7FAFC"/>
          </w:tcPr>
          <w:p>
            <w:r>
              <w:rPr>
                <w:sz w:val="17"/>
              </w:rPr>
              <w:t>Gasto Financiero Auditado/Estimado</w:t>
            </w:r>
          </w:p>
        </w:tc>
        <w:tc>
          <w:tcPr>
            <w:tcW w:type="dxa" w:w="2448"/>
            <w:shd w:fill="F7FAFC"/>
          </w:tcPr>
          <w:p>
            <w:r>
              <w:rPr>
                <w:b/>
                <w:sz w:val="17"/>
              </w:rPr>
              <w:t>$3.8M</w:t>
            </w:r>
          </w:p>
        </w:tc>
        <w:tc>
          <w:tcPr>
            <w:tcW w:type="dxa" w:w="2448"/>
            <w:shd w:fill="F7FAFC"/>
          </w:tcPr>
          <w:p>
            <w:r>
              <w:rPr>
                <w:sz w:val="17"/>
              </w:rPr>
              <w:t>Carga Obligatoria</w:t>
            </w:r>
          </w:p>
        </w:tc>
      </w:tr>
      <w:tr>
        <w:tc>
          <w:tcPr>
            <w:tcW w:type="dxa" w:w="2448"/>
          </w:tcPr>
          <w:p>
            <w:r>
              <w:rPr>
                <w:b/>
                <w:sz w:val="17"/>
              </w:rPr>
              <w:t>Cobertura de Intereses Operativa</w:t>
            </w:r>
          </w:p>
        </w:tc>
        <w:tc>
          <w:tcPr>
            <w:tcW w:type="dxa" w:w="2448"/>
          </w:tcPr>
          <w:p>
            <w:r>
              <w:rPr>
                <w:sz w:val="17"/>
              </w:rPr>
              <w:t>EBIT / Gasto Financiero</w:t>
            </w:r>
          </w:p>
        </w:tc>
        <w:tc>
          <w:tcPr>
            <w:tcW w:type="dxa" w:w="2448"/>
          </w:tcPr>
          <w:p>
            <w:r>
              <w:rPr>
                <w:b/>
                <w:sz w:val="17"/>
              </w:rPr>
              <w:t>INFINITA (SIN DEUDA)</w:t>
            </w:r>
          </w:p>
        </w:tc>
        <w:tc>
          <w:tcPr>
            <w:tcW w:type="dxa" w:w="2448"/>
          </w:tcPr>
          <w:p>
            <w:r>
              <w:rPr>
                <w:sz w:val="17"/>
              </w:rPr>
              <w:t>LIBRE DE DEUDA</w:t>
            </w:r>
          </w:p>
        </w:tc>
      </w:tr>
      <w:tr>
        <w:tc>
          <w:tcPr>
            <w:tcW w:type="dxa" w:w="2448"/>
            <w:shd w:fill="F7FAFC"/>
          </w:tcPr>
          <w:p>
            <w:r>
              <w:rPr>
                <w:b/>
                <w:sz w:val="17"/>
              </w:rPr>
              <w:t>Carga Financiera sobre CFO</w:t>
            </w:r>
          </w:p>
        </w:tc>
        <w:tc>
          <w:tcPr>
            <w:tcW w:type="dxa" w:w="2448"/>
            <w:shd w:fill="F7FAFC"/>
          </w:tcPr>
          <w:p>
            <w:r>
              <w:rPr>
                <w:sz w:val="17"/>
              </w:rPr>
              <w:t>(Intereses / CFO) * 100</w:t>
            </w:r>
          </w:p>
        </w:tc>
        <w:tc>
          <w:tcPr>
            <w:tcW w:type="dxa" w:w="2448"/>
            <w:shd w:fill="F7FAFC"/>
          </w:tcPr>
          <w:p>
            <w:r>
              <w:rPr>
                <w:b/>
                <w:sz w:val="17"/>
              </w:rPr>
              <w:t>0.00%</w:t>
            </w:r>
          </w:p>
        </w:tc>
        <w:tc>
          <w:tcPr>
            <w:tcW w:type="dxa" w:w="2448"/>
            <w:shd w:fill="F7FAFC"/>
          </w:tcPr>
          <w:p>
            <w:r>
              <w:rPr>
                <w:sz w:val="17"/>
              </w:rPr>
              <w:t>Impacto en Caja</w:t>
            </w:r>
          </w:p>
        </w:tc>
      </w:tr>
    </w:tbl>
    <w:p/>
    <w:p>
      <w:pPr>
        <w:pStyle w:val="Heading2"/>
      </w:pPr>
      <w:r>
        <w:t>14.3. Modelos de Quiebra (Altman Z'') y Rating Sintético</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Instrumento Predictivo</w:t>
            </w:r>
          </w:p>
        </w:tc>
        <w:tc>
          <w:tcPr>
            <w:tcW w:type="dxa" w:w="2448"/>
            <w:shd w:fill="1B365D"/>
          </w:tcPr>
          <w:p>
            <w:r>
              <w:rPr>
                <w:b/>
                <w:color w:val="FFFFFF"/>
                <w:sz w:val="18"/>
              </w:rPr>
              <w:t>Resultado Cuantitativo</w:t>
            </w:r>
          </w:p>
        </w:tc>
        <w:tc>
          <w:tcPr>
            <w:tcW w:type="dxa" w:w="2448"/>
            <w:shd w:fill="1B365D"/>
          </w:tcPr>
          <w:p>
            <w:r>
              <w:rPr>
                <w:b/>
                <w:color w:val="FFFFFF"/>
                <w:sz w:val="18"/>
              </w:rPr>
              <w:t>Calificación / Zona</w:t>
            </w:r>
          </w:p>
        </w:tc>
        <w:tc>
          <w:tcPr>
            <w:tcW w:type="dxa" w:w="2448"/>
            <w:shd w:fill="1B365D"/>
          </w:tcPr>
          <w:p>
            <w:r>
              <w:rPr>
                <w:b/>
                <w:color w:val="FFFFFF"/>
                <w:sz w:val="18"/>
              </w:rPr>
              <w:t>Interpretación Institucional</w:t>
            </w:r>
          </w:p>
        </w:tc>
      </w:tr>
      <w:tr>
        <w:tc>
          <w:tcPr>
            <w:tcW w:type="dxa" w:w="2448"/>
          </w:tcPr>
          <w:p>
            <w:r>
              <w:rPr>
                <w:b/>
                <w:sz w:val="17"/>
              </w:rPr>
              <w:t>Altman Z''-Score (4 Variables)</w:t>
            </w:r>
          </w:p>
        </w:tc>
        <w:tc>
          <w:tcPr>
            <w:tcW w:type="dxa" w:w="2448"/>
          </w:tcPr>
          <w:p>
            <w:r>
              <w:rPr>
                <w:b/>
                <w:sz w:val="17"/>
              </w:rPr>
              <w:t>8.59</w:t>
            </w:r>
          </w:p>
        </w:tc>
        <w:tc>
          <w:tcPr>
            <w:tcW w:type="dxa" w:w="2448"/>
          </w:tcPr>
          <w:p>
            <w:r>
              <w:rPr>
                <w:sz w:val="17"/>
              </w:rPr>
              <w:t>ZONA SEGURA</w:t>
            </w:r>
          </w:p>
        </w:tc>
        <w:tc>
          <w:tcPr>
            <w:tcW w:type="dxa" w:w="2448"/>
          </w:tcPr>
          <w:p>
            <w:r>
              <w:rPr>
                <w:sz w:val="17"/>
              </w:rPr>
              <w:t>ZONA SEGURA (BAJO RIESGO DE QUIEBRA)</w:t>
            </w:r>
          </w:p>
        </w:tc>
      </w:tr>
      <w:tr>
        <w:tc>
          <w:tcPr>
            <w:tcW w:type="dxa" w:w="2448"/>
            <w:shd w:fill="F7FAFC"/>
          </w:tcPr>
          <w:p>
            <w:r>
              <w:rPr>
                <w:b/>
                <w:sz w:val="17"/>
              </w:rPr>
              <w:t>Rating Sintético Damodaran</w:t>
            </w:r>
          </w:p>
        </w:tc>
        <w:tc>
          <w:tcPr>
            <w:tcW w:type="dxa" w:w="2448"/>
            <w:shd w:fill="F7FAFC"/>
          </w:tcPr>
          <w:p>
            <w:r>
              <w:rPr>
                <w:b/>
                <w:sz w:val="17"/>
              </w:rPr>
              <w:t>AAA</w:t>
            </w:r>
          </w:p>
        </w:tc>
        <w:tc>
          <w:tcPr>
            <w:tcW w:type="dxa" w:w="2448"/>
            <w:shd w:fill="F7FAFC"/>
          </w:tcPr>
          <w:p>
            <w:r>
              <w:rPr>
                <w:sz w:val="17"/>
              </w:rPr>
              <w:t>MÁXIMA CALIDAD CREDITICIA (LIBRE DE DEUDA)</w:t>
            </w:r>
          </w:p>
        </w:tc>
        <w:tc>
          <w:tcPr>
            <w:tcW w:type="dxa" w:w="2448"/>
            <w:shd w:fill="F7FAFC"/>
          </w:tcPr>
          <w:p>
            <w:r>
              <w:rPr>
                <w:sz w:val="17"/>
              </w:rPr>
              <w:t>Spread Teórico: +0.40%</w:t>
            </w:r>
          </w:p>
        </w:tc>
      </w:tr>
      <w:tr>
        <w:tc>
          <w:tcPr>
            <w:tcW w:type="dxa" w:w="2448"/>
          </w:tcPr>
          <w:p>
            <w:r>
              <w:rPr>
                <w:b/>
                <w:sz w:val="17"/>
              </w:rPr>
              <w:t>Probabilidad de Default a 10 Años</w:t>
            </w:r>
          </w:p>
        </w:tc>
        <w:tc>
          <w:tcPr>
            <w:tcW w:type="dxa" w:w="2448"/>
          </w:tcPr>
          <w:p>
            <w:r>
              <w:rPr>
                <w:b/>
                <w:sz w:val="17"/>
              </w:rPr>
              <w:t>&lt; 0.1%</w:t>
            </w:r>
          </w:p>
        </w:tc>
        <w:tc>
          <w:tcPr>
            <w:tcW w:type="dxa" w:w="2448"/>
          </w:tcPr>
          <w:p>
            <w:r>
              <w:rPr>
                <w:sz w:val="17"/>
              </w:rPr>
              <w:t>Estadística S&amp;P</w:t>
            </w:r>
          </w:p>
        </w:tc>
        <w:tc>
          <w:tcPr>
            <w:tcW w:type="dxa" w:w="2448"/>
          </w:tcPr>
          <w:p>
            <w:r>
              <w:rPr>
                <w:sz w:val="17"/>
              </w:rPr>
              <w:t>Mínimo riesgo crediticio histórico.</w:t>
            </w:r>
          </w:p>
        </w:tc>
      </w:tr>
    </w:tbl>
    <w:p>
      <w:pPr>
        <w:keepNext/>
        <w:spacing w:before="320" w:after="120"/>
      </w:pPr>
      <w:r>
        <w:rPr>
          <w:rFonts w:ascii="Calibri" w:hAnsi="Calibri"/>
          <w:b/>
          <w:color w:val="1B365D"/>
          <w:sz w:val="30"/>
        </w:rPr>
        <w:t>15. Grupo de Pares del Sector Calzado (SIC 3021 / 3140) &amp; Medianas de Referencia</w:t>
      </w:r>
    </w:p>
    <w:p>
      <w:pPr>
        <w:spacing w:before="0" w:after="80" w:line="276" w:lineRule="auto"/>
      </w:pPr>
      <w:r>
        <w:rPr>
          <w:rFonts w:ascii="Calibri" w:hAnsi="Calibri"/>
          <w:i w:val="0"/>
          <w:color w:val="2D3748"/>
          <w:sz w:val="20"/>
        </w:rPr>
        <w:t>A continuación se auditan las cifras financieras reales de la canasta de competidores del sector de calzado y estilo de vida deportivo utilizada para deducir las medianas y percentiles del Mohanram G-Score:</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979"/>
        <w:gridCol w:w="979"/>
        <w:gridCol w:w="979"/>
        <w:gridCol w:w="979"/>
        <w:gridCol w:w="979"/>
        <w:gridCol w:w="979"/>
        <w:gridCol w:w="979"/>
        <w:gridCol w:w="979"/>
        <w:gridCol w:w="979"/>
        <w:gridCol w:w="979"/>
      </w:tblGrid>
      <w:tr>
        <w:tc>
          <w:tcPr>
            <w:tcW w:type="dxa" w:w="1728"/>
            <w:shd w:fill="1B365D"/>
            <w:tcMar>
              <w:top w:w="100" w:type="dxa"/>
              <w:bottom w:w="100" w:type="dxa"/>
              <w:left w:w="120" w:type="dxa"/>
              <w:right w:w="120" w:type="dxa"/>
            </w:tcMar>
          </w:tcPr>
          <w:p>
            <w:pPr>
              <w:spacing w:before="0" w:after="0"/>
              <w:jc w:val="left"/>
            </w:pPr>
            <w:r>
              <w:rPr>
                <w:rFonts w:ascii="Calibri" w:hAnsi="Calibri"/>
                <w:b/>
                <w:color w:val="FFFFFF"/>
                <w:sz w:val="19"/>
              </w:rPr>
              <w:t>Ticker / Compañía</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Período</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Ventas ($M)</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Activos ($M)</w:t>
            </w:r>
          </w:p>
        </w:tc>
        <w:tc>
          <w:tcPr>
            <w:tcW w:type="dxa" w:w="864"/>
            <w:shd w:fill="1B365D"/>
            <w:tcMar>
              <w:top w:w="100" w:type="dxa"/>
              <w:bottom w:w="100" w:type="dxa"/>
              <w:left w:w="120" w:type="dxa"/>
              <w:right w:w="120" w:type="dxa"/>
            </w:tcMar>
          </w:tcPr>
          <w:p>
            <w:pPr>
              <w:spacing w:before="0" w:after="0"/>
              <w:jc w:val="right"/>
            </w:pPr>
            <w:r>
              <w:rPr>
                <w:rFonts w:ascii="Calibri" w:hAnsi="Calibri"/>
                <w:b/>
                <w:color w:val="FFFFFF"/>
                <w:sz w:val="19"/>
              </w:rPr>
              <w:t>I+D ($M)*</w:t>
            </w:r>
          </w:p>
        </w:tc>
        <w:tc>
          <w:tcPr>
            <w:tcW w:type="dxa" w:w="864"/>
            <w:shd w:fill="1B365D"/>
            <w:tcMar>
              <w:top w:w="100" w:type="dxa"/>
              <w:bottom w:w="100" w:type="dxa"/>
              <w:left w:w="120" w:type="dxa"/>
              <w:right w:w="120" w:type="dxa"/>
            </w:tcMar>
          </w:tcPr>
          <w:p>
            <w:pPr>
              <w:spacing w:before="0" w:after="0"/>
              <w:jc w:val="right"/>
            </w:pPr>
            <w:r>
              <w:rPr>
                <w:rFonts w:ascii="Calibri" w:hAnsi="Calibri"/>
                <w:b/>
                <w:color w:val="FFFFFF"/>
                <w:sz w:val="19"/>
              </w:rPr>
              <w:t>CapEx ($M)</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CFO ($M)</w:t>
            </w:r>
          </w:p>
        </w:tc>
        <w:tc>
          <w:tcPr>
            <w:tcW w:type="dxa" w:w="720"/>
            <w:shd w:fill="1B365D"/>
            <w:tcMar>
              <w:top w:w="100" w:type="dxa"/>
              <w:bottom w:w="100" w:type="dxa"/>
              <w:left w:w="120" w:type="dxa"/>
              <w:right w:w="120" w:type="dxa"/>
            </w:tcMar>
          </w:tcPr>
          <w:p>
            <w:pPr>
              <w:spacing w:before="0" w:after="0"/>
              <w:jc w:val="right"/>
            </w:pPr>
            <w:r>
              <w:rPr>
                <w:rFonts w:ascii="Calibri" w:hAnsi="Calibri"/>
                <w:b/>
                <w:color w:val="FFFFFF"/>
                <w:sz w:val="19"/>
              </w:rPr>
              <w:t>CFROA %</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Beneficio Neto ($M)</w:t>
            </w:r>
          </w:p>
        </w:tc>
        <w:tc>
          <w:tcPr>
            <w:tcW w:type="dxa" w:w="720"/>
            <w:shd w:fill="1B365D"/>
            <w:tcMar>
              <w:top w:w="100" w:type="dxa"/>
              <w:bottom w:w="100" w:type="dxa"/>
              <w:left w:w="120" w:type="dxa"/>
              <w:right w:w="120" w:type="dxa"/>
            </w:tcMar>
          </w:tcPr>
          <w:p>
            <w:pPr>
              <w:spacing w:before="0" w:after="0"/>
              <w:jc w:val="right"/>
            </w:pPr>
            <w:r>
              <w:rPr>
                <w:rFonts w:ascii="Calibri" w:hAnsi="Calibri"/>
                <w:b/>
                <w:color w:val="FFFFFF"/>
                <w:sz w:val="19"/>
              </w:rPr>
              <w:t>ROA %</w:t>
            </w:r>
          </w:p>
        </w:tc>
      </w:tr>
      <w:tr>
        <w:tc>
          <w:tcPr>
            <w:tcW w:type="dxa" w:w="1728"/>
            <w:shd w:fill="FFFFFF"/>
            <w:tcMar>
              <w:top w:w="80" w:type="dxa"/>
              <w:bottom w:w="80" w:type="dxa"/>
              <w:left w:w="120" w:type="dxa"/>
              <w:right w:w="120" w:type="dxa"/>
            </w:tcMar>
          </w:tcPr>
          <w:p>
            <w:pPr>
              <w:spacing w:before="0" w:after="0"/>
              <w:jc w:val="left"/>
            </w:pPr>
            <w:r>
              <w:rPr>
                <w:rFonts w:ascii="Calibri" w:hAnsi="Calibri"/>
                <w:b/>
                <w:color w:val="1B365D"/>
                <w:sz w:val="18"/>
              </w:rPr>
              <w:t>DECK</w:t>
              <w:br/>
              <w:t xml:space="preserve">Deckers Outdoor </w:t>
            </w:r>
          </w:p>
        </w:tc>
        <w:tc>
          <w:tcPr>
            <w:tcW w:type="dxa" w:w="1008"/>
            <w:shd w:fill="FFFFFF"/>
            <w:tcMar>
              <w:top w:w="80" w:type="dxa"/>
              <w:bottom w:w="80" w:type="dxa"/>
              <w:left w:w="120" w:type="dxa"/>
              <w:right w:w="120" w:type="dxa"/>
            </w:tcMar>
          </w:tcPr>
          <w:p>
            <w:pPr>
              <w:spacing w:before="0" w:after="0"/>
              <w:jc w:val="right"/>
            </w:pPr>
            <w:r>
              <w:rPr>
                <w:rFonts w:ascii="Calibri" w:hAnsi="Calibri"/>
                <w:b/>
                <w:color w:val="1B365D"/>
                <w:sz w:val="18"/>
              </w:rPr>
              <w:t>LTM (Q1 FY27 Móvil)</w:t>
            </w:r>
          </w:p>
        </w:tc>
        <w:tc>
          <w:tcPr>
            <w:tcW w:type="dxa" w:w="1008"/>
            <w:shd w:fill="FFFFFF"/>
            <w:tcMar>
              <w:top w:w="80" w:type="dxa"/>
              <w:bottom w:w="80" w:type="dxa"/>
              <w:left w:w="120" w:type="dxa"/>
              <w:right w:w="120" w:type="dxa"/>
            </w:tcMar>
          </w:tcPr>
          <w:p>
            <w:pPr>
              <w:spacing w:before="0" w:after="0"/>
              <w:jc w:val="right"/>
            </w:pPr>
            <w:r>
              <w:rPr>
                <w:rFonts w:ascii="Calibri" w:hAnsi="Calibri"/>
                <w:b/>
                <w:color w:val="1B365D"/>
                <w:sz w:val="18"/>
              </w:rPr>
              <w:t>$5,527.3</w:t>
            </w:r>
          </w:p>
        </w:tc>
        <w:tc>
          <w:tcPr>
            <w:tcW w:type="dxa" w:w="1008"/>
            <w:shd w:fill="FFFFFF"/>
            <w:tcMar>
              <w:top w:w="80" w:type="dxa"/>
              <w:bottom w:w="80" w:type="dxa"/>
              <w:left w:w="120" w:type="dxa"/>
              <w:right w:w="120" w:type="dxa"/>
            </w:tcMar>
          </w:tcPr>
          <w:p>
            <w:pPr>
              <w:spacing w:before="0" w:after="0"/>
              <w:jc w:val="right"/>
            </w:pPr>
            <w:r>
              <w:rPr>
                <w:rFonts w:ascii="Calibri" w:hAnsi="Calibri"/>
                <w:b/>
                <w:color w:val="1B365D"/>
                <w:sz w:val="18"/>
              </w:rPr>
              <w:t>$3,868.6</w:t>
            </w:r>
          </w:p>
        </w:tc>
        <w:tc>
          <w:tcPr>
            <w:tcW w:type="dxa" w:w="864"/>
            <w:shd w:fill="FFFFFF"/>
            <w:tcMar>
              <w:top w:w="80" w:type="dxa"/>
              <w:bottom w:w="80" w:type="dxa"/>
              <w:left w:w="120" w:type="dxa"/>
              <w:right w:w="120" w:type="dxa"/>
            </w:tcMar>
          </w:tcPr>
          <w:p>
            <w:pPr>
              <w:spacing w:before="0" w:after="0"/>
              <w:jc w:val="right"/>
            </w:pPr>
            <w:r>
              <w:rPr>
                <w:rFonts w:ascii="Calibri" w:hAnsi="Calibri"/>
                <w:b/>
                <w:color w:val="1B365D"/>
                <w:sz w:val="18"/>
              </w:rPr>
              <w:t>$68.9</w:t>
            </w:r>
          </w:p>
        </w:tc>
        <w:tc>
          <w:tcPr>
            <w:tcW w:type="dxa" w:w="864"/>
            <w:shd w:fill="FFFFFF"/>
            <w:tcMar>
              <w:top w:w="80" w:type="dxa"/>
              <w:bottom w:w="80" w:type="dxa"/>
              <w:left w:w="120" w:type="dxa"/>
              <w:right w:w="120" w:type="dxa"/>
            </w:tcMar>
          </w:tcPr>
          <w:p>
            <w:pPr>
              <w:spacing w:before="0" w:after="0"/>
              <w:jc w:val="right"/>
            </w:pPr>
            <w:r>
              <w:rPr>
                <w:rFonts w:ascii="Calibri" w:hAnsi="Calibri"/>
                <w:b/>
                <w:color w:val="1B365D"/>
                <w:sz w:val="18"/>
              </w:rPr>
              <w:t>$75.9</w:t>
            </w:r>
          </w:p>
        </w:tc>
        <w:tc>
          <w:tcPr>
            <w:tcW w:type="dxa" w:w="1008"/>
            <w:shd w:fill="FFFFFF"/>
            <w:tcMar>
              <w:top w:w="80" w:type="dxa"/>
              <w:bottom w:w="80" w:type="dxa"/>
              <w:left w:w="120" w:type="dxa"/>
              <w:right w:w="120" w:type="dxa"/>
            </w:tcMar>
          </w:tcPr>
          <w:p>
            <w:pPr>
              <w:spacing w:before="0" w:after="0"/>
              <w:jc w:val="right"/>
            </w:pPr>
            <w:r>
              <w:rPr>
                <w:rFonts w:ascii="Calibri" w:hAnsi="Calibri"/>
                <w:b/>
                <w:color w:val="1B365D"/>
                <w:sz w:val="18"/>
              </w:rPr>
              <w:t>$1,193.7</w:t>
            </w:r>
          </w:p>
        </w:tc>
        <w:tc>
          <w:tcPr>
            <w:tcW w:type="dxa" w:w="720"/>
            <w:shd w:fill="FFFFFF"/>
            <w:tcMar>
              <w:top w:w="80" w:type="dxa"/>
              <w:bottom w:w="80" w:type="dxa"/>
              <w:left w:w="120" w:type="dxa"/>
              <w:right w:w="120" w:type="dxa"/>
            </w:tcMar>
          </w:tcPr>
          <w:p>
            <w:pPr>
              <w:spacing w:before="0" w:after="0"/>
              <w:jc w:val="right"/>
            </w:pPr>
            <w:r>
              <w:rPr>
                <w:rFonts w:ascii="Calibri" w:hAnsi="Calibri"/>
                <w:b/>
                <w:color w:val="1B365D"/>
                <w:sz w:val="18"/>
              </w:rPr>
              <w:t>30.9%</w:t>
            </w:r>
          </w:p>
        </w:tc>
        <w:tc>
          <w:tcPr>
            <w:tcW w:type="dxa" w:w="1008"/>
            <w:shd w:fill="FFFFFF"/>
            <w:tcMar>
              <w:top w:w="80" w:type="dxa"/>
              <w:bottom w:w="80" w:type="dxa"/>
              <w:left w:w="120" w:type="dxa"/>
              <w:right w:w="120" w:type="dxa"/>
            </w:tcMar>
          </w:tcPr>
          <w:p>
            <w:pPr>
              <w:spacing w:before="0" w:after="0"/>
              <w:jc w:val="right"/>
            </w:pPr>
            <w:r>
              <w:rPr>
                <w:rFonts w:ascii="Calibri" w:hAnsi="Calibri"/>
                <w:b/>
                <w:color w:val="1B365D"/>
                <w:sz w:val="18"/>
              </w:rPr>
              <w:t>$1,014.8</w:t>
            </w:r>
          </w:p>
        </w:tc>
        <w:tc>
          <w:tcPr>
            <w:tcW w:type="dxa" w:w="720"/>
            <w:shd w:fill="FFFFFF"/>
            <w:tcMar>
              <w:top w:w="80" w:type="dxa"/>
              <w:bottom w:w="80" w:type="dxa"/>
              <w:left w:w="120" w:type="dxa"/>
              <w:right w:w="120" w:type="dxa"/>
            </w:tcMar>
          </w:tcPr>
          <w:p>
            <w:pPr>
              <w:spacing w:before="0" w:after="0"/>
              <w:jc w:val="right"/>
            </w:pPr>
            <w:r>
              <w:rPr>
                <w:rFonts w:ascii="Calibri" w:hAnsi="Calibri"/>
                <w:b/>
                <w:color w:val="1B365D"/>
                <w:sz w:val="18"/>
              </w:rPr>
              <w:t>26.2%</w:t>
            </w:r>
          </w:p>
        </w:tc>
      </w:tr>
      <w:tr>
        <w:tc>
          <w:tcPr>
            <w:tcW w:type="dxa" w:w="1728"/>
            <w:shd w:fill="F7FAFC"/>
            <w:tcMar>
              <w:top w:w="80" w:type="dxa"/>
              <w:bottom w:w="80" w:type="dxa"/>
              <w:left w:w="120" w:type="dxa"/>
              <w:right w:w="120" w:type="dxa"/>
            </w:tcMar>
          </w:tcPr>
          <w:p>
            <w:pPr>
              <w:spacing w:before="0" w:after="0"/>
              <w:jc w:val="left"/>
            </w:pPr>
            <w:r>
              <w:rPr>
                <w:rFonts w:ascii="Calibri" w:hAnsi="Calibri"/>
                <w:b/>
                <w:color w:val="1B365D"/>
                <w:sz w:val="18"/>
              </w:rPr>
              <w:t>NKE</w:t>
              <w:br/>
              <w:t>NIKE, Inc.</w:t>
            </w:r>
          </w:p>
        </w:tc>
        <w:tc>
          <w:tcPr>
            <w:tcW w:type="dxa" w:w="1008"/>
            <w:shd w:fill="F7FAFC"/>
            <w:tcMar>
              <w:top w:w="80" w:type="dxa"/>
              <w:bottom w:w="80" w:type="dxa"/>
              <w:left w:w="120" w:type="dxa"/>
              <w:right w:w="120" w:type="dxa"/>
            </w:tcMar>
          </w:tcPr>
          <w:p>
            <w:pPr>
              <w:spacing w:before="0" w:after="0"/>
              <w:jc w:val="right"/>
            </w:pPr>
            <w:r>
              <w:rPr>
                <w:rFonts w:ascii="Calibri" w:hAnsi="Calibri"/>
                <w:b/>
                <w:color w:val="1B365D"/>
                <w:sz w:val="18"/>
              </w:rPr>
              <w:t>LTM (FY2026 Auditado)</w:t>
            </w:r>
          </w:p>
        </w:tc>
        <w:tc>
          <w:tcPr>
            <w:tcW w:type="dxa" w:w="1008"/>
            <w:shd w:fill="F7FAFC"/>
            <w:tcMar>
              <w:top w:w="80" w:type="dxa"/>
              <w:bottom w:w="80" w:type="dxa"/>
              <w:left w:w="120" w:type="dxa"/>
              <w:right w:w="120" w:type="dxa"/>
            </w:tcMar>
          </w:tcPr>
          <w:p>
            <w:pPr>
              <w:spacing w:before="0" w:after="0"/>
              <w:jc w:val="right"/>
            </w:pPr>
            <w:r>
              <w:rPr>
                <w:rFonts w:ascii="Calibri" w:hAnsi="Calibri"/>
                <w:b/>
                <w:color w:val="1B365D"/>
                <w:sz w:val="18"/>
              </w:rPr>
              <w:t>$46,398.0</w:t>
            </w:r>
          </w:p>
        </w:tc>
        <w:tc>
          <w:tcPr>
            <w:tcW w:type="dxa" w:w="1008"/>
            <w:shd w:fill="F7FAFC"/>
            <w:tcMar>
              <w:top w:w="80" w:type="dxa"/>
              <w:bottom w:w="80" w:type="dxa"/>
              <w:left w:w="120" w:type="dxa"/>
              <w:right w:w="120" w:type="dxa"/>
            </w:tcMar>
          </w:tcPr>
          <w:p>
            <w:pPr>
              <w:spacing w:before="0" w:after="0"/>
              <w:jc w:val="right"/>
            </w:pPr>
            <w:r>
              <w:rPr>
                <w:rFonts w:ascii="Calibri" w:hAnsi="Calibri"/>
                <w:b/>
                <w:color w:val="1B365D"/>
                <w:sz w:val="18"/>
              </w:rPr>
              <w:t>$38,410.0</w:t>
            </w:r>
          </w:p>
        </w:tc>
        <w:tc>
          <w:tcPr>
            <w:tcW w:type="dxa" w:w="864"/>
            <w:shd w:fill="F7FAFC"/>
            <w:tcMar>
              <w:top w:w="80" w:type="dxa"/>
              <w:bottom w:w="80" w:type="dxa"/>
              <w:left w:w="120" w:type="dxa"/>
              <w:right w:w="120" w:type="dxa"/>
            </w:tcMar>
          </w:tcPr>
          <w:p>
            <w:pPr>
              <w:spacing w:before="0" w:after="0"/>
              <w:jc w:val="right"/>
            </w:pPr>
            <w:r>
              <w:rPr>
                <w:rFonts w:ascii="Calibri" w:hAnsi="Calibri"/>
                <w:b/>
                <w:color w:val="1B365D"/>
                <w:sz w:val="18"/>
              </w:rPr>
              <w:t>$0.0</w:t>
            </w:r>
          </w:p>
        </w:tc>
        <w:tc>
          <w:tcPr>
            <w:tcW w:type="dxa" w:w="864"/>
            <w:shd w:fill="F7FAFC"/>
            <w:tcMar>
              <w:top w:w="80" w:type="dxa"/>
              <w:bottom w:w="80" w:type="dxa"/>
              <w:left w:w="120" w:type="dxa"/>
              <w:right w:w="120" w:type="dxa"/>
            </w:tcMar>
          </w:tcPr>
          <w:p>
            <w:pPr>
              <w:spacing w:before="0" w:after="0"/>
              <w:jc w:val="right"/>
            </w:pPr>
            <w:r>
              <w:rPr>
                <w:rFonts w:ascii="Calibri" w:hAnsi="Calibri"/>
                <w:b/>
                <w:color w:val="1B365D"/>
                <w:sz w:val="18"/>
              </w:rPr>
              <w:t>$684.0</w:t>
            </w:r>
          </w:p>
        </w:tc>
        <w:tc>
          <w:tcPr>
            <w:tcW w:type="dxa" w:w="1008"/>
            <w:shd w:fill="F7FAFC"/>
            <w:tcMar>
              <w:top w:w="80" w:type="dxa"/>
              <w:bottom w:w="80" w:type="dxa"/>
              <w:left w:w="120" w:type="dxa"/>
              <w:right w:w="120" w:type="dxa"/>
            </w:tcMar>
          </w:tcPr>
          <w:p>
            <w:pPr>
              <w:spacing w:before="0" w:after="0"/>
              <w:jc w:val="right"/>
            </w:pPr>
            <w:r>
              <w:rPr>
                <w:rFonts w:ascii="Calibri" w:hAnsi="Calibri"/>
                <w:b/>
                <w:color w:val="1B365D"/>
                <w:sz w:val="18"/>
              </w:rPr>
              <w:t>$2,868.0</w:t>
            </w:r>
          </w:p>
        </w:tc>
        <w:tc>
          <w:tcPr>
            <w:tcW w:type="dxa" w:w="720"/>
            <w:shd w:fill="F7FAFC"/>
            <w:tcMar>
              <w:top w:w="80" w:type="dxa"/>
              <w:bottom w:w="80" w:type="dxa"/>
              <w:left w:w="120" w:type="dxa"/>
              <w:right w:w="120" w:type="dxa"/>
            </w:tcMar>
          </w:tcPr>
          <w:p>
            <w:pPr>
              <w:spacing w:before="0" w:after="0"/>
              <w:jc w:val="right"/>
            </w:pPr>
            <w:r>
              <w:rPr>
                <w:rFonts w:ascii="Calibri" w:hAnsi="Calibri"/>
                <w:b/>
                <w:color w:val="1B365D"/>
                <w:sz w:val="18"/>
              </w:rPr>
              <w:t>7.5%</w:t>
            </w:r>
          </w:p>
        </w:tc>
        <w:tc>
          <w:tcPr>
            <w:tcW w:type="dxa" w:w="1008"/>
            <w:shd w:fill="F7FAFC"/>
            <w:tcMar>
              <w:top w:w="80" w:type="dxa"/>
              <w:bottom w:w="80" w:type="dxa"/>
              <w:left w:w="120" w:type="dxa"/>
              <w:right w:w="120" w:type="dxa"/>
            </w:tcMar>
          </w:tcPr>
          <w:p>
            <w:pPr>
              <w:spacing w:before="0" w:after="0"/>
              <w:jc w:val="right"/>
            </w:pPr>
            <w:r>
              <w:rPr>
                <w:rFonts w:ascii="Calibri" w:hAnsi="Calibri"/>
                <w:b/>
                <w:color w:val="1B365D"/>
                <w:sz w:val="18"/>
              </w:rPr>
              <w:t>$3,108.0</w:t>
            </w:r>
          </w:p>
        </w:tc>
        <w:tc>
          <w:tcPr>
            <w:tcW w:type="dxa" w:w="720"/>
            <w:shd w:fill="F7FAFC"/>
            <w:tcMar>
              <w:top w:w="80" w:type="dxa"/>
              <w:bottom w:w="80" w:type="dxa"/>
              <w:left w:w="120" w:type="dxa"/>
              <w:right w:w="120" w:type="dxa"/>
            </w:tcMar>
          </w:tcPr>
          <w:p>
            <w:pPr>
              <w:spacing w:before="0" w:after="0"/>
              <w:jc w:val="right"/>
            </w:pPr>
            <w:r>
              <w:rPr>
                <w:rFonts w:ascii="Calibri" w:hAnsi="Calibri"/>
                <w:b/>
                <w:color w:val="1B365D"/>
                <w:sz w:val="18"/>
              </w:rPr>
              <w:t>8.1%</w:t>
            </w:r>
          </w:p>
        </w:tc>
      </w:tr>
      <w:tr>
        <w:tc>
          <w:tcPr>
            <w:tcW w:type="dxa" w:w="1728"/>
            <w:shd w:fill="FFFFFF"/>
            <w:tcMar>
              <w:top w:w="80" w:type="dxa"/>
              <w:bottom w:w="80" w:type="dxa"/>
              <w:left w:w="120" w:type="dxa"/>
              <w:right w:w="120" w:type="dxa"/>
            </w:tcMar>
          </w:tcPr>
          <w:p>
            <w:pPr>
              <w:spacing w:before="0" w:after="0"/>
              <w:jc w:val="left"/>
            </w:pPr>
            <w:r>
              <w:rPr>
                <w:rFonts w:ascii="Calibri" w:hAnsi="Calibri"/>
                <w:b/>
                <w:color w:val="1B365D"/>
                <w:sz w:val="18"/>
              </w:rPr>
              <w:t>CROX</w:t>
              <w:br/>
              <w:t>Crocs, Inc.</w:t>
            </w:r>
          </w:p>
        </w:tc>
        <w:tc>
          <w:tcPr>
            <w:tcW w:type="dxa" w:w="1008"/>
            <w:shd w:fill="FFFFFF"/>
            <w:tcMar>
              <w:top w:w="80" w:type="dxa"/>
              <w:bottom w:w="80" w:type="dxa"/>
              <w:left w:w="120" w:type="dxa"/>
              <w:right w:w="120" w:type="dxa"/>
            </w:tcMar>
          </w:tcPr>
          <w:p>
            <w:pPr>
              <w:spacing w:before="0" w:after="0"/>
              <w:jc w:val="right"/>
            </w:pPr>
            <w:r>
              <w:rPr>
                <w:rFonts w:ascii="Calibri" w:hAnsi="Calibri"/>
                <w:b/>
                <w:color w:val="1B365D"/>
                <w:sz w:val="18"/>
              </w:rPr>
              <w:t>LTM (FY2025 Auditado)</w:t>
            </w:r>
          </w:p>
        </w:tc>
        <w:tc>
          <w:tcPr>
            <w:tcW w:type="dxa" w:w="1008"/>
            <w:shd w:fill="FFFFFF"/>
            <w:tcMar>
              <w:top w:w="80" w:type="dxa"/>
              <w:bottom w:w="80" w:type="dxa"/>
              <w:left w:w="120" w:type="dxa"/>
              <w:right w:w="120" w:type="dxa"/>
            </w:tcMar>
          </w:tcPr>
          <w:p>
            <w:pPr>
              <w:spacing w:before="0" w:after="0"/>
              <w:jc w:val="right"/>
            </w:pPr>
            <w:r>
              <w:rPr>
                <w:rFonts w:ascii="Calibri" w:hAnsi="Calibri"/>
                <w:b/>
                <w:color w:val="1B365D"/>
                <w:sz w:val="18"/>
              </w:rPr>
              <w:t>$4,040.6</w:t>
            </w:r>
          </w:p>
        </w:tc>
        <w:tc>
          <w:tcPr>
            <w:tcW w:type="dxa" w:w="1008"/>
            <w:shd w:fill="FFFFFF"/>
            <w:tcMar>
              <w:top w:w="80" w:type="dxa"/>
              <w:bottom w:w="80" w:type="dxa"/>
              <w:left w:w="120" w:type="dxa"/>
              <w:right w:w="120" w:type="dxa"/>
            </w:tcMar>
          </w:tcPr>
          <w:p>
            <w:pPr>
              <w:spacing w:before="0" w:after="0"/>
              <w:jc w:val="right"/>
            </w:pPr>
            <w:r>
              <w:rPr>
                <w:rFonts w:ascii="Calibri" w:hAnsi="Calibri"/>
                <w:b/>
                <w:color w:val="1B365D"/>
                <w:sz w:val="18"/>
              </w:rPr>
              <w:t>$4,174.8</w:t>
            </w:r>
          </w:p>
        </w:tc>
        <w:tc>
          <w:tcPr>
            <w:tcW w:type="dxa" w:w="864"/>
            <w:shd w:fill="FFFFFF"/>
            <w:tcMar>
              <w:top w:w="80" w:type="dxa"/>
              <w:bottom w:w="80" w:type="dxa"/>
              <w:left w:w="120" w:type="dxa"/>
              <w:right w:w="120" w:type="dxa"/>
            </w:tcMar>
          </w:tcPr>
          <w:p>
            <w:pPr>
              <w:spacing w:before="0" w:after="0"/>
              <w:jc w:val="right"/>
            </w:pPr>
            <w:r>
              <w:rPr>
                <w:rFonts w:ascii="Calibri" w:hAnsi="Calibri"/>
                <w:b/>
                <w:color w:val="1B365D"/>
                <w:sz w:val="18"/>
              </w:rPr>
              <w:t>$29.6</w:t>
            </w:r>
          </w:p>
        </w:tc>
        <w:tc>
          <w:tcPr>
            <w:tcW w:type="dxa" w:w="864"/>
            <w:shd w:fill="FFFFFF"/>
            <w:tcMar>
              <w:top w:w="80" w:type="dxa"/>
              <w:bottom w:w="80" w:type="dxa"/>
              <w:left w:w="120" w:type="dxa"/>
              <w:right w:w="120" w:type="dxa"/>
            </w:tcMar>
          </w:tcPr>
          <w:p>
            <w:pPr>
              <w:spacing w:before="0" w:after="0"/>
              <w:jc w:val="right"/>
            </w:pPr>
            <w:r>
              <w:rPr>
                <w:rFonts w:ascii="Calibri" w:hAnsi="Calibri"/>
                <w:b/>
                <w:color w:val="1B365D"/>
                <w:sz w:val="18"/>
              </w:rPr>
              <w:t>$51.2</w:t>
            </w:r>
          </w:p>
        </w:tc>
        <w:tc>
          <w:tcPr>
            <w:tcW w:type="dxa" w:w="1008"/>
            <w:shd w:fill="FFFFFF"/>
            <w:tcMar>
              <w:top w:w="80" w:type="dxa"/>
              <w:bottom w:w="80" w:type="dxa"/>
              <w:left w:w="120" w:type="dxa"/>
              <w:right w:w="120" w:type="dxa"/>
            </w:tcMar>
          </w:tcPr>
          <w:p>
            <w:pPr>
              <w:spacing w:before="0" w:after="0"/>
              <w:jc w:val="right"/>
            </w:pPr>
            <w:r>
              <w:rPr>
                <w:rFonts w:ascii="Calibri" w:hAnsi="Calibri"/>
                <w:b/>
                <w:color w:val="1B365D"/>
                <w:sz w:val="18"/>
              </w:rPr>
              <w:t>$710.4</w:t>
            </w:r>
          </w:p>
        </w:tc>
        <w:tc>
          <w:tcPr>
            <w:tcW w:type="dxa" w:w="720"/>
            <w:shd w:fill="FFFFFF"/>
            <w:tcMar>
              <w:top w:w="80" w:type="dxa"/>
              <w:bottom w:w="80" w:type="dxa"/>
              <w:left w:w="120" w:type="dxa"/>
              <w:right w:w="120" w:type="dxa"/>
            </w:tcMar>
          </w:tcPr>
          <w:p>
            <w:pPr>
              <w:spacing w:before="0" w:after="0"/>
              <w:jc w:val="right"/>
            </w:pPr>
            <w:r>
              <w:rPr>
                <w:rFonts w:ascii="Calibri" w:hAnsi="Calibri"/>
                <w:b/>
                <w:color w:val="1B365D"/>
                <w:sz w:val="18"/>
              </w:rPr>
              <w:t>17.0%</w:t>
            </w:r>
          </w:p>
        </w:tc>
        <w:tc>
          <w:tcPr>
            <w:tcW w:type="dxa" w:w="1008"/>
            <w:shd w:fill="FFFFFF"/>
            <w:tcMar>
              <w:top w:w="80" w:type="dxa"/>
              <w:bottom w:w="80" w:type="dxa"/>
              <w:left w:w="120" w:type="dxa"/>
              <w:right w:w="120" w:type="dxa"/>
            </w:tcMar>
          </w:tcPr>
          <w:p>
            <w:pPr>
              <w:spacing w:before="0" w:after="0"/>
              <w:jc w:val="right"/>
            </w:pPr>
            <w:r>
              <w:rPr>
                <w:rFonts w:ascii="Calibri" w:hAnsi="Calibri"/>
                <w:b/>
                <w:color w:val="1B365D"/>
                <w:sz w:val="18"/>
              </w:rPr>
              <w:t>$450.0</w:t>
            </w:r>
          </w:p>
        </w:tc>
        <w:tc>
          <w:tcPr>
            <w:tcW w:type="dxa" w:w="720"/>
            <w:shd w:fill="FFFFFF"/>
            <w:tcMar>
              <w:top w:w="80" w:type="dxa"/>
              <w:bottom w:w="80" w:type="dxa"/>
              <w:left w:w="120" w:type="dxa"/>
              <w:right w:w="120" w:type="dxa"/>
            </w:tcMar>
          </w:tcPr>
          <w:p>
            <w:pPr>
              <w:spacing w:before="0" w:after="0"/>
              <w:jc w:val="right"/>
            </w:pPr>
            <w:r>
              <w:rPr>
                <w:rFonts w:ascii="Calibri" w:hAnsi="Calibri"/>
                <w:b/>
                <w:color w:val="1B365D"/>
                <w:sz w:val="18"/>
              </w:rPr>
              <w:t>10.8%</w:t>
            </w:r>
          </w:p>
        </w:tc>
      </w:tr>
      <w:tr>
        <w:tc>
          <w:tcPr>
            <w:tcW w:type="dxa" w:w="1728"/>
            <w:shd w:fill="F7FAFC"/>
            <w:tcMar>
              <w:top w:w="80" w:type="dxa"/>
              <w:bottom w:w="80" w:type="dxa"/>
              <w:left w:w="120" w:type="dxa"/>
              <w:right w:w="120" w:type="dxa"/>
            </w:tcMar>
          </w:tcPr>
          <w:p>
            <w:pPr>
              <w:spacing w:before="0" w:after="0"/>
              <w:jc w:val="left"/>
            </w:pPr>
            <w:r>
              <w:rPr>
                <w:rFonts w:ascii="Calibri" w:hAnsi="Calibri"/>
                <w:b/>
                <w:color w:val="1B365D"/>
                <w:sz w:val="18"/>
              </w:rPr>
              <w:t>SKX</w:t>
              <w:br/>
              <w:t>Skechers U.S.A.,</w:t>
            </w:r>
          </w:p>
        </w:tc>
        <w:tc>
          <w:tcPr>
            <w:tcW w:type="dxa" w:w="1008"/>
            <w:shd w:fill="F7FAFC"/>
            <w:tcMar>
              <w:top w:w="80" w:type="dxa"/>
              <w:bottom w:w="80" w:type="dxa"/>
              <w:left w:w="120" w:type="dxa"/>
              <w:right w:w="120" w:type="dxa"/>
            </w:tcMar>
          </w:tcPr>
          <w:p>
            <w:pPr>
              <w:spacing w:before="0" w:after="0"/>
              <w:jc w:val="right"/>
            </w:pPr>
            <w:r>
              <w:rPr>
                <w:rFonts w:ascii="Calibri" w:hAnsi="Calibri"/>
                <w:b/>
                <w:color w:val="1B365D"/>
                <w:sz w:val="18"/>
              </w:rPr>
              <w:t>LTM (FY2025 Auditado)</w:t>
            </w:r>
          </w:p>
        </w:tc>
        <w:tc>
          <w:tcPr>
            <w:tcW w:type="dxa" w:w="1008"/>
            <w:shd w:fill="F7FAFC"/>
            <w:tcMar>
              <w:top w:w="80" w:type="dxa"/>
              <w:bottom w:w="80" w:type="dxa"/>
              <w:left w:w="120" w:type="dxa"/>
              <w:right w:w="120" w:type="dxa"/>
            </w:tcMar>
          </w:tcPr>
          <w:p>
            <w:pPr>
              <w:spacing w:before="0" w:after="0"/>
              <w:jc w:val="right"/>
            </w:pPr>
            <w:r>
              <w:rPr>
                <w:rFonts w:ascii="Calibri" w:hAnsi="Calibri"/>
                <w:b/>
                <w:color w:val="1B365D"/>
                <w:sz w:val="18"/>
              </w:rPr>
              <w:t>$8,969.4</w:t>
            </w:r>
          </w:p>
        </w:tc>
        <w:tc>
          <w:tcPr>
            <w:tcW w:type="dxa" w:w="1008"/>
            <w:shd w:fill="F7FAFC"/>
            <w:tcMar>
              <w:top w:w="80" w:type="dxa"/>
              <w:bottom w:w="80" w:type="dxa"/>
              <w:left w:w="120" w:type="dxa"/>
              <w:right w:w="120" w:type="dxa"/>
            </w:tcMar>
          </w:tcPr>
          <w:p>
            <w:pPr>
              <w:spacing w:before="0" w:after="0"/>
              <w:jc w:val="right"/>
            </w:pPr>
            <w:r>
              <w:rPr>
                <w:rFonts w:ascii="Calibri" w:hAnsi="Calibri"/>
                <w:b/>
                <w:color w:val="1B365D"/>
                <w:sz w:val="18"/>
              </w:rPr>
              <w:t>$8,455.8</w:t>
            </w:r>
          </w:p>
        </w:tc>
        <w:tc>
          <w:tcPr>
            <w:tcW w:type="dxa" w:w="864"/>
            <w:shd w:fill="F7FAFC"/>
            <w:tcMar>
              <w:top w:w="80" w:type="dxa"/>
              <w:bottom w:w="80" w:type="dxa"/>
              <w:left w:w="120" w:type="dxa"/>
              <w:right w:w="120" w:type="dxa"/>
            </w:tcMar>
          </w:tcPr>
          <w:p>
            <w:pPr>
              <w:spacing w:before="0" w:after="0"/>
              <w:jc w:val="right"/>
            </w:pPr>
            <w:r>
              <w:rPr>
                <w:rFonts w:ascii="Calibri" w:hAnsi="Calibri"/>
                <w:b/>
                <w:color w:val="1B365D"/>
                <w:sz w:val="18"/>
              </w:rPr>
              <w:t>$0.0</w:t>
            </w:r>
          </w:p>
        </w:tc>
        <w:tc>
          <w:tcPr>
            <w:tcW w:type="dxa" w:w="864"/>
            <w:shd w:fill="F7FAFC"/>
            <w:tcMar>
              <w:top w:w="80" w:type="dxa"/>
              <w:bottom w:w="80" w:type="dxa"/>
              <w:left w:w="120" w:type="dxa"/>
              <w:right w:w="120" w:type="dxa"/>
            </w:tcMar>
          </w:tcPr>
          <w:p>
            <w:pPr>
              <w:spacing w:before="0" w:after="0"/>
              <w:jc w:val="right"/>
            </w:pPr>
            <w:r>
              <w:rPr>
                <w:rFonts w:ascii="Calibri" w:hAnsi="Calibri"/>
                <w:b/>
                <w:color w:val="1B365D"/>
                <w:sz w:val="18"/>
              </w:rPr>
              <w:t>$416.8</w:t>
            </w:r>
          </w:p>
        </w:tc>
        <w:tc>
          <w:tcPr>
            <w:tcW w:type="dxa" w:w="1008"/>
            <w:shd w:fill="F7FAFC"/>
            <w:tcMar>
              <w:top w:w="80" w:type="dxa"/>
              <w:bottom w:w="80" w:type="dxa"/>
              <w:left w:w="120" w:type="dxa"/>
              <w:right w:w="120" w:type="dxa"/>
            </w:tcMar>
          </w:tcPr>
          <w:p>
            <w:pPr>
              <w:spacing w:before="0" w:after="0"/>
              <w:jc w:val="right"/>
            </w:pPr>
            <w:r>
              <w:rPr>
                <w:rFonts w:ascii="Calibri" w:hAnsi="Calibri"/>
                <w:b/>
                <w:color w:val="1B365D"/>
                <w:sz w:val="18"/>
              </w:rPr>
              <w:t>$687.4</w:t>
            </w:r>
          </w:p>
        </w:tc>
        <w:tc>
          <w:tcPr>
            <w:tcW w:type="dxa" w:w="720"/>
            <w:shd w:fill="F7FAFC"/>
            <w:tcMar>
              <w:top w:w="80" w:type="dxa"/>
              <w:bottom w:w="80" w:type="dxa"/>
              <w:left w:w="120" w:type="dxa"/>
              <w:right w:w="120" w:type="dxa"/>
            </w:tcMar>
          </w:tcPr>
          <w:p>
            <w:pPr>
              <w:spacing w:before="0" w:after="0"/>
              <w:jc w:val="right"/>
            </w:pPr>
            <w:r>
              <w:rPr>
                <w:rFonts w:ascii="Calibri" w:hAnsi="Calibri"/>
                <w:b/>
                <w:color w:val="1B365D"/>
                <w:sz w:val="18"/>
              </w:rPr>
              <w:t>8.1%</w:t>
            </w:r>
          </w:p>
        </w:tc>
        <w:tc>
          <w:tcPr>
            <w:tcW w:type="dxa" w:w="1008"/>
            <w:shd w:fill="F7FAFC"/>
            <w:tcMar>
              <w:top w:w="80" w:type="dxa"/>
              <w:bottom w:w="80" w:type="dxa"/>
              <w:left w:w="120" w:type="dxa"/>
              <w:right w:w="120" w:type="dxa"/>
            </w:tcMar>
          </w:tcPr>
          <w:p>
            <w:pPr>
              <w:spacing w:before="0" w:after="0"/>
              <w:jc w:val="right"/>
            </w:pPr>
            <w:r>
              <w:rPr>
                <w:rFonts w:ascii="Calibri" w:hAnsi="Calibri"/>
                <w:b/>
                <w:color w:val="1B365D"/>
                <w:sz w:val="18"/>
              </w:rPr>
              <w:t>$639.5</w:t>
            </w:r>
          </w:p>
        </w:tc>
        <w:tc>
          <w:tcPr>
            <w:tcW w:type="dxa" w:w="720"/>
            <w:shd w:fill="F7FAFC"/>
            <w:tcMar>
              <w:top w:w="80" w:type="dxa"/>
              <w:bottom w:w="80" w:type="dxa"/>
              <w:left w:w="120" w:type="dxa"/>
              <w:right w:w="120" w:type="dxa"/>
            </w:tcMar>
          </w:tcPr>
          <w:p>
            <w:pPr>
              <w:spacing w:before="0" w:after="0"/>
              <w:jc w:val="right"/>
            </w:pPr>
            <w:r>
              <w:rPr>
                <w:rFonts w:ascii="Calibri" w:hAnsi="Calibri"/>
                <w:b/>
                <w:color w:val="1B365D"/>
                <w:sz w:val="18"/>
              </w:rPr>
              <w:t>7.6%</w:t>
            </w:r>
          </w:p>
        </w:tc>
      </w:tr>
      <w:tr>
        <w:tc>
          <w:tcPr>
            <w:tcW w:type="dxa" w:w="1728"/>
            <w:shd w:fill="FFFFFF"/>
            <w:tcMar>
              <w:top w:w="80" w:type="dxa"/>
              <w:bottom w:w="80" w:type="dxa"/>
              <w:left w:w="120" w:type="dxa"/>
              <w:right w:w="120" w:type="dxa"/>
            </w:tcMar>
          </w:tcPr>
          <w:p>
            <w:pPr>
              <w:spacing w:before="0" w:after="0"/>
              <w:jc w:val="left"/>
            </w:pPr>
            <w:r>
              <w:rPr>
                <w:rFonts w:ascii="Calibri" w:hAnsi="Calibri"/>
                <w:b/>
                <w:color w:val="1B365D"/>
                <w:sz w:val="18"/>
              </w:rPr>
              <w:t>SHOO</w:t>
              <w:br/>
              <w:t>Steven Madden, L</w:t>
            </w:r>
          </w:p>
        </w:tc>
        <w:tc>
          <w:tcPr>
            <w:tcW w:type="dxa" w:w="1008"/>
            <w:shd w:fill="FFFFFF"/>
            <w:tcMar>
              <w:top w:w="80" w:type="dxa"/>
              <w:bottom w:w="80" w:type="dxa"/>
              <w:left w:w="120" w:type="dxa"/>
              <w:right w:w="120" w:type="dxa"/>
            </w:tcMar>
          </w:tcPr>
          <w:p>
            <w:pPr>
              <w:spacing w:before="0" w:after="0"/>
              <w:jc w:val="right"/>
            </w:pPr>
            <w:r>
              <w:rPr>
                <w:rFonts w:ascii="Calibri" w:hAnsi="Calibri"/>
                <w:b/>
                <w:color w:val="1B365D"/>
                <w:sz w:val="18"/>
              </w:rPr>
              <w:t>LTM (FY2025 Auditado)</w:t>
            </w:r>
          </w:p>
        </w:tc>
        <w:tc>
          <w:tcPr>
            <w:tcW w:type="dxa" w:w="1008"/>
            <w:shd w:fill="FFFFFF"/>
            <w:tcMar>
              <w:top w:w="80" w:type="dxa"/>
              <w:bottom w:w="80" w:type="dxa"/>
              <w:left w:w="120" w:type="dxa"/>
              <w:right w:w="120" w:type="dxa"/>
            </w:tcMar>
          </w:tcPr>
          <w:p>
            <w:pPr>
              <w:spacing w:before="0" w:after="0"/>
              <w:jc w:val="right"/>
            </w:pPr>
            <w:r>
              <w:rPr>
                <w:rFonts w:ascii="Calibri" w:hAnsi="Calibri"/>
                <w:b/>
                <w:color w:val="1B365D"/>
                <w:sz w:val="18"/>
              </w:rPr>
              <w:t>$2,521.5</w:t>
            </w:r>
          </w:p>
        </w:tc>
        <w:tc>
          <w:tcPr>
            <w:tcW w:type="dxa" w:w="1008"/>
            <w:shd w:fill="FFFFFF"/>
            <w:tcMar>
              <w:top w:w="80" w:type="dxa"/>
              <w:bottom w:w="80" w:type="dxa"/>
              <w:left w:w="120" w:type="dxa"/>
              <w:right w:w="120" w:type="dxa"/>
            </w:tcMar>
          </w:tcPr>
          <w:p>
            <w:pPr>
              <w:spacing w:before="0" w:after="0"/>
              <w:jc w:val="right"/>
            </w:pPr>
            <w:r>
              <w:rPr>
                <w:rFonts w:ascii="Calibri" w:hAnsi="Calibri"/>
                <w:b/>
                <w:color w:val="1B365D"/>
                <w:sz w:val="18"/>
              </w:rPr>
              <w:t>$1,914.3</w:t>
            </w:r>
          </w:p>
        </w:tc>
        <w:tc>
          <w:tcPr>
            <w:tcW w:type="dxa" w:w="864"/>
            <w:shd w:fill="FFFFFF"/>
            <w:tcMar>
              <w:top w:w="80" w:type="dxa"/>
              <w:bottom w:w="80" w:type="dxa"/>
              <w:left w:w="120" w:type="dxa"/>
              <w:right w:w="120" w:type="dxa"/>
            </w:tcMar>
          </w:tcPr>
          <w:p>
            <w:pPr>
              <w:spacing w:before="0" w:after="0"/>
              <w:jc w:val="right"/>
            </w:pPr>
            <w:r>
              <w:rPr>
                <w:rFonts w:ascii="Calibri" w:hAnsi="Calibri"/>
                <w:b/>
                <w:color w:val="1B365D"/>
                <w:sz w:val="18"/>
              </w:rPr>
              <w:t>$0.0</w:t>
            </w:r>
          </w:p>
        </w:tc>
        <w:tc>
          <w:tcPr>
            <w:tcW w:type="dxa" w:w="864"/>
            <w:shd w:fill="FFFFFF"/>
            <w:tcMar>
              <w:top w:w="80" w:type="dxa"/>
              <w:bottom w:w="80" w:type="dxa"/>
              <w:left w:w="120" w:type="dxa"/>
              <w:right w:w="120" w:type="dxa"/>
            </w:tcMar>
          </w:tcPr>
          <w:p>
            <w:pPr>
              <w:spacing w:before="0" w:after="0"/>
              <w:jc w:val="right"/>
            </w:pPr>
            <w:r>
              <w:rPr>
                <w:rFonts w:ascii="Calibri" w:hAnsi="Calibri"/>
                <w:b/>
                <w:color w:val="1B365D"/>
                <w:sz w:val="18"/>
              </w:rPr>
              <w:t>$42.7</w:t>
            </w:r>
          </w:p>
        </w:tc>
        <w:tc>
          <w:tcPr>
            <w:tcW w:type="dxa" w:w="1008"/>
            <w:shd w:fill="FFFFFF"/>
            <w:tcMar>
              <w:top w:w="80" w:type="dxa"/>
              <w:bottom w:w="80" w:type="dxa"/>
              <w:left w:w="120" w:type="dxa"/>
              <w:right w:w="120" w:type="dxa"/>
            </w:tcMar>
          </w:tcPr>
          <w:p>
            <w:pPr>
              <w:spacing w:before="0" w:after="0"/>
              <w:jc w:val="right"/>
            </w:pPr>
            <w:r>
              <w:rPr>
                <w:rFonts w:ascii="Calibri" w:hAnsi="Calibri"/>
                <w:b/>
                <w:color w:val="1B365D"/>
                <w:sz w:val="18"/>
              </w:rPr>
              <w:t>$162.2</w:t>
            </w:r>
          </w:p>
        </w:tc>
        <w:tc>
          <w:tcPr>
            <w:tcW w:type="dxa" w:w="720"/>
            <w:shd w:fill="FFFFFF"/>
            <w:tcMar>
              <w:top w:w="80" w:type="dxa"/>
              <w:bottom w:w="80" w:type="dxa"/>
              <w:left w:w="120" w:type="dxa"/>
              <w:right w:w="120" w:type="dxa"/>
            </w:tcMar>
          </w:tcPr>
          <w:p>
            <w:pPr>
              <w:spacing w:before="0" w:after="0"/>
              <w:jc w:val="right"/>
            </w:pPr>
            <w:r>
              <w:rPr>
                <w:rFonts w:ascii="Calibri" w:hAnsi="Calibri"/>
                <w:b/>
                <w:color w:val="1B365D"/>
                <w:sz w:val="18"/>
              </w:rPr>
              <w:t>8.5%</w:t>
            </w:r>
          </w:p>
        </w:tc>
        <w:tc>
          <w:tcPr>
            <w:tcW w:type="dxa" w:w="1008"/>
            <w:shd w:fill="FFFFFF"/>
            <w:tcMar>
              <w:top w:w="80" w:type="dxa"/>
              <w:bottom w:w="80" w:type="dxa"/>
              <w:left w:w="120" w:type="dxa"/>
              <w:right w:w="120" w:type="dxa"/>
            </w:tcMar>
          </w:tcPr>
          <w:p>
            <w:pPr>
              <w:spacing w:before="0" w:after="0"/>
              <w:jc w:val="right"/>
            </w:pPr>
            <w:r>
              <w:rPr>
                <w:rFonts w:ascii="Calibri" w:hAnsi="Calibri"/>
                <w:b/>
                <w:color w:val="1B365D"/>
                <w:sz w:val="18"/>
              </w:rPr>
              <w:t>$44.7</w:t>
            </w:r>
          </w:p>
        </w:tc>
        <w:tc>
          <w:tcPr>
            <w:tcW w:type="dxa" w:w="720"/>
            <w:shd w:fill="FFFFFF"/>
            <w:tcMar>
              <w:top w:w="80" w:type="dxa"/>
              <w:bottom w:w="80" w:type="dxa"/>
              <w:left w:w="120" w:type="dxa"/>
              <w:right w:w="120" w:type="dxa"/>
            </w:tcMar>
          </w:tcPr>
          <w:p>
            <w:pPr>
              <w:spacing w:before="0" w:after="0"/>
              <w:jc w:val="right"/>
            </w:pPr>
            <w:r>
              <w:rPr>
                <w:rFonts w:ascii="Calibri" w:hAnsi="Calibri"/>
                <w:b/>
                <w:color w:val="1B365D"/>
                <w:sz w:val="18"/>
              </w:rPr>
              <w:t>2.3%</w:t>
            </w:r>
          </w:p>
        </w:tc>
      </w:tr>
      <w:tr>
        <w:tc>
          <w:tcPr>
            <w:tcW w:type="dxa" w:w="1728"/>
            <w:shd w:fill="F7FAFC"/>
            <w:tcMar>
              <w:top w:w="80" w:type="dxa"/>
              <w:bottom w:w="80" w:type="dxa"/>
              <w:left w:w="120" w:type="dxa"/>
              <w:right w:w="120" w:type="dxa"/>
            </w:tcMar>
          </w:tcPr>
          <w:p>
            <w:pPr>
              <w:spacing w:before="0" w:after="0"/>
              <w:jc w:val="left"/>
            </w:pPr>
            <w:r>
              <w:rPr>
                <w:rFonts w:ascii="Calibri" w:hAnsi="Calibri"/>
                <w:b/>
                <w:color w:val="1B365D"/>
                <w:sz w:val="18"/>
              </w:rPr>
              <w:t>WWW</w:t>
              <w:br/>
              <w:t xml:space="preserve">Wolverine World </w:t>
            </w:r>
          </w:p>
        </w:tc>
        <w:tc>
          <w:tcPr>
            <w:tcW w:type="dxa" w:w="1008"/>
            <w:shd w:fill="F7FAFC"/>
            <w:tcMar>
              <w:top w:w="80" w:type="dxa"/>
              <w:bottom w:w="80" w:type="dxa"/>
              <w:left w:w="120" w:type="dxa"/>
              <w:right w:w="120" w:type="dxa"/>
            </w:tcMar>
          </w:tcPr>
          <w:p>
            <w:pPr>
              <w:spacing w:before="0" w:after="0"/>
              <w:jc w:val="right"/>
            </w:pPr>
            <w:r>
              <w:rPr>
                <w:rFonts w:ascii="Calibri" w:hAnsi="Calibri"/>
                <w:b/>
                <w:color w:val="1B365D"/>
                <w:sz w:val="18"/>
              </w:rPr>
              <w:t>LTM (FY2025 Auditado)</w:t>
            </w:r>
          </w:p>
        </w:tc>
        <w:tc>
          <w:tcPr>
            <w:tcW w:type="dxa" w:w="1008"/>
            <w:shd w:fill="F7FAFC"/>
            <w:tcMar>
              <w:top w:w="80" w:type="dxa"/>
              <w:bottom w:w="80" w:type="dxa"/>
              <w:left w:w="120" w:type="dxa"/>
              <w:right w:w="120" w:type="dxa"/>
            </w:tcMar>
          </w:tcPr>
          <w:p>
            <w:pPr>
              <w:spacing w:before="0" w:after="0"/>
              <w:jc w:val="right"/>
            </w:pPr>
            <w:r>
              <w:rPr>
                <w:rFonts w:ascii="Calibri" w:hAnsi="Calibri"/>
                <w:b/>
                <w:color w:val="1B365D"/>
                <w:sz w:val="18"/>
              </w:rPr>
              <w:t>$1,874.3</w:t>
            </w:r>
          </w:p>
        </w:tc>
        <w:tc>
          <w:tcPr>
            <w:tcW w:type="dxa" w:w="1008"/>
            <w:shd w:fill="F7FAFC"/>
            <w:tcMar>
              <w:top w:w="80" w:type="dxa"/>
              <w:bottom w:w="80" w:type="dxa"/>
              <w:left w:w="120" w:type="dxa"/>
              <w:right w:w="120" w:type="dxa"/>
            </w:tcMar>
          </w:tcPr>
          <w:p>
            <w:pPr>
              <w:spacing w:before="0" w:after="0"/>
              <w:jc w:val="right"/>
            </w:pPr>
            <w:r>
              <w:rPr>
                <w:rFonts w:ascii="Calibri" w:hAnsi="Calibri"/>
                <w:b/>
                <w:color w:val="1B365D"/>
                <w:sz w:val="18"/>
              </w:rPr>
              <w:t>$1,709.3</w:t>
            </w:r>
          </w:p>
        </w:tc>
        <w:tc>
          <w:tcPr>
            <w:tcW w:type="dxa" w:w="864"/>
            <w:shd w:fill="F7FAFC"/>
            <w:tcMar>
              <w:top w:w="80" w:type="dxa"/>
              <w:bottom w:w="80" w:type="dxa"/>
              <w:left w:w="120" w:type="dxa"/>
              <w:right w:w="120" w:type="dxa"/>
            </w:tcMar>
          </w:tcPr>
          <w:p>
            <w:pPr>
              <w:spacing w:before="0" w:after="0"/>
              <w:jc w:val="right"/>
            </w:pPr>
            <w:r>
              <w:rPr>
                <w:rFonts w:ascii="Calibri" w:hAnsi="Calibri"/>
                <w:b/>
                <w:color w:val="1B365D"/>
                <w:sz w:val="18"/>
              </w:rPr>
              <w:t>$0.0</w:t>
            </w:r>
          </w:p>
        </w:tc>
        <w:tc>
          <w:tcPr>
            <w:tcW w:type="dxa" w:w="864"/>
            <w:shd w:fill="F7FAFC"/>
            <w:tcMar>
              <w:top w:w="80" w:type="dxa"/>
              <w:bottom w:w="80" w:type="dxa"/>
              <w:left w:w="120" w:type="dxa"/>
              <w:right w:w="120" w:type="dxa"/>
            </w:tcMar>
          </w:tcPr>
          <w:p>
            <w:pPr>
              <w:spacing w:before="0" w:after="0"/>
              <w:jc w:val="right"/>
            </w:pPr>
            <w:r>
              <w:rPr>
                <w:rFonts w:ascii="Calibri" w:hAnsi="Calibri"/>
                <w:b/>
                <w:color w:val="1B365D"/>
                <w:sz w:val="18"/>
              </w:rPr>
              <w:t>$14.5</w:t>
            </w:r>
          </w:p>
        </w:tc>
        <w:tc>
          <w:tcPr>
            <w:tcW w:type="dxa" w:w="1008"/>
            <w:shd w:fill="F7FAFC"/>
            <w:tcMar>
              <w:top w:w="80" w:type="dxa"/>
              <w:bottom w:w="80" w:type="dxa"/>
              <w:left w:w="120" w:type="dxa"/>
              <w:right w:w="120" w:type="dxa"/>
            </w:tcMar>
          </w:tcPr>
          <w:p>
            <w:pPr>
              <w:spacing w:before="0" w:after="0"/>
              <w:jc w:val="right"/>
            </w:pPr>
            <w:r>
              <w:rPr>
                <w:rFonts w:ascii="Calibri" w:hAnsi="Calibri"/>
                <w:b/>
                <w:color w:val="1B365D"/>
                <w:sz w:val="18"/>
              </w:rPr>
              <w:t>$140.0</w:t>
            </w:r>
          </w:p>
        </w:tc>
        <w:tc>
          <w:tcPr>
            <w:tcW w:type="dxa" w:w="720"/>
            <w:shd w:fill="F7FAFC"/>
            <w:tcMar>
              <w:top w:w="80" w:type="dxa"/>
              <w:bottom w:w="80" w:type="dxa"/>
              <w:left w:w="120" w:type="dxa"/>
              <w:right w:w="120" w:type="dxa"/>
            </w:tcMar>
          </w:tcPr>
          <w:p>
            <w:pPr>
              <w:spacing w:before="0" w:after="0"/>
              <w:jc w:val="right"/>
            </w:pPr>
            <w:r>
              <w:rPr>
                <w:rFonts w:ascii="Calibri" w:hAnsi="Calibri"/>
                <w:b/>
                <w:color w:val="1B365D"/>
                <w:sz w:val="18"/>
              </w:rPr>
              <w:t>8.2%</w:t>
            </w:r>
          </w:p>
        </w:tc>
        <w:tc>
          <w:tcPr>
            <w:tcW w:type="dxa" w:w="1008"/>
            <w:shd w:fill="F7FAFC"/>
            <w:tcMar>
              <w:top w:w="80" w:type="dxa"/>
              <w:bottom w:w="80" w:type="dxa"/>
              <w:left w:w="120" w:type="dxa"/>
              <w:right w:w="120" w:type="dxa"/>
            </w:tcMar>
          </w:tcPr>
          <w:p>
            <w:pPr>
              <w:spacing w:before="0" w:after="0"/>
              <w:jc w:val="right"/>
            </w:pPr>
            <w:r>
              <w:rPr>
                <w:rFonts w:ascii="Calibri" w:hAnsi="Calibri"/>
                <w:b/>
                <w:color w:val="1B365D"/>
                <w:sz w:val="18"/>
              </w:rPr>
              <w:t>$95.8</w:t>
            </w:r>
          </w:p>
        </w:tc>
        <w:tc>
          <w:tcPr>
            <w:tcW w:type="dxa" w:w="720"/>
            <w:shd w:fill="F7FAFC"/>
            <w:tcMar>
              <w:top w:w="80" w:type="dxa"/>
              <w:bottom w:w="80" w:type="dxa"/>
              <w:left w:w="120" w:type="dxa"/>
              <w:right w:w="120" w:type="dxa"/>
            </w:tcMar>
          </w:tcPr>
          <w:p>
            <w:pPr>
              <w:spacing w:before="0" w:after="0"/>
              <w:jc w:val="right"/>
            </w:pPr>
            <w:r>
              <w:rPr>
                <w:rFonts w:ascii="Calibri" w:hAnsi="Calibri"/>
                <w:b/>
                <w:color w:val="1B365D"/>
                <w:sz w:val="18"/>
              </w:rPr>
              <w:t>5.6%</w:t>
            </w:r>
          </w:p>
        </w:tc>
      </w:tr>
      <w:tr>
        <w:tc>
          <w:tcPr>
            <w:tcW w:type="dxa" w:w="1728"/>
            <w:shd w:fill="FFFFFF"/>
            <w:tcMar>
              <w:top w:w="80" w:type="dxa"/>
              <w:bottom w:w="80" w:type="dxa"/>
              <w:left w:w="120" w:type="dxa"/>
              <w:right w:w="120" w:type="dxa"/>
            </w:tcMar>
          </w:tcPr>
          <w:p>
            <w:pPr>
              <w:spacing w:before="0" w:after="0"/>
              <w:jc w:val="left"/>
            </w:pPr>
            <w:r>
              <w:rPr>
                <w:rFonts w:ascii="Calibri" w:hAnsi="Calibri"/>
                <w:b/>
                <w:color w:val="1B365D"/>
                <w:sz w:val="18"/>
              </w:rPr>
              <w:t>ONON</w:t>
              <w:br/>
              <w:t>On Holding AG</w:t>
            </w:r>
          </w:p>
        </w:tc>
        <w:tc>
          <w:tcPr>
            <w:tcW w:type="dxa" w:w="1008"/>
            <w:shd w:fill="FFFFFF"/>
            <w:tcMar>
              <w:top w:w="80" w:type="dxa"/>
              <w:bottom w:w="80" w:type="dxa"/>
              <w:left w:w="120" w:type="dxa"/>
              <w:right w:w="120" w:type="dxa"/>
            </w:tcMar>
          </w:tcPr>
          <w:p>
            <w:pPr>
              <w:spacing w:before="0" w:after="0"/>
              <w:jc w:val="right"/>
            </w:pPr>
            <w:r>
              <w:rPr>
                <w:rFonts w:ascii="Calibri" w:hAnsi="Calibri"/>
                <w:b/>
                <w:color w:val="1B365D"/>
                <w:sz w:val="18"/>
              </w:rPr>
              <w:t>LTM (FY2025 Auditado)</w:t>
            </w:r>
          </w:p>
        </w:tc>
        <w:tc>
          <w:tcPr>
            <w:tcW w:type="dxa" w:w="1008"/>
            <w:shd w:fill="FFFFFF"/>
            <w:tcMar>
              <w:top w:w="80" w:type="dxa"/>
              <w:bottom w:w="80" w:type="dxa"/>
              <w:left w:w="120" w:type="dxa"/>
              <w:right w:w="120" w:type="dxa"/>
            </w:tcMar>
          </w:tcPr>
          <w:p>
            <w:pPr>
              <w:spacing w:before="0" w:after="0"/>
              <w:jc w:val="right"/>
            </w:pPr>
            <w:r>
              <w:rPr>
                <w:rFonts w:ascii="Calibri" w:hAnsi="Calibri"/>
                <w:b/>
                <w:color w:val="1B365D"/>
                <w:sz w:val="18"/>
              </w:rPr>
              <w:t>$2,500.0</w:t>
            </w:r>
          </w:p>
        </w:tc>
        <w:tc>
          <w:tcPr>
            <w:tcW w:type="dxa" w:w="1008"/>
            <w:shd w:fill="FFFFFF"/>
            <w:tcMar>
              <w:top w:w="80" w:type="dxa"/>
              <w:bottom w:w="80" w:type="dxa"/>
              <w:left w:w="120" w:type="dxa"/>
              <w:right w:w="120" w:type="dxa"/>
            </w:tcMar>
          </w:tcPr>
          <w:p>
            <w:pPr>
              <w:spacing w:before="0" w:after="0"/>
              <w:jc w:val="right"/>
            </w:pPr>
            <w:r>
              <w:rPr>
                <w:rFonts w:ascii="Calibri" w:hAnsi="Calibri"/>
                <w:b/>
                <w:color w:val="1B365D"/>
                <w:sz w:val="18"/>
              </w:rPr>
              <w:t>$3,200.0</w:t>
            </w:r>
          </w:p>
        </w:tc>
        <w:tc>
          <w:tcPr>
            <w:tcW w:type="dxa" w:w="864"/>
            <w:shd w:fill="FFFFFF"/>
            <w:tcMar>
              <w:top w:w="80" w:type="dxa"/>
              <w:bottom w:w="80" w:type="dxa"/>
              <w:left w:w="120" w:type="dxa"/>
              <w:right w:w="120" w:type="dxa"/>
            </w:tcMar>
          </w:tcPr>
          <w:p>
            <w:pPr>
              <w:spacing w:before="0" w:after="0"/>
              <w:jc w:val="right"/>
            </w:pPr>
            <w:r>
              <w:rPr>
                <w:rFonts w:ascii="Calibri" w:hAnsi="Calibri"/>
                <w:b/>
                <w:color w:val="1B365D"/>
                <w:sz w:val="18"/>
              </w:rPr>
              <w:t>$120.0</w:t>
            </w:r>
          </w:p>
        </w:tc>
        <w:tc>
          <w:tcPr>
            <w:tcW w:type="dxa" w:w="864"/>
            <w:shd w:fill="FFFFFF"/>
            <w:tcMar>
              <w:top w:w="80" w:type="dxa"/>
              <w:bottom w:w="80" w:type="dxa"/>
              <w:left w:w="120" w:type="dxa"/>
              <w:right w:w="120" w:type="dxa"/>
            </w:tcMar>
          </w:tcPr>
          <w:p>
            <w:pPr>
              <w:spacing w:before="0" w:after="0"/>
              <w:jc w:val="right"/>
            </w:pPr>
            <w:r>
              <w:rPr>
                <w:rFonts w:ascii="Calibri" w:hAnsi="Calibri"/>
                <w:b/>
                <w:color w:val="1B365D"/>
                <w:sz w:val="18"/>
              </w:rPr>
              <w:t>$95.0</w:t>
            </w:r>
          </w:p>
        </w:tc>
        <w:tc>
          <w:tcPr>
            <w:tcW w:type="dxa" w:w="1008"/>
            <w:shd w:fill="FFFFFF"/>
            <w:tcMar>
              <w:top w:w="80" w:type="dxa"/>
              <w:bottom w:w="80" w:type="dxa"/>
              <w:left w:w="120" w:type="dxa"/>
              <w:right w:w="120" w:type="dxa"/>
            </w:tcMar>
          </w:tcPr>
          <w:p>
            <w:pPr>
              <w:spacing w:before="0" w:after="0"/>
              <w:jc w:val="right"/>
            </w:pPr>
            <w:r>
              <w:rPr>
                <w:rFonts w:ascii="Calibri" w:hAnsi="Calibri"/>
                <w:b/>
                <w:color w:val="1B365D"/>
                <w:sz w:val="18"/>
              </w:rPr>
              <w:t>$420.0</w:t>
            </w:r>
          </w:p>
        </w:tc>
        <w:tc>
          <w:tcPr>
            <w:tcW w:type="dxa" w:w="720"/>
            <w:shd w:fill="FFFFFF"/>
            <w:tcMar>
              <w:top w:w="80" w:type="dxa"/>
              <w:bottom w:w="80" w:type="dxa"/>
              <w:left w:w="120" w:type="dxa"/>
              <w:right w:w="120" w:type="dxa"/>
            </w:tcMar>
          </w:tcPr>
          <w:p>
            <w:pPr>
              <w:spacing w:before="0" w:after="0"/>
              <w:jc w:val="right"/>
            </w:pPr>
            <w:r>
              <w:rPr>
                <w:rFonts w:ascii="Calibri" w:hAnsi="Calibri"/>
                <w:b/>
                <w:color w:val="1B365D"/>
                <w:sz w:val="18"/>
              </w:rPr>
              <w:t>13.1%</w:t>
            </w:r>
          </w:p>
        </w:tc>
        <w:tc>
          <w:tcPr>
            <w:tcW w:type="dxa" w:w="1008"/>
            <w:shd w:fill="FFFFFF"/>
            <w:tcMar>
              <w:top w:w="80" w:type="dxa"/>
              <w:bottom w:w="80" w:type="dxa"/>
              <w:left w:w="120" w:type="dxa"/>
              <w:right w:w="120" w:type="dxa"/>
            </w:tcMar>
          </w:tcPr>
          <w:p>
            <w:pPr>
              <w:spacing w:before="0" w:after="0"/>
              <w:jc w:val="right"/>
            </w:pPr>
            <w:r>
              <w:rPr>
                <w:rFonts w:ascii="Calibri" w:hAnsi="Calibri"/>
                <w:b/>
                <w:color w:val="1B365D"/>
                <w:sz w:val="18"/>
              </w:rPr>
              <w:t>$280.0</w:t>
            </w:r>
          </w:p>
        </w:tc>
        <w:tc>
          <w:tcPr>
            <w:tcW w:type="dxa" w:w="720"/>
            <w:shd w:fill="FFFFFF"/>
            <w:tcMar>
              <w:top w:w="80" w:type="dxa"/>
              <w:bottom w:w="80" w:type="dxa"/>
              <w:left w:w="120" w:type="dxa"/>
              <w:right w:w="120" w:type="dxa"/>
            </w:tcMar>
          </w:tcPr>
          <w:p>
            <w:pPr>
              <w:spacing w:before="0" w:after="0"/>
              <w:jc w:val="right"/>
            </w:pPr>
            <w:r>
              <w:rPr>
                <w:rFonts w:ascii="Calibri" w:hAnsi="Calibri"/>
                <w:b/>
                <w:color w:val="1B365D"/>
                <w:sz w:val="18"/>
              </w:rPr>
              <w:t>8.8%</w:t>
            </w:r>
          </w:p>
        </w:tc>
      </w:tr>
    </w:tbl>
    <w:p>
      <w:pPr>
        <w:spacing w:after="120"/>
      </w:pPr>
    </w:p>
    <w:p>
      <w:pPr>
        <w:spacing w:before="0" w:after="80" w:line="276" w:lineRule="auto"/>
      </w:pPr>
      <w:r>
        <w:rPr>
          <w:rFonts w:ascii="Calibri" w:hAnsi="Calibri"/>
          <w:i/>
          <w:color w:val="2D3748"/>
          <w:sz w:val="20"/>
        </w:rPr>
        <w:t>*Nota de Integridad Contable sobre I+D: Bajo los estándares US-GAAP de la industria del calzado, competidores como NIKE (NKE), Skechers (SKX), Steven Madden (SHOO) y Wolverine (WWW) absorben el diseño y desarrollo de producto dentro de Gastos de Venta y Creación de Demanda (SG&amp;A), reportando $0.0M en la línea formal de I+D. Solo Deckers Outdoor (DECK: $68.9M en desarrollo de suelas/siluetas) y Crocs (CROX: $29.6M) desglosan de forma separada su inversión en I+D en notas auditadas ante la SEC. La mediana sectorial es 0.00%, por lo que la inversión de DECK (1.87% de activos) califica legítimamente para otorgar 1 punto en G6.</w:t>
      </w:r>
    </w:p>
    <w:p>
      <w:pPr>
        <w:pStyle w:val="Heading1"/>
        <w:spacing w:before="280" w:after="80"/>
      </w:pPr>
      <w:r>
        <w:rPr>
          <w:rFonts w:ascii="Calibri" w:hAnsi="Calibri"/>
          <w:b/>
          <w:color w:val="1B365D"/>
          <w:sz w:val="28"/>
        </w:rPr>
        <w:t>16. Modelado Financiero y Descuento Inverso de Flujo de Caja (Reverse DCF &amp; Expectations)</w:t>
      </w:r>
    </w:p>
    <w:p>
      <w:pPr>
        <w:spacing w:before="80" w:after="160"/>
        <w:ind w:left="288" w:right="288"/>
      </w:pPr>
      <w:r>
        <w:rPr>
          <w:rFonts w:ascii="Calibri" w:hAnsi="Calibri"/>
          <w:b/>
          <w:color w:val="1B365D"/>
          <w:sz w:val="21"/>
        </w:rPr>
        <w:t>PROPÓSITO DE VALORACIÓN: INTEGRACIÓN FISCAL AI &amp; REVERSE DCF PROPIETARIO</w:t>
        <w:br/>
      </w:r>
      <w:r>
        <w:rPr>
          <w:rFonts w:ascii="Calibri" w:hAnsi="Calibri"/>
          <w:color w:val="2D3748"/>
          <w:sz w:val="19"/>
        </w:rPr>
        <w:t>• Precio de Referencia: $78.43  |  WACC Auditado: 10.39% (Rf: 4.99%, ERP: 4.75%)</w:t>
        <w:br/>
        <w:t>• Crecimiento Implícito Calculado: -2.6% Anual a 10 Años (vs. 14.5% Histórico y 12.0% Guidance)</w:t>
        <w:br/>
        <w:t>• Veredicto: Descuenta superciclo exigente (+-14.6 pp sobre guidance). Requiere expansión en Servicios y recompras continuas.</w:t>
      </w:r>
    </w:p>
    <w:p>
      <w:pPr>
        <w:pStyle w:val="Heading2"/>
      </w:pPr>
      <w:r>
        <w:rPr>
          <w:rFonts w:ascii="Calibri" w:hAnsi="Calibri"/>
          <w:b/>
          <w:color w:val="1B365D"/>
          <w:sz w:val="23"/>
        </w:rPr>
        <w:t>16.1. Configuración Óptima en Plataformas de Valoración (Fiscal AI)</w:t>
      </w:r>
    </w:p>
    <w:p>
      <w:pPr>
        <w:spacing w:after="120"/>
      </w:pPr>
      <w:r>
        <w:rPr>
          <w:rFonts w:ascii="Calibri" w:hAnsi="Calibri"/>
          <w:color w:val="2D3748"/>
          <w:sz w:val="18"/>
        </w:rPr>
        <w:t>Para evitar sesgos especulativos se recomienda configurar Fiscal AI con: (1) Modo Perpetuity (2.5%), anclando el valor terminal a la inflación/PIB sin especular con múltiplos de salida; (2) Pestaña Revenue Growth, por ser el motor económico más limpio contra distorsiones contables; y (3) Horizonte de 10 Años, capturando el ciclo completo de inversión y maduración.</w:t>
      </w:r>
    </w:p>
    <w:p>
      <w:pPr>
        <w:pStyle w:val="Heading2"/>
      </w:pPr>
      <w:r>
        <w:rPr>
          <w:rFonts w:ascii="Calibri" w:hAnsi="Calibri"/>
          <w:b/>
          <w:color w:val="1B365D"/>
          <w:sz w:val="23"/>
        </w:rPr>
        <w:t>16.2. Tabla Maestra de Parámetros Auditados para Advanced Mode</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304"/>
        <w:gridCol w:w="1728"/>
        <w:gridCol w:w="1728"/>
        <w:gridCol w:w="4032"/>
      </w:tblGrid>
      <w:tr>
        <w:tc>
          <w:tcPr>
            <w:tcW w:type="dxa" w:w="2304"/>
            <w:shd w:fill="1B365D"/>
            <w:tcMar>
              <w:top w:w="80" w:type="dxa"/>
              <w:bottom w:w="80" w:type="dxa"/>
              <w:left w:w="80" w:type="dxa"/>
              <w:right w:w="80" w:type="dxa"/>
            </w:tcMar>
          </w:tcPr>
          <w:p>
            <w:pPr>
              <w:jc w:val="left"/>
            </w:pPr>
            <w:r>
              <w:rPr>
                <w:rFonts w:ascii="Calibri" w:hAnsi="Calibri"/>
                <w:b/>
                <w:color w:val="FFFFFF"/>
                <w:sz w:val="17"/>
              </w:rPr>
              <w:t>Casilla / Input Fiscal AI</w:t>
            </w:r>
          </w:p>
        </w:tc>
        <w:tc>
          <w:tcPr>
            <w:tcW w:type="dxa" w:w="1728"/>
            <w:shd w:fill="1B365D"/>
            <w:tcMar>
              <w:top w:w="80" w:type="dxa"/>
              <w:bottom w:w="80" w:type="dxa"/>
              <w:left w:w="80" w:type="dxa"/>
              <w:right w:w="80" w:type="dxa"/>
            </w:tcMar>
          </w:tcPr>
          <w:p>
            <w:pPr>
              <w:jc w:val="center"/>
            </w:pPr>
            <w:r>
              <w:rPr>
                <w:rFonts w:ascii="Calibri" w:hAnsi="Calibri"/>
                <w:b/>
                <w:color w:val="FFFFFF"/>
                <w:sz w:val="17"/>
              </w:rPr>
              <w:t>Valor Auditado</w:t>
            </w:r>
          </w:p>
        </w:tc>
        <w:tc>
          <w:tcPr>
            <w:tcW w:type="dxa" w:w="1728"/>
            <w:shd w:fill="1B365D"/>
            <w:tcMar>
              <w:top w:w="80" w:type="dxa"/>
              <w:bottom w:w="80" w:type="dxa"/>
              <w:left w:w="80" w:type="dxa"/>
              <w:right w:w="80" w:type="dxa"/>
            </w:tcMar>
          </w:tcPr>
          <w:p>
            <w:pPr>
              <w:jc w:val="center"/>
            </w:pPr>
            <w:r>
              <w:rPr>
                <w:rFonts w:ascii="Calibri" w:hAnsi="Calibri"/>
                <w:b/>
                <w:color w:val="FFFFFF"/>
                <w:sz w:val="17"/>
              </w:rPr>
              <w:t>Sección Origen</w:t>
            </w:r>
          </w:p>
        </w:tc>
        <w:tc>
          <w:tcPr>
            <w:tcW w:type="dxa" w:w="4032"/>
            <w:shd w:fill="1B365D"/>
            <w:tcMar>
              <w:top w:w="80" w:type="dxa"/>
              <w:bottom w:w="80" w:type="dxa"/>
              <w:left w:w="80" w:type="dxa"/>
              <w:right w:w="80" w:type="dxa"/>
            </w:tcMar>
          </w:tcPr>
          <w:p>
            <w:pPr>
              <w:jc w:val="left"/>
            </w:pPr>
            <w:r>
              <w:rPr>
                <w:rFonts w:ascii="Calibri" w:hAnsi="Calibri"/>
                <w:b/>
                <w:color w:val="FFFFFF"/>
                <w:sz w:val="17"/>
              </w:rPr>
              <w:t>Racional Técnico y Sustento Fundamental</w:t>
            </w:r>
          </w:p>
        </w:tc>
      </w:tr>
      <w:tr>
        <w:tc>
          <w:tcPr>
            <w:tcW w:type="dxa" w:w="2304"/>
            <w:tcMar>
              <w:top w:w="50" w:type="dxa"/>
              <w:bottom w:w="50" w:type="dxa"/>
              <w:left w:w="60" w:type="dxa"/>
              <w:right w:w="60" w:type="dxa"/>
            </w:tcMar>
          </w:tcPr>
          <w:p>
            <w:pPr>
              <w:jc w:val="left"/>
            </w:pPr>
            <w:r>
              <w:rPr>
                <w:rFonts w:ascii="Calibri" w:hAnsi="Calibri"/>
                <w:b/>
                <w:sz w:val="16"/>
              </w:rPr>
              <w:t>Precio Referencia ($P_0$)</w:t>
            </w:r>
          </w:p>
        </w:tc>
        <w:tc>
          <w:tcPr>
            <w:tcW w:type="dxa" w:w="1728"/>
            <w:tcMar>
              <w:top w:w="50" w:type="dxa"/>
              <w:bottom w:w="50" w:type="dxa"/>
              <w:left w:w="60" w:type="dxa"/>
              <w:right w:w="60" w:type="dxa"/>
            </w:tcMar>
          </w:tcPr>
          <w:p>
            <w:pPr>
              <w:jc w:val="center"/>
            </w:pPr>
            <w:r>
              <w:rPr>
                <w:rFonts w:ascii="Calibri" w:hAnsi="Calibri"/>
                <w:b/>
                <w:sz w:val="16"/>
              </w:rPr>
              <w:t>$78.43</w:t>
            </w:r>
          </w:p>
        </w:tc>
        <w:tc>
          <w:tcPr>
            <w:tcW w:type="dxa" w:w="1728"/>
            <w:tcMar>
              <w:top w:w="50" w:type="dxa"/>
              <w:bottom w:w="50" w:type="dxa"/>
              <w:left w:w="60" w:type="dxa"/>
              <w:right w:w="60" w:type="dxa"/>
            </w:tcMar>
          </w:tcPr>
          <w:p>
            <w:pPr>
              <w:jc w:val="center"/>
            </w:pPr>
            <w:r>
              <w:rPr>
                <w:rFonts w:ascii="Calibri" w:hAnsi="Calibri"/>
                <w:sz w:val="16"/>
              </w:rPr>
              <w:t>Mercado en Vivo</w:t>
            </w:r>
          </w:p>
        </w:tc>
        <w:tc>
          <w:tcPr>
            <w:tcW w:type="dxa" w:w="4032"/>
            <w:tcMar>
              <w:top w:w="50" w:type="dxa"/>
              <w:bottom w:w="50" w:type="dxa"/>
              <w:left w:w="60" w:type="dxa"/>
              <w:right w:w="60" w:type="dxa"/>
            </w:tcMar>
          </w:tcPr>
          <w:p>
            <w:pPr>
              <w:jc w:val="left"/>
            </w:pPr>
            <w:r>
              <w:rPr>
                <w:rFonts w:ascii="Calibri" w:hAnsi="Calibri"/>
                <w:sz w:val="16"/>
              </w:rPr>
              <w:t>Cotización auditada en tiempo real por consenso bursátil.</w:t>
            </w:r>
          </w:p>
        </w:tc>
      </w:tr>
      <w:tr>
        <w:tc>
          <w:tcPr>
            <w:tcW w:type="dxa" w:w="2304"/>
            <w:tcMar>
              <w:top w:w="50" w:type="dxa"/>
              <w:bottom w:w="50" w:type="dxa"/>
              <w:left w:w="60" w:type="dxa"/>
              <w:right w:w="60" w:type="dxa"/>
            </w:tcMar>
          </w:tcPr>
          <w:p>
            <w:pPr>
              <w:jc w:val="left"/>
            </w:pPr>
            <w:r>
              <w:rPr>
                <w:rFonts w:ascii="Calibri" w:hAnsi="Calibri"/>
                <w:b/>
                <w:sz w:val="16"/>
              </w:rPr>
              <w:t>Risk-Free Rate ($R_f$)</w:t>
            </w:r>
          </w:p>
        </w:tc>
        <w:tc>
          <w:tcPr>
            <w:tcW w:type="dxa" w:w="1728"/>
            <w:tcMar>
              <w:top w:w="50" w:type="dxa"/>
              <w:bottom w:w="50" w:type="dxa"/>
              <w:left w:w="60" w:type="dxa"/>
              <w:right w:w="60" w:type="dxa"/>
            </w:tcMar>
          </w:tcPr>
          <w:p>
            <w:pPr>
              <w:jc w:val="center"/>
            </w:pPr>
            <w:r>
              <w:rPr>
                <w:rFonts w:ascii="Calibri" w:hAnsi="Calibri"/>
                <w:b/>
                <w:sz w:val="16"/>
              </w:rPr>
              <w:t>4.99%</w:t>
            </w:r>
          </w:p>
        </w:tc>
        <w:tc>
          <w:tcPr>
            <w:tcW w:type="dxa" w:w="1728"/>
            <w:tcMar>
              <w:top w:w="50" w:type="dxa"/>
              <w:bottom w:w="50" w:type="dxa"/>
              <w:left w:w="60" w:type="dxa"/>
              <w:right w:w="60" w:type="dxa"/>
            </w:tcMar>
          </w:tcPr>
          <w:p>
            <w:pPr>
              <w:jc w:val="center"/>
            </w:pPr>
            <w:r>
              <w:rPr>
                <w:rFonts w:ascii="Calibri" w:hAnsi="Calibri"/>
                <w:sz w:val="16"/>
              </w:rPr>
              <w:t>Sección 11.1</w:t>
            </w:r>
          </w:p>
        </w:tc>
        <w:tc>
          <w:tcPr>
            <w:tcW w:type="dxa" w:w="4032"/>
            <w:tcMar>
              <w:top w:w="50" w:type="dxa"/>
              <w:bottom w:w="50" w:type="dxa"/>
              <w:left w:w="60" w:type="dxa"/>
              <w:right w:w="60" w:type="dxa"/>
            </w:tcMar>
          </w:tcPr>
          <w:p>
            <w:pPr>
              <w:jc w:val="left"/>
            </w:pPr>
            <w:r>
              <w:rPr>
                <w:rFonts w:ascii="Calibri" w:hAnsi="Calibri"/>
                <w:sz w:val="16"/>
              </w:rPr>
              <w:t>Rendimiento en tiempo real del Bono del Tesoro 10Y (US10Y).</w:t>
            </w:r>
          </w:p>
        </w:tc>
      </w:tr>
      <w:tr>
        <w:tc>
          <w:tcPr>
            <w:tcW w:type="dxa" w:w="2304"/>
            <w:tcMar>
              <w:top w:w="50" w:type="dxa"/>
              <w:bottom w:w="50" w:type="dxa"/>
              <w:left w:w="60" w:type="dxa"/>
              <w:right w:w="60" w:type="dxa"/>
            </w:tcMar>
          </w:tcPr>
          <w:p>
            <w:pPr>
              <w:jc w:val="left"/>
            </w:pPr>
            <w:r>
              <w:rPr>
                <w:rFonts w:ascii="Calibri" w:hAnsi="Calibri"/>
                <w:b/>
                <w:sz w:val="16"/>
              </w:rPr>
              <w:t>Equity Risk Premium (ERP)</w:t>
            </w:r>
          </w:p>
        </w:tc>
        <w:tc>
          <w:tcPr>
            <w:tcW w:type="dxa" w:w="1728"/>
            <w:tcMar>
              <w:top w:w="50" w:type="dxa"/>
              <w:bottom w:w="50" w:type="dxa"/>
              <w:left w:w="60" w:type="dxa"/>
              <w:right w:w="60" w:type="dxa"/>
            </w:tcMar>
          </w:tcPr>
          <w:p>
            <w:pPr>
              <w:jc w:val="center"/>
            </w:pPr>
            <w:r>
              <w:rPr>
                <w:rFonts w:ascii="Calibri" w:hAnsi="Calibri"/>
                <w:b/>
                <w:sz w:val="16"/>
              </w:rPr>
              <w:t>4.75%</w:t>
            </w:r>
          </w:p>
        </w:tc>
        <w:tc>
          <w:tcPr>
            <w:tcW w:type="dxa" w:w="1728"/>
            <w:tcMar>
              <w:top w:w="50" w:type="dxa"/>
              <w:bottom w:w="50" w:type="dxa"/>
              <w:left w:w="60" w:type="dxa"/>
              <w:right w:w="60" w:type="dxa"/>
            </w:tcMar>
          </w:tcPr>
          <w:p>
            <w:pPr>
              <w:jc w:val="center"/>
            </w:pPr>
            <w:r>
              <w:rPr>
                <w:rFonts w:ascii="Calibri" w:hAnsi="Calibri"/>
                <w:sz w:val="16"/>
              </w:rPr>
              <w:t>Sección 11.1</w:t>
            </w:r>
          </w:p>
        </w:tc>
        <w:tc>
          <w:tcPr>
            <w:tcW w:type="dxa" w:w="4032"/>
            <w:tcMar>
              <w:top w:w="50" w:type="dxa"/>
              <w:bottom w:w="50" w:type="dxa"/>
              <w:left w:w="60" w:type="dxa"/>
              <w:right w:w="60" w:type="dxa"/>
            </w:tcMar>
          </w:tcPr>
          <w:p>
            <w:pPr>
              <w:jc w:val="left"/>
            </w:pPr>
            <w:r>
              <w:rPr>
                <w:rFonts w:ascii="Calibri" w:hAnsi="Calibri"/>
                <w:sz w:val="16"/>
              </w:rPr>
              <w:t>Prima de riesgo implícita Damodaran (Stern NYU).</w:t>
            </w:r>
          </w:p>
        </w:tc>
      </w:tr>
      <w:tr>
        <w:tc>
          <w:tcPr>
            <w:tcW w:type="dxa" w:w="2304"/>
            <w:tcMar>
              <w:top w:w="50" w:type="dxa"/>
              <w:bottom w:w="50" w:type="dxa"/>
              <w:left w:w="60" w:type="dxa"/>
              <w:right w:w="60" w:type="dxa"/>
            </w:tcMar>
          </w:tcPr>
          <w:p>
            <w:pPr>
              <w:jc w:val="left"/>
            </w:pPr>
            <w:r>
              <w:rPr>
                <w:rFonts w:ascii="Calibri" w:hAnsi="Calibri"/>
                <w:b/>
                <w:sz w:val="16"/>
              </w:rPr>
              <w:t>Beta de la Acción (β)</w:t>
            </w:r>
          </w:p>
        </w:tc>
        <w:tc>
          <w:tcPr>
            <w:tcW w:type="dxa" w:w="1728"/>
            <w:tcMar>
              <w:top w:w="50" w:type="dxa"/>
              <w:bottom w:w="50" w:type="dxa"/>
              <w:left w:w="60" w:type="dxa"/>
              <w:right w:w="60" w:type="dxa"/>
            </w:tcMar>
          </w:tcPr>
          <w:p>
            <w:pPr>
              <w:jc w:val="center"/>
            </w:pPr>
            <w:r>
              <w:rPr>
                <w:rFonts w:ascii="Calibri" w:hAnsi="Calibri"/>
                <w:b/>
                <w:sz w:val="16"/>
              </w:rPr>
              <w:t>1.14</w:t>
            </w:r>
          </w:p>
        </w:tc>
        <w:tc>
          <w:tcPr>
            <w:tcW w:type="dxa" w:w="1728"/>
            <w:tcMar>
              <w:top w:w="50" w:type="dxa"/>
              <w:bottom w:w="50" w:type="dxa"/>
              <w:left w:w="60" w:type="dxa"/>
              <w:right w:w="60" w:type="dxa"/>
            </w:tcMar>
          </w:tcPr>
          <w:p>
            <w:pPr>
              <w:jc w:val="center"/>
            </w:pPr>
            <w:r>
              <w:rPr>
                <w:rFonts w:ascii="Calibri" w:hAnsi="Calibri"/>
                <w:sz w:val="16"/>
              </w:rPr>
              <w:t>Sección 11.1</w:t>
            </w:r>
          </w:p>
        </w:tc>
        <w:tc>
          <w:tcPr>
            <w:tcW w:type="dxa" w:w="4032"/>
            <w:tcMar>
              <w:top w:w="50" w:type="dxa"/>
              <w:bottom w:w="50" w:type="dxa"/>
              <w:left w:w="60" w:type="dxa"/>
              <w:right w:w="60" w:type="dxa"/>
            </w:tcMar>
          </w:tcPr>
          <w:p>
            <w:pPr>
              <w:jc w:val="left"/>
            </w:pPr>
            <w:r>
              <w:rPr>
                <w:rFonts w:ascii="Calibri" w:hAnsi="Calibri"/>
                <w:sz w:val="16"/>
              </w:rPr>
              <w:t>Sensibilidad cíclica a 5 años mensuales frente a S&amp;P 500.</w:t>
            </w:r>
          </w:p>
        </w:tc>
      </w:tr>
      <w:tr>
        <w:tc>
          <w:tcPr>
            <w:tcW w:type="dxa" w:w="2304"/>
            <w:tcMar>
              <w:top w:w="50" w:type="dxa"/>
              <w:bottom w:w="50" w:type="dxa"/>
              <w:left w:w="60" w:type="dxa"/>
              <w:right w:w="60" w:type="dxa"/>
            </w:tcMar>
          </w:tcPr>
          <w:p>
            <w:pPr>
              <w:jc w:val="left"/>
            </w:pPr>
            <w:r>
              <w:rPr>
                <w:rFonts w:ascii="Calibri" w:hAnsi="Calibri"/>
                <w:b/>
                <w:sz w:val="16"/>
              </w:rPr>
              <w:t>Cost of Debt ($K_d$)</w:t>
            </w:r>
          </w:p>
        </w:tc>
        <w:tc>
          <w:tcPr>
            <w:tcW w:type="dxa" w:w="1728"/>
            <w:tcMar>
              <w:top w:w="50" w:type="dxa"/>
              <w:bottom w:w="50" w:type="dxa"/>
              <w:left w:w="60" w:type="dxa"/>
              <w:right w:w="60" w:type="dxa"/>
            </w:tcMar>
          </w:tcPr>
          <w:p>
            <w:pPr>
              <w:jc w:val="center"/>
            </w:pPr>
            <w:r>
              <w:rPr>
                <w:rFonts w:ascii="Calibri" w:hAnsi="Calibri"/>
                <w:b/>
                <w:sz w:val="16"/>
              </w:rPr>
              <w:t>4.95% / 4.11%</w:t>
            </w:r>
          </w:p>
        </w:tc>
        <w:tc>
          <w:tcPr>
            <w:tcW w:type="dxa" w:w="1728"/>
            <w:tcMar>
              <w:top w:w="50" w:type="dxa"/>
              <w:bottom w:w="50" w:type="dxa"/>
              <w:left w:w="60" w:type="dxa"/>
              <w:right w:w="60" w:type="dxa"/>
            </w:tcMar>
          </w:tcPr>
          <w:p>
            <w:pPr>
              <w:jc w:val="center"/>
            </w:pPr>
            <w:r>
              <w:rPr>
                <w:rFonts w:ascii="Calibri" w:hAnsi="Calibri"/>
                <w:sz w:val="16"/>
              </w:rPr>
              <w:t>Secc 11 / 13</w:t>
            </w:r>
          </w:p>
        </w:tc>
        <w:tc>
          <w:tcPr>
            <w:tcW w:type="dxa" w:w="4032"/>
            <w:tcMar>
              <w:top w:w="50" w:type="dxa"/>
              <w:bottom w:w="50" w:type="dxa"/>
              <w:left w:w="60" w:type="dxa"/>
              <w:right w:w="60" w:type="dxa"/>
            </w:tcMar>
          </w:tcPr>
          <w:p>
            <w:pPr>
              <w:jc w:val="left"/>
            </w:pPr>
            <w:r>
              <w:rPr>
                <w:rFonts w:ascii="Calibri" w:hAnsi="Calibri"/>
                <w:sz w:val="16"/>
              </w:rPr>
              <w:t xml:space="preserve">Pre-tax y post-tax con escudo fiscal corporativo del 21.0%. </w:t>
            </w:r>
          </w:p>
        </w:tc>
      </w:tr>
      <w:tr>
        <w:tc>
          <w:tcPr>
            <w:tcW w:type="dxa" w:w="2304"/>
            <w:tcMar>
              <w:top w:w="50" w:type="dxa"/>
              <w:bottom w:w="50" w:type="dxa"/>
              <w:left w:w="60" w:type="dxa"/>
              <w:right w:w="60" w:type="dxa"/>
            </w:tcMar>
          </w:tcPr>
          <w:p>
            <w:pPr>
              <w:jc w:val="left"/>
            </w:pPr>
            <w:r>
              <w:rPr>
                <w:rFonts w:ascii="Calibri" w:hAnsi="Calibri"/>
                <w:b/>
                <w:sz w:val="16"/>
              </w:rPr>
              <w:t>Estructura Capital (D/E)</w:t>
            </w:r>
          </w:p>
        </w:tc>
        <w:tc>
          <w:tcPr>
            <w:tcW w:type="dxa" w:w="1728"/>
            <w:tcMar>
              <w:top w:w="50" w:type="dxa"/>
              <w:bottom w:w="50" w:type="dxa"/>
              <w:left w:w="60" w:type="dxa"/>
              <w:right w:w="60" w:type="dxa"/>
            </w:tcMar>
          </w:tcPr>
          <w:p>
            <w:pPr>
              <w:jc w:val="center"/>
            </w:pPr>
            <w:r>
              <w:rPr>
                <w:rFonts w:ascii="Calibri" w:hAnsi="Calibri"/>
                <w:b/>
                <w:sz w:val="16"/>
              </w:rPr>
              <w:t>2.6% / 100.0%</w:t>
            </w:r>
          </w:p>
        </w:tc>
        <w:tc>
          <w:tcPr>
            <w:tcW w:type="dxa" w:w="1728"/>
            <w:tcMar>
              <w:top w:w="50" w:type="dxa"/>
              <w:bottom w:w="50" w:type="dxa"/>
              <w:left w:w="60" w:type="dxa"/>
              <w:right w:w="60" w:type="dxa"/>
            </w:tcMar>
          </w:tcPr>
          <w:p>
            <w:pPr>
              <w:jc w:val="center"/>
            </w:pPr>
            <w:r>
              <w:rPr>
                <w:rFonts w:ascii="Calibri" w:hAnsi="Calibri"/>
                <w:sz w:val="16"/>
              </w:rPr>
              <w:t>Sección 11.1</w:t>
            </w:r>
          </w:p>
        </w:tc>
        <w:tc>
          <w:tcPr>
            <w:tcW w:type="dxa" w:w="4032"/>
            <w:tcMar>
              <w:top w:w="50" w:type="dxa"/>
              <w:bottom w:w="50" w:type="dxa"/>
              <w:left w:w="60" w:type="dxa"/>
              <w:right w:w="60" w:type="dxa"/>
            </w:tcMar>
          </w:tcPr>
          <w:p>
            <w:pPr>
              <w:jc w:val="left"/>
            </w:pPr>
            <w:r>
              <w:rPr>
                <w:rFonts w:ascii="Calibri" w:hAnsi="Calibri"/>
                <w:sz w:val="16"/>
              </w:rPr>
              <w:t>Ponderación real sobre valor de mercado (Market Cap).</w:t>
            </w:r>
          </w:p>
        </w:tc>
      </w:tr>
      <w:tr>
        <w:tc>
          <w:tcPr>
            <w:tcW w:type="dxa" w:w="2304"/>
            <w:tcMar>
              <w:top w:w="50" w:type="dxa"/>
              <w:bottom w:w="50" w:type="dxa"/>
              <w:left w:w="60" w:type="dxa"/>
              <w:right w:w="60" w:type="dxa"/>
            </w:tcMar>
          </w:tcPr>
          <w:p>
            <w:pPr>
              <w:jc w:val="left"/>
            </w:pPr>
            <w:r>
              <w:rPr>
                <w:rFonts w:ascii="Calibri" w:hAnsi="Calibri"/>
                <w:b/>
                <w:sz w:val="16"/>
              </w:rPr>
              <w:t>WACC Consolidado</w:t>
            </w:r>
          </w:p>
        </w:tc>
        <w:tc>
          <w:tcPr>
            <w:tcW w:type="dxa" w:w="1728"/>
            <w:tcMar>
              <w:top w:w="50" w:type="dxa"/>
              <w:bottom w:w="50" w:type="dxa"/>
              <w:left w:w="60" w:type="dxa"/>
              <w:right w:w="60" w:type="dxa"/>
            </w:tcMar>
          </w:tcPr>
          <w:p>
            <w:pPr>
              <w:jc w:val="center"/>
            </w:pPr>
            <w:r>
              <w:rPr>
                <w:rFonts w:ascii="Calibri" w:hAnsi="Calibri"/>
                <w:b/>
                <w:sz w:val="16"/>
              </w:rPr>
              <w:t>10.39%</w:t>
            </w:r>
          </w:p>
        </w:tc>
        <w:tc>
          <w:tcPr>
            <w:tcW w:type="dxa" w:w="1728"/>
            <w:tcMar>
              <w:top w:w="50" w:type="dxa"/>
              <w:bottom w:w="50" w:type="dxa"/>
              <w:left w:w="60" w:type="dxa"/>
              <w:right w:w="60" w:type="dxa"/>
            </w:tcMar>
          </w:tcPr>
          <w:p>
            <w:pPr>
              <w:jc w:val="center"/>
            </w:pPr>
            <w:r>
              <w:rPr>
                <w:rFonts w:ascii="Calibri" w:hAnsi="Calibri"/>
                <w:sz w:val="16"/>
              </w:rPr>
              <w:t>Sección 11.1</w:t>
            </w:r>
          </w:p>
        </w:tc>
        <w:tc>
          <w:tcPr>
            <w:tcW w:type="dxa" w:w="4032"/>
            <w:tcMar>
              <w:top w:w="50" w:type="dxa"/>
              <w:bottom w:w="50" w:type="dxa"/>
              <w:left w:w="60" w:type="dxa"/>
              <w:right w:w="60" w:type="dxa"/>
            </w:tcMar>
          </w:tcPr>
          <w:p>
            <w:pPr>
              <w:jc w:val="left"/>
            </w:pPr>
            <w:r>
              <w:rPr>
                <w:rFonts w:ascii="Calibri" w:hAnsi="Calibri"/>
                <w:sz w:val="16"/>
              </w:rPr>
              <w:t>Tasa de descuento maestra ponderada libre de sesgos.</w:t>
            </w:r>
          </w:p>
        </w:tc>
      </w:tr>
      <w:tr>
        <w:tc>
          <w:tcPr>
            <w:tcW w:type="dxa" w:w="2304"/>
            <w:tcMar>
              <w:top w:w="50" w:type="dxa"/>
              <w:bottom w:w="50" w:type="dxa"/>
              <w:left w:w="60" w:type="dxa"/>
              <w:right w:w="60" w:type="dxa"/>
            </w:tcMar>
          </w:tcPr>
          <w:p>
            <w:pPr>
              <w:jc w:val="left"/>
            </w:pPr>
            <w:r>
              <w:rPr>
                <w:rFonts w:ascii="Calibri" w:hAnsi="Calibri"/>
                <w:b/>
                <w:sz w:val="16"/>
              </w:rPr>
              <w:t>EBIT Margin Sostenible</w:t>
            </w:r>
          </w:p>
        </w:tc>
        <w:tc>
          <w:tcPr>
            <w:tcW w:type="dxa" w:w="1728"/>
            <w:tcMar>
              <w:top w:w="50" w:type="dxa"/>
              <w:bottom w:w="50" w:type="dxa"/>
              <w:left w:w="60" w:type="dxa"/>
              <w:right w:w="60" w:type="dxa"/>
            </w:tcMar>
          </w:tcPr>
          <w:p>
            <w:pPr>
              <w:jc w:val="center"/>
            </w:pPr>
            <w:r>
              <w:rPr>
                <w:rFonts w:ascii="Calibri" w:hAnsi="Calibri"/>
                <w:b/>
                <w:sz w:val="16"/>
              </w:rPr>
              <w:t>21.5%</w:t>
            </w:r>
          </w:p>
        </w:tc>
        <w:tc>
          <w:tcPr>
            <w:tcW w:type="dxa" w:w="1728"/>
            <w:tcMar>
              <w:top w:w="50" w:type="dxa"/>
              <w:bottom w:w="50" w:type="dxa"/>
              <w:left w:w="60" w:type="dxa"/>
              <w:right w:w="60" w:type="dxa"/>
            </w:tcMar>
          </w:tcPr>
          <w:p>
            <w:pPr>
              <w:jc w:val="center"/>
            </w:pPr>
            <w:r>
              <w:rPr>
                <w:rFonts w:ascii="Calibri" w:hAnsi="Calibri"/>
                <w:sz w:val="16"/>
              </w:rPr>
              <w:t>Secc 2, 4, 5</w:t>
            </w:r>
          </w:p>
        </w:tc>
        <w:tc>
          <w:tcPr>
            <w:tcW w:type="dxa" w:w="4032"/>
            <w:tcMar>
              <w:top w:w="50" w:type="dxa"/>
              <w:bottom w:w="50" w:type="dxa"/>
              <w:left w:w="60" w:type="dxa"/>
              <w:right w:w="60" w:type="dxa"/>
            </w:tcMar>
          </w:tcPr>
          <w:p>
            <w:pPr>
              <w:jc w:val="left"/>
            </w:pPr>
            <w:r>
              <w:rPr>
                <w:rFonts w:ascii="Calibri" w:hAnsi="Calibri"/>
                <w:sz w:val="16"/>
              </w:rPr>
              <w:t>Margen operativo normalizado frente a costes de memoria.</w:t>
            </w:r>
          </w:p>
        </w:tc>
      </w:tr>
      <w:tr>
        <w:tc>
          <w:tcPr>
            <w:tcW w:type="dxa" w:w="2304"/>
            <w:tcMar>
              <w:top w:w="50" w:type="dxa"/>
              <w:bottom w:w="50" w:type="dxa"/>
              <w:left w:w="60" w:type="dxa"/>
              <w:right w:w="60" w:type="dxa"/>
            </w:tcMar>
          </w:tcPr>
          <w:p>
            <w:pPr>
              <w:jc w:val="left"/>
            </w:pPr>
            <w:r>
              <w:rPr>
                <w:rFonts w:ascii="Calibri" w:hAnsi="Calibri"/>
                <w:b/>
                <w:sz w:val="16"/>
              </w:rPr>
              <w:t>Margen Caja Libre (FCF)</w:t>
            </w:r>
          </w:p>
        </w:tc>
        <w:tc>
          <w:tcPr>
            <w:tcW w:type="dxa" w:w="1728"/>
            <w:tcMar>
              <w:top w:w="50" w:type="dxa"/>
              <w:bottom w:w="50" w:type="dxa"/>
              <w:left w:w="60" w:type="dxa"/>
              <w:right w:w="60" w:type="dxa"/>
            </w:tcMar>
          </w:tcPr>
          <w:p>
            <w:pPr>
              <w:jc w:val="center"/>
            </w:pPr>
            <w:r>
              <w:rPr>
                <w:rFonts w:ascii="Calibri" w:hAnsi="Calibri"/>
                <w:b/>
                <w:sz w:val="16"/>
              </w:rPr>
              <w:t>18.5%</w:t>
            </w:r>
          </w:p>
        </w:tc>
        <w:tc>
          <w:tcPr>
            <w:tcW w:type="dxa" w:w="1728"/>
            <w:tcMar>
              <w:top w:w="50" w:type="dxa"/>
              <w:bottom w:w="50" w:type="dxa"/>
              <w:left w:w="60" w:type="dxa"/>
              <w:right w:w="60" w:type="dxa"/>
            </w:tcMar>
          </w:tcPr>
          <w:p>
            <w:pPr>
              <w:jc w:val="center"/>
            </w:pPr>
            <w:r>
              <w:rPr>
                <w:rFonts w:ascii="Calibri" w:hAnsi="Calibri"/>
                <w:sz w:val="16"/>
              </w:rPr>
              <w:t>Secc 6, 11</w:t>
            </w:r>
          </w:p>
        </w:tc>
        <w:tc>
          <w:tcPr>
            <w:tcW w:type="dxa" w:w="4032"/>
            <w:tcMar>
              <w:top w:w="50" w:type="dxa"/>
              <w:bottom w:w="50" w:type="dxa"/>
              <w:left w:w="60" w:type="dxa"/>
              <w:right w:w="60" w:type="dxa"/>
            </w:tcMar>
          </w:tcPr>
          <w:p>
            <w:pPr>
              <w:jc w:val="left"/>
            </w:pPr>
            <w:r>
              <w:rPr>
                <w:rFonts w:ascii="Calibri" w:hAnsi="Calibri"/>
                <w:sz w:val="16"/>
              </w:rPr>
              <w:t>Conversión NOPAT + D&amp;A − CapEx − ΔNWC.</w:t>
            </w:r>
          </w:p>
        </w:tc>
      </w:tr>
      <w:tr>
        <w:tc>
          <w:tcPr>
            <w:tcW w:type="dxa" w:w="2304"/>
            <w:tcMar>
              <w:top w:w="50" w:type="dxa"/>
              <w:bottom w:w="50" w:type="dxa"/>
              <w:left w:w="60" w:type="dxa"/>
              <w:right w:w="60" w:type="dxa"/>
            </w:tcMar>
          </w:tcPr>
          <w:p>
            <w:pPr>
              <w:jc w:val="left"/>
            </w:pPr>
            <w:r>
              <w:rPr>
                <w:rFonts w:ascii="Calibri" w:hAnsi="Calibri"/>
                <w:b/>
                <w:sz w:val="16"/>
              </w:rPr>
              <w:t>Terminal Growth ($g_n$)</w:t>
            </w:r>
          </w:p>
        </w:tc>
        <w:tc>
          <w:tcPr>
            <w:tcW w:type="dxa" w:w="1728"/>
            <w:tcMar>
              <w:top w:w="50" w:type="dxa"/>
              <w:bottom w:w="50" w:type="dxa"/>
              <w:left w:w="60" w:type="dxa"/>
              <w:right w:w="60" w:type="dxa"/>
            </w:tcMar>
          </w:tcPr>
          <w:p>
            <w:pPr>
              <w:jc w:val="center"/>
            </w:pPr>
            <w:r>
              <w:rPr>
                <w:rFonts w:ascii="Calibri" w:hAnsi="Calibri"/>
                <w:b/>
                <w:sz w:val="16"/>
              </w:rPr>
              <w:t>2.5%</w:t>
            </w:r>
          </w:p>
        </w:tc>
        <w:tc>
          <w:tcPr>
            <w:tcW w:type="dxa" w:w="1728"/>
            <w:tcMar>
              <w:top w:w="50" w:type="dxa"/>
              <w:bottom w:w="50" w:type="dxa"/>
              <w:left w:w="60" w:type="dxa"/>
              <w:right w:w="60" w:type="dxa"/>
            </w:tcMar>
          </w:tcPr>
          <w:p>
            <w:pPr>
              <w:jc w:val="center"/>
            </w:pPr>
            <w:r>
              <w:rPr>
                <w:rFonts w:ascii="Calibri" w:hAnsi="Calibri"/>
                <w:sz w:val="16"/>
              </w:rPr>
              <w:t>Macroeconomía</w:t>
            </w:r>
          </w:p>
        </w:tc>
        <w:tc>
          <w:tcPr>
            <w:tcW w:type="dxa" w:w="4032"/>
            <w:tcMar>
              <w:top w:w="50" w:type="dxa"/>
              <w:bottom w:w="50" w:type="dxa"/>
              <w:left w:w="60" w:type="dxa"/>
              <w:right w:w="60" w:type="dxa"/>
            </w:tcMar>
          </w:tcPr>
          <w:p>
            <w:pPr>
              <w:jc w:val="left"/>
            </w:pPr>
            <w:r>
              <w:rPr>
                <w:rFonts w:ascii="Calibri" w:hAnsi="Calibri"/>
                <w:sz w:val="16"/>
              </w:rPr>
              <w:t>Crecimiento terminal a perpetuidad (PIB global + inflación).</w:t>
            </w:r>
          </w:p>
        </w:tc>
      </w:tr>
      <w:tr>
        <w:tc>
          <w:tcPr>
            <w:tcW w:type="dxa" w:w="2304"/>
            <w:tcMar>
              <w:top w:w="50" w:type="dxa"/>
              <w:bottom w:w="50" w:type="dxa"/>
              <w:left w:w="60" w:type="dxa"/>
              <w:right w:w="60" w:type="dxa"/>
            </w:tcMar>
          </w:tcPr>
          <w:p>
            <w:pPr>
              <w:jc w:val="left"/>
            </w:pPr>
            <w:r>
              <w:rPr>
                <w:rFonts w:ascii="Calibri" w:hAnsi="Calibri"/>
                <w:b/>
                <w:sz w:val="16"/>
              </w:rPr>
              <w:t>Capex Margin</w:t>
            </w:r>
          </w:p>
        </w:tc>
        <w:tc>
          <w:tcPr>
            <w:tcW w:type="dxa" w:w="1728"/>
            <w:tcMar>
              <w:top w:w="50" w:type="dxa"/>
              <w:bottom w:w="50" w:type="dxa"/>
              <w:left w:w="60" w:type="dxa"/>
              <w:right w:w="60" w:type="dxa"/>
            </w:tcMar>
          </w:tcPr>
          <w:p>
            <w:pPr>
              <w:jc w:val="center"/>
            </w:pPr>
            <w:r>
              <w:rPr>
                <w:rFonts w:ascii="Calibri" w:hAnsi="Calibri"/>
                <w:b/>
                <w:sz w:val="16"/>
              </w:rPr>
              <w:t>-2.0%</w:t>
            </w:r>
          </w:p>
        </w:tc>
        <w:tc>
          <w:tcPr>
            <w:tcW w:type="dxa" w:w="1728"/>
            <w:tcMar>
              <w:top w:w="50" w:type="dxa"/>
              <w:bottom w:w="50" w:type="dxa"/>
              <w:left w:w="60" w:type="dxa"/>
              <w:right w:w="60" w:type="dxa"/>
            </w:tcMar>
          </w:tcPr>
          <w:p>
            <w:pPr>
              <w:jc w:val="center"/>
            </w:pPr>
            <w:r>
              <w:rPr>
                <w:rFonts w:ascii="Calibri" w:hAnsi="Calibri"/>
                <w:sz w:val="16"/>
              </w:rPr>
              <w:t>Secc 6, 7</w:t>
            </w:r>
          </w:p>
        </w:tc>
        <w:tc>
          <w:tcPr>
            <w:tcW w:type="dxa" w:w="4032"/>
            <w:tcMar>
              <w:top w:w="50" w:type="dxa"/>
              <w:bottom w:w="50" w:type="dxa"/>
              <w:left w:w="60" w:type="dxa"/>
              <w:right w:w="60" w:type="dxa"/>
            </w:tcMar>
          </w:tcPr>
          <w:p>
            <w:pPr>
              <w:jc w:val="left"/>
            </w:pPr>
            <w:r>
              <w:rPr>
                <w:rFonts w:ascii="Calibri" w:hAnsi="Calibri"/>
                <w:sz w:val="16"/>
              </w:rPr>
              <w:t>Intensidad de capital Asset-Light (silicio TSMC en chip).</w:t>
            </w:r>
          </w:p>
        </w:tc>
      </w:tr>
      <w:tr>
        <w:tc>
          <w:tcPr>
            <w:tcW w:type="dxa" w:w="2304"/>
            <w:tcMar>
              <w:top w:w="50" w:type="dxa"/>
              <w:bottom w:w="50" w:type="dxa"/>
              <w:left w:w="60" w:type="dxa"/>
              <w:right w:w="60" w:type="dxa"/>
            </w:tcMar>
          </w:tcPr>
          <w:p>
            <w:pPr>
              <w:jc w:val="left"/>
            </w:pPr>
            <w:r>
              <w:rPr>
                <w:rFonts w:ascii="Calibri" w:hAnsi="Calibri"/>
                <w:b/>
                <w:sz w:val="16"/>
              </w:rPr>
              <w:t>Shares Out.</w:t>
            </w:r>
          </w:p>
        </w:tc>
        <w:tc>
          <w:tcPr>
            <w:tcW w:type="dxa" w:w="1728"/>
            <w:tcMar>
              <w:top w:w="50" w:type="dxa"/>
              <w:bottom w:w="50" w:type="dxa"/>
              <w:left w:w="60" w:type="dxa"/>
              <w:right w:w="60" w:type="dxa"/>
            </w:tcMar>
          </w:tcPr>
          <w:p>
            <w:pPr>
              <w:jc w:val="center"/>
            </w:pPr>
            <w:r>
              <w:rPr>
                <w:rFonts w:ascii="Calibri" w:hAnsi="Calibri"/>
                <w:b/>
                <w:sz w:val="16"/>
              </w:rPr>
              <w:t>0.14 B</w:t>
            </w:r>
          </w:p>
        </w:tc>
        <w:tc>
          <w:tcPr>
            <w:tcW w:type="dxa" w:w="1728"/>
            <w:tcMar>
              <w:top w:w="50" w:type="dxa"/>
              <w:bottom w:w="50" w:type="dxa"/>
              <w:left w:w="60" w:type="dxa"/>
              <w:right w:w="60" w:type="dxa"/>
            </w:tcMar>
          </w:tcPr>
          <w:p>
            <w:pPr>
              <w:jc w:val="center"/>
            </w:pPr>
            <w:r>
              <w:rPr>
                <w:rFonts w:ascii="Calibri" w:hAnsi="Calibri"/>
                <w:sz w:val="16"/>
              </w:rPr>
              <w:t>Secc 4 / 10-Q</w:t>
            </w:r>
          </w:p>
        </w:tc>
        <w:tc>
          <w:tcPr>
            <w:tcW w:type="dxa" w:w="4032"/>
            <w:tcMar>
              <w:top w:w="50" w:type="dxa"/>
              <w:bottom w:w="50" w:type="dxa"/>
              <w:left w:w="60" w:type="dxa"/>
              <w:right w:w="60" w:type="dxa"/>
            </w:tcMar>
          </w:tcPr>
          <w:p>
            <w:pPr>
              <w:jc w:val="left"/>
            </w:pPr>
            <w:r>
              <w:rPr>
                <w:rFonts w:ascii="Calibri" w:hAnsi="Calibri"/>
                <w:sz w:val="16"/>
              </w:rPr>
              <w:t>Acciones diluidas auditadas tras recompras de capital.</w:t>
            </w:r>
          </w:p>
        </w:tc>
      </w:tr>
    </w:tbl>
    <w:p>
      <w:pPr>
        <w:pStyle w:val="Heading2"/>
      </w:pPr>
      <w:r>
        <w:rPr>
          <w:rFonts w:ascii="Calibri" w:hAnsi="Calibri"/>
          <w:b/>
          <w:color w:val="1B365D"/>
          <w:sz w:val="23"/>
        </w:rPr>
        <w:t>16.3. Motor Propietario de Reverse DCF &amp; Brecha de Expectativas</w:t>
      </w:r>
    </w:p>
    <w:p>
      <w:pPr>
        <w:spacing w:after="120"/>
      </w:pPr>
      <w:r>
        <w:rPr>
          <w:rFonts w:ascii="Calibri" w:hAnsi="Calibri"/>
          <w:color w:val="2D3748"/>
          <w:sz w:val="18"/>
        </w:rPr>
        <w:t>• Crecimiento Histórico SEC (CAGR 5 Años): 14.5% anual (CAGR 10A: 12.2%, CAGR 3A: 11.1%)</w:t>
        <w:br/>
        <w:t>• Guidance Oficial del Superciclo: 10.5% - 12.0% anual</w:t>
        <w:br/>
        <w:t>• Crecimiento Implícito Descontado por el Precio ($78.43): -2.6% anual (con WACC 10.39%) y -5.9% (con WACC 10.9%)</w:t>
        <w:br/>
        <w:t>• Brecha de Expectativas: +-17.1 pp frente al histórico y +-14.6 pp frente al guidance.</w:t>
      </w:r>
    </w:p>
    <w:p>
      <w:pPr>
        <w:pStyle w:val="Heading2"/>
      </w:pPr>
      <w:r>
        <w:rPr>
          <w:rFonts w:ascii="Calibri" w:hAnsi="Calibri"/>
          <w:b/>
          <w:color w:val="1B365D"/>
          <w:sz w:val="23"/>
        </w:rPr>
        <w:t>16.4. Matriz de Sensibilidad Bidimensional (WACC vs. Perpetuidad)</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728"/>
        <w:gridCol w:w="1008"/>
        <w:gridCol w:w="1008"/>
        <w:gridCol w:w="1008"/>
        <w:gridCol w:w="1008"/>
        <w:gridCol w:w="1008"/>
        <w:gridCol w:w="1008"/>
        <w:gridCol w:w="2016"/>
      </w:tblGrid>
      <w:tr>
        <w:tc>
          <w:tcPr>
            <w:tcW w:type="dxa" w:w="1728"/>
            <w:shd w:fill="1B365D"/>
            <w:tcMar>
              <w:top w:w="80" w:type="dxa"/>
              <w:bottom w:w="80" w:type="dxa"/>
              <w:left w:w="60" w:type="dxa"/>
              <w:right w:w="60" w:type="dxa"/>
            </w:tcMar>
          </w:tcPr>
          <w:p>
            <w:pPr>
              <w:jc w:val="center"/>
            </w:pPr>
            <w:r>
              <w:rPr>
                <w:rFonts w:ascii="Calibri" w:hAnsi="Calibri"/>
                <w:b/>
                <w:color w:val="FFFFFF"/>
                <w:sz w:val="16"/>
              </w:rPr>
              <w:t>WACC / gn</w:t>
            </w:r>
          </w:p>
        </w:tc>
        <w:tc>
          <w:tcPr>
            <w:tcW w:type="dxa" w:w="1008"/>
            <w:shd w:fill="1B365D"/>
            <w:tcMar>
              <w:top w:w="80" w:type="dxa"/>
              <w:bottom w:w="80" w:type="dxa"/>
              <w:left w:w="60" w:type="dxa"/>
              <w:right w:w="60" w:type="dxa"/>
            </w:tcMar>
          </w:tcPr>
          <w:p>
            <w:pPr>
              <w:jc w:val="center"/>
            </w:pPr>
            <w:r>
              <w:rPr>
                <w:rFonts w:ascii="Calibri" w:hAnsi="Calibri"/>
                <w:b/>
                <w:color w:val="FFFFFF"/>
                <w:sz w:val="16"/>
              </w:rPr>
              <w:t>1.0%</w:t>
            </w:r>
          </w:p>
        </w:tc>
        <w:tc>
          <w:tcPr>
            <w:tcW w:type="dxa" w:w="1008"/>
            <w:shd w:fill="1B365D"/>
            <w:tcMar>
              <w:top w:w="80" w:type="dxa"/>
              <w:bottom w:w="80" w:type="dxa"/>
              <w:left w:w="60" w:type="dxa"/>
              <w:right w:w="60" w:type="dxa"/>
            </w:tcMar>
          </w:tcPr>
          <w:p>
            <w:pPr>
              <w:jc w:val="center"/>
            </w:pPr>
            <w:r>
              <w:rPr>
                <w:rFonts w:ascii="Calibri" w:hAnsi="Calibri"/>
                <w:b/>
                <w:color w:val="FFFFFF"/>
                <w:sz w:val="16"/>
              </w:rPr>
              <w:t>1.5%</w:t>
            </w:r>
          </w:p>
        </w:tc>
        <w:tc>
          <w:tcPr>
            <w:tcW w:type="dxa" w:w="1008"/>
            <w:shd w:fill="1B365D"/>
            <w:tcMar>
              <w:top w:w="80" w:type="dxa"/>
              <w:bottom w:w="80" w:type="dxa"/>
              <w:left w:w="60" w:type="dxa"/>
              <w:right w:w="60" w:type="dxa"/>
            </w:tcMar>
          </w:tcPr>
          <w:p>
            <w:pPr>
              <w:jc w:val="center"/>
            </w:pPr>
            <w:r>
              <w:rPr>
                <w:rFonts w:ascii="Calibri" w:hAnsi="Calibri"/>
                <w:b/>
                <w:color w:val="FFFFFF"/>
                <w:sz w:val="16"/>
              </w:rPr>
              <w:t>2.0%</w:t>
            </w:r>
          </w:p>
        </w:tc>
        <w:tc>
          <w:tcPr>
            <w:tcW w:type="dxa" w:w="1008"/>
            <w:shd w:fill="0A3641"/>
            <w:tcMar>
              <w:top w:w="80" w:type="dxa"/>
              <w:bottom w:w="80" w:type="dxa"/>
              <w:left w:w="60" w:type="dxa"/>
              <w:right w:w="60" w:type="dxa"/>
            </w:tcMar>
          </w:tcPr>
          <w:p>
            <w:pPr>
              <w:jc w:val="center"/>
            </w:pPr>
            <w:r>
              <w:rPr>
                <w:rFonts w:ascii="Calibri" w:hAnsi="Calibri"/>
                <w:b/>
                <w:color w:val="FFD700"/>
                <w:sz w:val="16"/>
              </w:rPr>
              <w:t>2.5%</w:t>
            </w:r>
          </w:p>
        </w:tc>
        <w:tc>
          <w:tcPr>
            <w:tcW w:type="dxa" w:w="1008"/>
            <w:shd w:fill="1B365D"/>
            <w:tcMar>
              <w:top w:w="80" w:type="dxa"/>
              <w:bottom w:w="80" w:type="dxa"/>
              <w:left w:w="60" w:type="dxa"/>
              <w:right w:w="60" w:type="dxa"/>
            </w:tcMar>
          </w:tcPr>
          <w:p>
            <w:pPr>
              <w:jc w:val="center"/>
            </w:pPr>
            <w:r>
              <w:rPr>
                <w:rFonts w:ascii="Calibri" w:hAnsi="Calibri"/>
                <w:b/>
                <w:color w:val="FFFFFF"/>
                <w:sz w:val="16"/>
              </w:rPr>
              <w:t>3.0%</w:t>
            </w:r>
          </w:p>
        </w:tc>
        <w:tc>
          <w:tcPr>
            <w:tcW w:type="dxa" w:w="1008"/>
            <w:shd w:fill="1B365D"/>
            <w:tcMar>
              <w:top w:w="80" w:type="dxa"/>
              <w:bottom w:w="80" w:type="dxa"/>
              <w:left w:w="60" w:type="dxa"/>
              <w:right w:w="60" w:type="dxa"/>
            </w:tcMar>
          </w:tcPr>
          <w:p>
            <w:pPr>
              <w:jc w:val="center"/>
            </w:pPr>
            <w:r>
              <w:rPr>
                <w:rFonts w:ascii="Calibri" w:hAnsi="Calibri"/>
                <w:b/>
                <w:color w:val="FFFFFF"/>
                <w:sz w:val="16"/>
              </w:rPr>
              <w:t>3.5%</w:t>
            </w:r>
          </w:p>
        </w:tc>
        <w:tc>
          <w:tcPr>
            <w:tcW w:type="dxa" w:w="2016"/>
            <w:shd w:fill="1B365D"/>
            <w:tcMar>
              <w:top w:w="80" w:type="dxa"/>
              <w:bottom w:w="80" w:type="dxa"/>
              <w:left w:w="60" w:type="dxa"/>
              <w:right w:w="60" w:type="dxa"/>
            </w:tcMar>
          </w:tcPr>
          <w:p>
            <w:pPr>
              <w:jc w:val="left"/>
            </w:pPr>
            <w:r>
              <w:rPr>
                <w:rFonts w:ascii="Calibri" w:hAnsi="Calibri"/>
                <w:b/>
                <w:color w:val="FFFFFF"/>
                <w:sz w:val="16"/>
              </w:rPr>
              <w:t>Diagnóstico</w:t>
            </w:r>
          </w:p>
        </w:tc>
      </w:tr>
      <w:tr>
        <w:tc>
          <w:tcPr>
            <w:tcW w:type="dxa" w:w="1728"/>
            <w:tcMar>
              <w:top w:w="50" w:type="dxa"/>
              <w:bottom w:w="50" w:type="dxa"/>
              <w:left w:w="60" w:type="dxa"/>
              <w:right w:w="60" w:type="dxa"/>
            </w:tcMar>
          </w:tcPr>
          <w:p>
            <w:pPr>
              <w:jc w:val="center"/>
            </w:pPr>
            <w:r>
              <w:rPr>
                <w:rFonts w:ascii="Calibri" w:hAnsi="Calibri"/>
                <w:b/>
                <w:sz w:val="16"/>
              </w:rPr>
              <w:t>9.40% (Bajo)</w:t>
            </w:r>
          </w:p>
        </w:tc>
        <w:tc>
          <w:tcPr>
            <w:tcW w:type="dxa" w:w="1008"/>
            <w:tcMar>
              <w:top w:w="50" w:type="dxa"/>
              <w:bottom w:w="50" w:type="dxa"/>
              <w:left w:w="60" w:type="dxa"/>
              <w:right w:w="60" w:type="dxa"/>
            </w:tcMar>
          </w:tcPr>
          <w:p>
            <w:pPr>
              <w:jc w:val="center"/>
            </w:pPr>
            <w:r>
              <w:rPr>
                <w:rFonts w:ascii="Calibri" w:hAnsi="Calibri"/>
                <w:sz w:val="16"/>
              </w:rPr>
              <w:t>18.5%</w:t>
            </w:r>
          </w:p>
        </w:tc>
        <w:tc>
          <w:tcPr>
            <w:tcW w:type="dxa" w:w="1008"/>
            <w:tcMar>
              <w:top w:w="50" w:type="dxa"/>
              <w:bottom w:w="50" w:type="dxa"/>
              <w:left w:w="60" w:type="dxa"/>
              <w:right w:w="60" w:type="dxa"/>
            </w:tcMar>
          </w:tcPr>
          <w:p>
            <w:pPr>
              <w:jc w:val="center"/>
            </w:pPr>
            <w:r>
              <w:rPr>
                <w:rFonts w:ascii="Calibri" w:hAnsi="Calibri"/>
                <w:sz w:val="16"/>
              </w:rPr>
              <w:t>18.0%</w:t>
            </w:r>
          </w:p>
        </w:tc>
        <w:tc>
          <w:tcPr>
            <w:tcW w:type="dxa" w:w="1008"/>
            <w:tcMar>
              <w:top w:w="50" w:type="dxa"/>
              <w:bottom w:w="50" w:type="dxa"/>
              <w:left w:w="60" w:type="dxa"/>
              <w:right w:w="60" w:type="dxa"/>
            </w:tcMar>
          </w:tcPr>
          <w:p>
            <w:pPr>
              <w:jc w:val="center"/>
            </w:pPr>
            <w:r>
              <w:rPr>
                <w:rFonts w:ascii="Calibri" w:hAnsi="Calibri"/>
                <w:sz w:val="16"/>
              </w:rPr>
              <w:t>17.3%</w:t>
            </w:r>
          </w:p>
        </w:tc>
        <w:tc>
          <w:tcPr>
            <w:tcW w:type="dxa" w:w="1008"/>
            <w:tcMar>
              <w:top w:w="50" w:type="dxa"/>
              <w:bottom w:w="50" w:type="dxa"/>
              <w:left w:w="60" w:type="dxa"/>
              <w:right w:w="60" w:type="dxa"/>
            </w:tcMar>
          </w:tcPr>
          <w:p>
            <w:pPr>
              <w:jc w:val="center"/>
            </w:pPr>
            <w:r>
              <w:rPr>
                <w:rFonts w:ascii="Calibri" w:hAnsi="Calibri"/>
                <w:b/>
                <w:sz w:val="16"/>
              </w:rPr>
              <w:t>16.7%</w:t>
            </w:r>
          </w:p>
        </w:tc>
        <w:tc>
          <w:tcPr>
            <w:tcW w:type="dxa" w:w="1008"/>
            <w:tcMar>
              <w:top w:w="50" w:type="dxa"/>
              <w:bottom w:w="50" w:type="dxa"/>
              <w:left w:w="60" w:type="dxa"/>
              <w:right w:w="60" w:type="dxa"/>
            </w:tcMar>
          </w:tcPr>
          <w:p>
            <w:pPr>
              <w:jc w:val="center"/>
            </w:pPr>
            <w:r>
              <w:rPr>
                <w:rFonts w:ascii="Calibri" w:hAnsi="Calibri"/>
                <w:sz w:val="16"/>
              </w:rPr>
              <w:t>16.0%</w:t>
            </w:r>
          </w:p>
        </w:tc>
        <w:tc>
          <w:tcPr>
            <w:tcW w:type="dxa" w:w="1008"/>
            <w:tcMar>
              <w:top w:w="50" w:type="dxa"/>
              <w:bottom w:w="50" w:type="dxa"/>
              <w:left w:w="60" w:type="dxa"/>
              <w:right w:w="60" w:type="dxa"/>
            </w:tcMar>
          </w:tcPr>
          <w:p>
            <w:pPr>
              <w:jc w:val="center"/>
            </w:pPr>
            <w:r>
              <w:rPr>
                <w:rFonts w:ascii="Calibri" w:hAnsi="Calibri"/>
                <w:sz w:val="16"/>
              </w:rPr>
              <w:t>15.2%</w:t>
            </w:r>
          </w:p>
        </w:tc>
        <w:tc>
          <w:tcPr>
            <w:tcW w:type="dxa" w:w="2016"/>
            <w:tcMar>
              <w:top w:w="50" w:type="dxa"/>
              <w:bottom w:w="50" w:type="dxa"/>
              <w:left w:w="60" w:type="dxa"/>
              <w:right w:w="60" w:type="dxa"/>
            </w:tcMar>
          </w:tcPr>
          <w:p>
            <w:pPr>
              <w:jc w:val="left"/>
            </w:pPr>
            <w:r>
              <w:rPr>
                <w:rFonts w:ascii="Calibri" w:hAnsi="Calibri"/>
                <w:sz w:val="16"/>
              </w:rPr>
              <w:t>Exigencia moderada.</w:t>
            </w:r>
          </w:p>
        </w:tc>
      </w:tr>
      <w:tr>
        <w:tc>
          <w:tcPr>
            <w:tcW w:type="dxa" w:w="1728"/>
            <w:tcMar>
              <w:top w:w="50" w:type="dxa"/>
              <w:bottom w:w="50" w:type="dxa"/>
              <w:left w:w="60" w:type="dxa"/>
              <w:right w:w="60" w:type="dxa"/>
            </w:tcMar>
          </w:tcPr>
          <w:p>
            <w:pPr>
              <w:jc w:val="center"/>
            </w:pPr>
            <w:r>
              <w:rPr>
                <w:rFonts w:ascii="Calibri" w:hAnsi="Calibri"/>
                <w:b/>
                <w:sz w:val="16"/>
              </w:rPr>
              <w:t>10.39% (Base)</w:t>
            </w:r>
          </w:p>
        </w:tc>
        <w:tc>
          <w:tcPr>
            <w:tcW w:type="dxa" w:w="1008"/>
            <w:tcMar>
              <w:top w:w="50" w:type="dxa"/>
              <w:bottom w:w="50" w:type="dxa"/>
              <w:left w:w="60" w:type="dxa"/>
              <w:right w:w="60" w:type="dxa"/>
            </w:tcMar>
          </w:tcPr>
          <w:p>
            <w:pPr>
              <w:jc w:val="center"/>
            </w:pPr>
            <w:r>
              <w:rPr>
                <w:rFonts w:ascii="Calibri" w:hAnsi="Calibri"/>
                <w:sz w:val="16"/>
              </w:rPr>
              <w:t>19.6%</w:t>
            </w:r>
          </w:p>
        </w:tc>
        <w:tc>
          <w:tcPr>
            <w:tcW w:type="dxa" w:w="1008"/>
            <w:tcMar>
              <w:top w:w="50" w:type="dxa"/>
              <w:bottom w:w="50" w:type="dxa"/>
              <w:left w:w="60" w:type="dxa"/>
              <w:right w:w="60" w:type="dxa"/>
            </w:tcMar>
          </w:tcPr>
          <w:p>
            <w:pPr>
              <w:jc w:val="center"/>
            </w:pPr>
            <w:r>
              <w:rPr>
                <w:rFonts w:ascii="Calibri" w:hAnsi="Calibri"/>
                <w:sz w:val="16"/>
              </w:rPr>
              <w:t>19.0%</w:t>
            </w:r>
          </w:p>
        </w:tc>
        <w:tc>
          <w:tcPr>
            <w:tcW w:type="dxa" w:w="1008"/>
            <w:tcMar>
              <w:top w:w="50" w:type="dxa"/>
              <w:bottom w:w="50" w:type="dxa"/>
              <w:left w:w="60" w:type="dxa"/>
              <w:right w:w="60" w:type="dxa"/>
            </w:tcMar>
          </w:tcPr>
          <w:p>
            <w:pPr>
              <w:jc w:val="center"/>
            </w:pPr>
            <w:r>
              <w:rPr>
                <w:rFonts w:ascii="Calibri" w:hAnsi="Calibri"/>
                <w:sz w:val="16"/>
              </w:rPr>
              <w:t>18.4%</w:t>
            </w:r>
          </w:p>
        </w:tc>
        <w:tc>
          <w:tcPr>
            <w:tcW w:type="dxa" w:w="1008"/>
            <w:tcMar>
              <w:top w:w="50" w:type="dxa"/>
              <w:bottom w:w="50" w:type="dxa"/>
              <w:left w:w="60" w:type="dxa"/>
              <w:right w:w="60" w:type="dxa"/>
            </w:tcMar>
          </w:tcPr>
          <w:p>
            <w:pPr>
              <w:jc w:val="center"/>
            </w:pPr>
            <w:r>
              <w:rPr>
                <w:rFonts w:ascii="Calibri" w:hAnsi="Calibri"/>
                <w:b/>
                <w:sz w:val="16"/>
              </w:rPr>
              <w:t>-2.6%</w:t>
            </w:r>
          </w:p>
        </w:tc>
        <w:tc>
          <w:tcPr>
            <w:tcW w:type="dxa" w:w="1008"/>
            <w:tcMar>
              <w:top w:w="50" w:type="dxa"/>
              <w:bottom w:w="50" w:type="dxa"/>
              <w:left w:w="60" w:type="dxa"/>
              <w:right w:w="60" w:type="dxa"/>
            </w:tcMar>
          </w:tcPr>
          <w:p>
            <w:pPr>
              <w:jc w:val="center"/>
            </w:pPr>
            <w:r>
              <w:rPr>
                <w:rFonts w:ascii="Calibri" w:hAnsi="Calibri"/>
                <w:sz w:val="16"/>
              </w:rPr>
              <w:t>17.2%</w:t>
            </w:r>
          </w:p>
        </w:tc>
        <w:tc>
          <w:tcPr>
            <w:tcW w:type="dxa" w:w="1008"/>
            <w:tcMar>
              <w:top w:w="50" w:type="dxa"/>
              <w:bottom w:w="50" w:type="dxa"/>
              <w:left w:w="60" w:type="dxa"/>
              <w:right w:w="60" w:type="dxa"/>
            </w:tcMar>
          </w:tcPr>
          <w:p>
            <w:pPr>
              <w:jc w:val="center"/>
            </w:pPr>
            <w:r>
              <w:rPr>
                <w:rFonts w:ascii="Calibri" w:hAnsi="Calibri"/>
                <w:sz w:val="16"/>
              </w:rPr>
              <w:t>16.4%</w:t>
            </w:r>
          </w:p>
        </w:tc>
        <w:tc>
          <w:tcPr>
            <w:tcW w:type="dxa" w:w="2016"/>
            <w:tcMar>
              <w:top w:w="50" w:type="dxa"/>
              <w:bottom w:w="50" w:type="dxa"/>
              <w:left w:w="60" w:type="dxa"/>
              <w:right w:w="60" w:type="dxa"/>
            </w:tcMar>
          </w:tcPr>
          <w:p>
            <w:pPr>
              <w:jc w:val="left"/>
            </w:pPr>
            <w:r>
              <w:rPr>
                <w:rFonts w:ascii="Calibri" w:hAnsi="Calibri"/>
                <w:sz w:val="16"/>
              </w:rPr>
              <w:t>Escenario Central.</w:t>
            </w:r>
          </w:p>
        </w:tc>
      </w:tr>
      <w:tr>
        <w:tc>
          <w:tcPr>
            <w:tcW w:type="dxa" w:w="1728"/>
            <w:tcMar>
              <w:top w:w="50" w:type="dxa"/>
              <w:bottom w:w="50" w:type="dxa"/>
              <w:left w:w="60" w:type="dxa"/>
              <w:right w:w="60" w:type="dxa"/>
            </w:tcMar>
          </w:tcPr>
          <w:p>
            <w:pPr>
              <w:jc w:val="center"/>
            </w:pPr>
            <w:r>
              <w:rPr>
                <w:rFonts w:ascii="Calibri" w:hAnsi="Calibri"/>
                <w:b/>
                <w:sz w:val="16"/>
              </w:rPr>
              <w:t>10.40% (Med)</w:t>
            </w:r>
          </w:p>
        </w:tc>
        <w:tc>
          <w:tcPr>
            <w:tcW w:type="dxa" w:w="1008"/>
            <w:tcMar>
              <w:top w:w="50" w:type="dxa"/>
              <w:bottom w:w="50" w:type="dxa"/>
              <w:left w:w="60" w:type="dxa"/>
              <w:right w:w="60" w:type="dxa"/>
            </w:tcMar>
          </w:tcPr>
          <w:p>
            <w:pPr>
              <w:jc w:val="center"/>
            </w:pPr>
            <w:r>
              <w:rPr>
                <w:rFonts w:ascii="Calibri" w:hAnsi="Calibri"/>
                <w:sz w:val="16"/>
              </w:rPr>
              <w:t>20.6%</w:t>
            </w:r>
          </w:p>
        </w:tc>
        <w:tc>
          <w:tcPr>
            <w:tcW w:type="dxa" w:w="1008"/>
            <w:tcMar>
              <w:top w:w="50" w:type="dxa"/>
              <w:bottom w:w="50" w:type="dxa"/>
              <w:left w:w="60" w:type="dxa"/>
              <w:right w:w="60" w:type="dxa"/>
            </w:tcMar>
          </w:tcPr>
          <w:p>
            <w:pPr>
              <w:jc w:val="center"/>
            </w:pPr>
            <w:r>
              <w:rPr>
                <w:rFonts w:ascii="Calibri" w:hAnsi="Calibri"/>
                <w:sz w:val="16"/>
              </w:rPr>
              <w:t>20.1%</w:t>
            </w:r>
          </w:p>
        </w:tc>
        <w:tc>
          <w:tcPr>
            <w:tcW w:type="dxa" w:w="1008"/>
            <w:tcMar>
              <w:top w:w="50" w:type="dxa"/>
              <w:bottom w:w="50" w:type="dxa"/>
              <w:left w:w="60" w:type="dxa"/>
              <w:right w:w="60" w:type="dxa"/>
            </w:tcMar>
          </w:tcPr>
          <w:p>
            <w:pPr>
              <w:jc w:val="center"/>
            </w:pPr>
            <w:r>
              <w:rPr>
                <w:rFonts w:ascii="Calibri" w:hAnsi="Calibri"/>
                <w:sz w:val="16"/>
              </w:rPr>
              <w:t>19.5%</w:t>
            </w:r>
          </w:p>
        </w:tc>
        <w:tc>
          <w:tcPr>
            <w:tcW w:type="dxa" w:w="1008"/>
            <w:tcMar>
              <w:top w:w="50" w:type="dxa"/>
              <w:bottom w:w="50" w:type="dxa"/>
              <w:left w:w="60" w:type="dxa"/>
              <w:right w:w="60" w:type="dxa"/>
            </w:tcMar>
          </w:tcPr>
          <w:p>
            <w:pPr>
              <w:jc w:val="center"/>
            </w:pPr>
            <w:r>
              <w:rPr>
                <w:rFonts w:ascii="Calibri" w:hAnsi="Calibri"/>
                <w:b/>
                <w:sz w:val="16"/>
              </w:rPr>
              <w:t>18.9%</w:t>
            </w:r>
          </w:p>
        </w:tc>
        <w:tc>
          <w:tcPr>
            <w:tcW w:type="dxa" w:w="1008"/>
            <w:tcMar>
              <w:top w:w="50" w:type="dxa"/>
              <w:bottom w:w="50" w:type="dxa"/>
              <w:left w:w="60" w:type="dxa"/>
              <w:right w:w="60" w:type="dxa"/>
            </w:tcMar>
          </w:tcPr>
          <w:p>
            <w:pPr>
              <w:jc w:val="center"/>
            </w:pPr>
            <w:r>
              <w:rPr>
                <w:rFonts w:ascii="Calibri" w:hAnsi="Calibri"/>
                <w:sz w:val="16"/>
              </w:rPr>
              <w:t>18.3%</w:t>
            </w:r>
          </w:p>
        </w:tc>
        <w:tc>
          <w:tcPr>
            <w:tcW w:type="dxa" w:w="1008"/>
            <w:tcMar>
              <w:top w:w="50" w:type="dxa"/>
              <w:bottom w:w="50" w:type="dxa"/>
              <w:left w:w="60" w:type="dxa"/>
              <w:right w:w="60" w:type="dxa"/>
            </w:tcMar>
          </w:tcPr>
          <w:p>
            <w:pPr>
              <w:jc w:val="center"/>
            </w:pPr>
            <w:r>
              <w:rPr>
                <w:rFonts w:ascii="Calibri" w:hAnsi="Calibri"/>
                <w:sz w:val="16"/>
              </w:rPr>
              <w:t>17.7%</w:t>
            </w:r>
          </w:p>
        </w:tc>
        <w:tc>
          <w:tcPr>
            <w:tcW w:type="dxa" w:w="2016"/>
            <w:tcMar>
              <w:top w:w="50" w:type="dxa"/>
              <w:bottom w:w="50" w:type="dxa"/>
              <w:left w:w="60" w:type="dxa"/>
              <w:right w:w="60" w:type="dxa"/>
            </w:tcMar>
          </w:tcPr>
          <w:p>
            <w:pPr>
              <w:jc w:val="left"/>
            </w:pPr>
            <w:r>
              <w:rPr>
                <w:rFonts w:ascii="Calibri" w:hAnsi="Calibri"/>
                <w:sz w:val="16"/>
              </w:rPr>
              <w:t>Exigencia elevada.</w:t>
            </w:r>
          </w:p>
        </w:tc>
      </w:tr>
      <w:tr>
        <w:tc>
          <w:tcPr>
            <w:tcW w:type="dxa" w:w="1728"/>
            <w:tcMar>
              <w:top w:w="50" w:type="dxa"/>
              <w:bottom w:w="50" w:type="dxa"/>
              <w:left w:w="60" w:type="dxa"/>
              <w:right w:w="60" w:type="dxa"/>
            </w:tcMar>
          </w:tcPr>
          <w:p>
            <w:pPr>
              <w:jc w:val="center"/>
            </w:pPr>
            <w:r>
              <w:rPr>
                <w:rFonts w:ascii="Calibri" w:hAnsi="Calibri"/>
                <w:b/>
                <w:sz w:val="16"/>
              </w:rPr>
              <w:t>10.90% (Fiscal)</w:t>
            </w:r>
          </w:p>
        </w:tc>
        <w:tc>
          <w:tcPr>
            <w:tcW w:type="dxa" w:w="1008"/>
            <w:tcMar>
              <w:top w:w="50" w:type="dxa"/>
              <w:bottom w:w="50" w:type="dxa"/>
              <w:left w:w="60" w:type="dxa"/>
              <w:right w:w="60" w:type="dxa"/>
            </w:tcMar>
          </w:tcPr>
          <w:p>
            <w:pPr>
              <w:jc w:val="center"/>
            </w:pPr>
            <w:r>
              <w:rPr>
                <w:rFonts w:ascii="Calibri" w:hAnsi="Calibri"/>
                <w:sz w:val="16"/>
              </w:rPr>
              <w:t>21.6%</w:t>
            </w:r>
          </w:p>
        </w:tc>
        <w:tc>
          <w:tcPr>
            <w:tcW w:type="dxa" w:w="1008"/>
            <w:tcMar>
              <w:top w:w="50" w:type="dxa"/>
              <w:bottom w:w="50" w:type="dxa"/>
              <w:left w:w="60" w:type="dxa"/>
              <w:right w:w="60" w:type="dxa"/>
            </w:tcMar>
          </w:tcPr>
          <w:p>
            <w:pPr>
              <w:jc w:val="center"/>
            </w:pPr>
            <w:r>
              <w:rPr>
                <w:rFonts w:ascii="Calibri" w:hAnsi="Calibri"/>
                <w:sz w:val="16"/>
              </w:rPr>
              <w:t>21.1%</w:t>
            </w:r>
          </w:p>
        </w:tc>
        <w:tc>
          <w:tcPr>
            <w:tcW w:type="dxa" w:w="1008"/>
            <w:tcMar>
              <w:top w:w="50" w:type="dxa"/>
              <w:bottom w:w="50" w:type="dxa"/>
              <w:left w:w="60" w:type="dxa"/>
              <w:right w:w="60" w:type="dxa"/>
            </w:tcMar>
          </w:tcPr>
          <w:p>
            <w:pPr>
              <w:jc w:val="center"/>
            </w:pPr>
            <w:r>
              <w:rPr>
                <w:rFonts w:ascii="Calibri" w:hAnsi="Calibri"/>
                <w:sz w:val="16"/>
              </w:rPr>
              <w:t>20.6%</w:t>
            </w:r>
          </w:p>
        </w:tc>
        <w:tc>
          <w:tcPr>
            <w:tcW w:type="dxa" w:w="1008"/>
            <w:tcMar>
              <w:top w:w="50" w:type="dxa"/>
              <w:bottom w:w="50" w:type="dxa"/>
              <w:left w:w="60" w:type="dxa"/>
              <w:right w:w="60" w:type="dxa"/>
            </w:tcMar>
          </w:tcPr>
          <w:p>
            <w:pPr>
              <w:jc w:val="center"/>
            </w:pPr>
            <w:r>
              <w:rPr>
                <w:rFonts w:ascii="Calibri" w:hAnsi="Calibri"/>
                <w:b/>
                <w:sz w:val="16"/>
              </w:rPr>
              <w:t>-5.9%</w:t>
            </w:r>
          </w:p>
        </w:tc>
        <w:tc>
          <w:tcPr>
            <w:tcW w:type="dxa" w:w="1008"/>
            <w:tcMar>
              <w:top w:w="50" w:type="dxa"/>
              <w:bottom w:w="50" w:type="dxa"/>
              <w:left w:w="60" w:type="dxa"/>
              <w:right w:w="60" w:type="dxa"/>
            </w:tcMar>
          </w:tcPr>
          <w:p>
            <w:pPr>
              <w:jc w:val="center"/>
            </w:pPr>
            <w:r>
              <w:rPr>
                <w:rFonts w:ascii="Calibri" w:hAnsi="Calibri"/>
                <w:sz w:val="16"/>
              </w:rPr>
              <w:t>19.4%</w:t>
            </w:r>
          </w:p>
        </w:tc>
        <w:tc>
          <w:tcPr>
            <w:tcW w:type="dxa" w:w="1008"/>
            <w:tcMar>
              <w:top w:w="50" w:type="dxa"/>
              <w:bottom w:w="50" w:type="dxa"/>
              <w:left w:w="60" w:type="dxa"/>
              <w:right w:w="60" w:type="dxa"/>
            </w:tcMar>
          </w:tcPr>
          <w:p>
            <w:pPr>
              <w:jc w:val="center"/>
            </w:pPr>
            <w:r>
              <w:rPr>
                <w:rFonts w:ascii="Calibri" w:hAnsi="Calibri"/>
                <w:sz w:val="16"/>
              </w:rPr>
              <w:t>18.8%</w:t>
            </w:r>
          </w:p>
        </w:tc>
        <w:tc>
          <w:tcPr>
            <w:tcW w:type="dxa" w:w="2016"/>
            <w:tcMar>
              <w:top w:w="50" w:type="dxa"/>
              <w:bottom w:w="50" w:type="dxa"/>
              <w:left w:w="60" w:type="dxa"/>
              <w:right w:w="60" w:type="dxa"/>
            </w:tcMar>
          </w:tcPr>
          <w:p>
            <w:pPr>
              <w:jc w:val="left"/>
            </w:pPr>
            <w:r>
              <w:rPr>
                <w:rFonts w:ascii="Calibri" w:hAnsi="Calibri"/>
                <w:sz w:val="16"/>
              </w:rPr>
              <w:t>Exigencia severa.</w:t>
            </w:r>
          </w:p>
        </w:tc>
      </w:tr>
      <w:tr>
        <w:tc>
          <w:tcPr>
            <w:tcW w:type="dxa" w:w="1728"/>
            <w:tcMar>
              <w:top w:w="50" w:type="dxa"/>
              <w:bottom w:w="50" w:type="dxa"/>
              <w:left w:w="60" w:type="dxa"/>
              <w:right w:w="60" w:type="dxa"/>
            </w:tcMar>
          </w:tcPr>
          <w:p>
            <w:pPr>
              <w:jc w:val="center"/>
            </w:pPr>
            <w:r>
              <w:rPr>
                <w:rFonts w:ascii="Calibri" w:hAnsi="Calibri"/>
                <w:b/>
                <w:sz w:val="16"/>
              </w:rPr>
              <w:t>11.40% (Alto)</w:t>
            </w:r>
          </w:p>
        </w:tc>
        <w:tc>
          <w:tcPr>
            <w:tcW w:type="dxa" w:w="1008"/>
            <w:tcMar>
              <w:top w:w="50" w:type="dxa"/>
              <w:bottom w:w="50" w:type="dxa"/>
              <w:left w:w="60" w:type="dxa"/>
              <w:right w:w="60" w:type="dxa"/>
            </w:tcMar>
          </w:tcPr>
          <w:p>
            <w:pPr>
              <w:jc w:val="center"/>
            </w:pPr>
            <w:r>
              <w:rPr>
                <w:rFonts w:ascii="Calibri" w:hAnsi="Calibri"/>
                <w:sz w:val="16"/>
              </w:rPr>
              <w:t>22.5%</w:t>
            </w:r>
          </w:p>
        </w:tc>
        <w:tc>
          <w:tcPr>
            <w:tcW w:type="dxa" w:w="1008"/>
            <w:tcMar>
              <w:top w:w="50" w:type="dxa"/>
              <w:bottom w:w="50" w:type="dxa"/>
              <w:left w:w="60" w:type="dxa"/>
              <w:right w:w="60" w:type="dxa"/>
            </w:tcMar>
          </w:tcPr>
          <w:p>
            <w:pPr>
              <w:jc w:val="center"/>
            </w:pPr>
            <w:r>
              <w:rPr>
                <w:rFonts w:ascii="Calibri" w:hAnsi="Calibri"/>
                <w:sz w:val="16"/>
              </w:rPr>
              <w:t>22.1%</w:t>
            </w:r>
          </w:p>
        </w:tc>
        <w:tc>
          <w:tcPr>
            <w:tcW w:type="dxa" w:w="1008"/>
            <w:tcMar>
              <w:top w:w="50" w:type="dxa"/>
              <w:bottom w:w="50" w:type="dxa"/>
              <w:left w:w="60" w:type="dxa"/>
              <w:right w:w="60" w:type="dxa"/>
            </w:tcMar>
          </w:tcPr>
          <w:p>
            <w:pPr>
              <w:jc w:val="center"/>
            </w:pPr>
            <w:r>
              <w:rPr>
                <w:rFonts w:ascii="Calibri" w:hAnsi="Calibri"/>
                <w:sz w:val="16"/>
              </w:rPr>
              <w:t>21.6%</w:t>
            </w:r>
          </w:p>
        </w:tc>
        <w:tc>
          <w:tcPr>
            <w:tcW w:type="dxa" w:w="1008"/>
            <w:tcMar>
              <w:top w:w="50" w:type="dxa"/>
              <w:bottom w:w="50" w:type="dxa"/>
              <w:left w:w="60" w:type="dxa"/>
              <w:right w:w="60" w:type="dxa"/>
            </w:tcMar>
          </w:tcPr>
          <w:p>
            <w:pPr>
              <w:jc w:val="center"/>
            </w:pPr>
            <w:r>
              <w:rPr>
                <w:rFonts w:ascii="Calibri" w:hAnsi="Calibri"/>
                <w:b/>
                <w:sz w:val="16"/>
              </w:rPr>
              <w:t>21.1%</w:t>
            </w:r>
          </w:p>
        </w:tc>
        <w:tc>
          <w:tcPr>
            <w:tcW w:type="dxa" w:w="1008"/>
            <w:tcMar>
              <w:top w:w="50" w:type="dxa"/>
              <w:bottom w:w="50" w:type="dxa"/>
              <w:left w:w="60" w:type="dxa"/>
              <w:right w:w="60" w:type="dxa"/>
            </w:tcMar>
          </w:tcPr>
          <w:p>
            <w:pPr>
              <w:jc w:val="center"/>
            </w:pPr>
            <w:r>
              <w:rPr>
                <w:rFonts w:ascii="Calibri" w:hAnsi="Calibri"/>
                <w:sz w:val="16"/>
              </w:rPr>
              <w:t>20.5%</w:t>
            </w:r>
          </w:p>
        </w:tc>
        <w:tc>
          <w:tcPr>
            <w:tcW w:type="dxa" w:w="1008"/>
            <w:tcMar>
              <w:top w:w="50" w:type="dxa"/>
              <w:bottom w:w="50" w:type="dxa"/>
              <w:left w:w="60" w:type="dxa"/>
              <w:right w:w="60" w:type="dxa"/>
            </w:tcMar>
          </w:tcPr>
          <w:p>
            <w:pPr>
              <w:jc w:val="center"/>
            </w:pPr>
            <w:r>
              <w:rPr>
                <w:rFonts w:ascii="Calibri" w:hAnsi="Calibri"/>
                <w:sz w:val="16"/>
              </w:rPr>
              <w:t>19.9%</w:t>
            </w:r>
          </w:p>
        </w:tc>
        <w:tc>
          <w:tcPr>
            <w:tcW w:type="dxa" w:w="2016"/>
            <w:tcMar>
              <w:top w:w="50" w:type="dxa"/>
              <w:bottom w:w="50" w:type="dxa"/>
              <w:left w:w="60" w:type="dxa"/>
              <w:right w:w="60" w:type="dxa"/>
            </w:tcMar>
          </w:tcPr>
          <w:p>
            <w:pPr>
              <w:jc w:val="left"/>
            </w:pPr>
            <w:r>
              <w:rPr>
                <w:rFonts w:ascii="Calibri" w:hAnsi="Calibri"/>
                <w:sz w:val="16"/>
              </w:rPr>
              <w:t>Estrés macro.</w:t>
            </w:r>
          </w:p>
        </w:tc>
      </w:tr>
    </w:tbl>
    <w:p>
      <w:pPr>
        <w:pStyle w:val="Heading2"/>
      </w:pPr>
      <w:r>
        <w:rPr>
          <w:rFonts w:ascii="Calibri" w:hAnsi="Calibri"/>
          <w:b/>
          <w:color w:val="1B365D"/>
          <w:sz w:val="23"/>
        </w:rPr>
        <w:t>16.5. Cuadro de Mando Consolidado y Tesis Final de Inversión</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2880"/>
        <w:gridCol w:w="1872"/>
        <w:gridCol w:w="2880"/>
      </w:tblGrid>
      <w:tr>
        <w:tc>
          <w:tcPr>
            <w:tcW w:type="dxa" w:w="2160"/>
            <w:shd w:fill="1B365D"/>
            <w:tcMar>
              <w:top w:w="80" w:type="dxa"/>
              <w:bottom w:w="80" w:type="dxa"/>
              <w:left w:w="80" w:type="dxa"/>
              <w:right w:w="80" w:type="dxa"/>
            </w:tcMar>
          </w:tcPr>
          <w:p>
            <w:pPr>
              <w:jc w:val="left"/>
            </w:pPr>
            <w:r>
              <w:rPr>
                <w:rFonts w:ascii="Calibri" w:hAnsi="Calibri"/>
                <w:b/>
                <w:color w:val="FFFFFF"/>
                <w:sz w:val="17"/>
              </w:rPr>
              <w:t>Dimensión Fundamental</w:t>
            </w:r>
          </w:p>
        </w:tc>
        <w:tc>
          <w:tcPr>
            <w:tcW w:type="dxa" w:w="2880"/>
            <w:shd w:fill="1B365D"/>
            <w:tcMar>
              <w:top w:w="80" w:type="dxa"/>
              <w:bottom w:w="80" w:type="dxa"/>
              <w:left w:w="80" w:type="dxa"/>
              <w:right w:w="80" w:type="dxa"/>
            </w:tcMar>
          </w:tcPr>
          <w:p>
            <w:pPr>
              <w:jc w:val="left"/>
            </w:pPr>
            <w:r>
              <w:rPr>
                <w:rFonts w:ascii="Calibri" w:hAnsi="Calibri"/>
                <w:b/>
                <w:color w:val="FFFFFF"/>
                <w:sz w:val="17"/>
              </w:rPr>
              <w:t>Diagnóstico Auditado</w:t>
            </w:r>
          </w:p>
        </w:tc>
        <w:tc>
          <w:tcPr>
            <w:tcW w:type="dxa" w:w="1872"/>
            <w:shd w:fill="1B365D"/>
            <w:tcMar>
              <w:top w:w="80" w:type="dxa"/>
              <w:bottom w:w="80" w:type="dxa"/>
              <w:left w:w="80" w:type="dxa"/>
              <w:right w:w="80" w:type="dxa"/>
            </w:tcMar>
          </w:tcPr>
          <w:p>
            <w:pPr>
              <w:jc w:val="center"/>
            </w:pPr>
            <w:r>
              <w:rPr>
                <w:rFonts w:ascii="Calibri" w:hAnsi="Calibri"/>
                <w:b/>
                <w:color w:val="FFFFFF"/>
                <w:sz w:val="17"/>
              </w:rPr>
              <w:t>Calificación</w:t>
            </w:r>
          </w:p>
        </w:tc>
        <w:tc>
          <w:tcPr>
            <w:tcW w:type="dxa" w:w="2880"/>
            <w:shd w:fill="1B365D"/>
            <w:tcMar>
              <w:top w:w="80" w:type="dxa"/>
              <w:bottom w:w="80" w:type="dxa"/>
              <w:left w:w="80" w:type="dxa"/>
              <w:right w:w="80" w:type="dxa"/>
            </w:tcMar>
          </w:tcPr>
          <w:p>
            <w:pPr>
              <w:jc w:val="left"/>
            </w:pPr>
            <w:r>
              <w:rPr>
                <w:rFonts w:ascii="Calibri" w:hAnsi="Calibri"/>
                <w:b/>
                <w:color w:val="FFFFFF"/>
                <w:sz w:val="17"/>
              </w:rPr>
              <w:t>Veredicto de Asignación</w:t>
            </w:r>
          </w:p>
        </w:tc>
      </w:tr>
      <w:tr>
        <w:tc>
          <w:tcPr>
            <w:tcW w:type="dxa" w:w="2160"/>
            <w:tcMar>
              <w:top w:w="50" w:type="dxa"/>
              <w:bottom w:w="50" w:type="dxa"/>
              <w:left w:w="60" w:type="dxa"/>
              <w:right w:w="60" w:type="dxa"/>
            </w:tcMar>
          </w:tcPr>
          <w:p>
            <w:pPr>
              <w:jc w:val="left"/>
            </w:pPr>
            <w:r>
              <w:rPr>
                <w:rFonts w:ascii="Calibri" w:hAnsi="Calibri"/>
                <w:b/>
                <w:sz w:val="16"/>
              </w:rPr>
              <w:t>Ventaja Competitiva (Moat)</w:t>
            </w:r>
          </w:p>
        </w:tc>
        <w:tc>
          <w:tcPr>
            <w:tcW w:type="dxa" w:w="2880"/>
            <w:tcMar>
              <w:top w:w="50" w:type="dxa"/>
              <w:bottom w:w="50" w:type="dxa"/>
              <w:left w:w="60" w:type="dxa"/>
              <w:right w:w="60" w:type="dxa"/>
            </w:tcMar>
          </w:tcPr>
          <w:p>
            <w:pPr>
              <w:jc w:val="left"/>
            </w:pPr>
            <w:r>
              <w:rPr>
                <w:rFonts w:ascii="Calibri" w:hAnsi="Calibri"/>
                <w:sz w:val="16"/>
              </w:rPr>
              <w:t>Ecosistema cautivo + Apple Silicon</w:t>
            </w:r>
          </w:p>
        </w:tc>
        <w:tc>
          <w:tcPr>
            <w:tcW w:type="dxa" w:w="1872"/>
            <w:tcMar>
              <w:top w:w="50" w:type="dxa"/>
              <w:bottom w:w="50" w:type="dxa"/>
              <w:left w:w="60" w:type="dxa"/>
              <w:right w:w="60" w:type="dxa"/>
            </w:tcMar>
          </w:tcPr>
          <w:p>
            <w:pPr>
              <w:jc w:val="center"/>
            </w:pPr>
            <w:r>
              <w:rPr>
                <w:rFonts w:ascii="Calibri" w:hAnsi="Calibri"/>
                <w:b/>
                <w:sz w:val="16"/>
              </w:rPr>
              <w:t>WIDE MOAT</w:t>
            </w:r>
          </w:p>
        </w:tc>
        <w:tc>
          <w:tcPr>
            <w:tcW w:type="dxa" w:w="2880"/>
            <w:tcMar>
              <w:top w:w="50" w:type="dxa"/>
              <w:bottom w:w="50" w:type="dxa"/>
              <w:left w:w="60" w:type="dxa"/>
              <w:right w:w="60" w:type="dxa"/>
            </w:tcMar>
          </w:tcPr>
          <w:p>
            <w:pPr>
              <w:jc w:val="left"/>
            </w:pPr>
            <w:r>
              <w:rPr>
                <w:rFonts w:ascii="Calibri" w:hAnsi="Calibri"/>
                <w:sz w:val="16"/>
              </w:rPr>
              <w:t>Poder de precios y resiliencia (&gt;32% EBIT).</w:t>
            </w:r>
          </w:p>
        </w:tc>
      </w:tr>
      <w:tr>
        <w:tc>
          <w:tcPr>
            <w:tcW w:type="dxa" w:w="2160"/>
            <w:tcMar>
              <w:top w:w="50" w:type="dxa"/>
              <w:bottom w:w="50" w:type="dxa"/>
              <w:left w:w="60" w:type="dxa"/>
              <w:right w:w="60" w:type="dxa"/>
            </w:tcMar>
          </w:tcPr>
          <w:p>
            <w:pPr>
              <w:jc w:val="left"/>
            </w:pPr>
            <w:r>
              <w:rPr>
                <w:rFonts w:ascii="Calibri" w:hAnsi="Calibri"/>
                <w:b/>
                <w:sz w:val="16"/>
              </w:rPr>
              <w:t>Calidad de Beneficios</w:t>
            </w:r>
          </w:p>
        </w:tc>
        <w:tc>
          <w:tcPr>
            <w:tcW w:type="dxa" w:w="2880"/>
            <w:tcMar>
              <w:top w:w="50" w:type="dxa"/>
              <w:bottom w:w="50" w:type="dxa"/>
              <w:left w:w="60" w:type="dxa"/>
              <w:right w:w="60" w:type="dxa"/>
            </w:tcMar>
          </w:tcPr>
          <w:p>
            <w:pPr>
              <w:jc w:val="left"/>
            </w:pPr>
            <w:r>
              <w:rPr>
                <w:rFonts w:ascii="Calibri" w:hAnsi="Calibri"/>
                <w:sz w:val="16"/>
              </w:rPr>
              <w:t>Ratio Sloan: -4.79% / Montier: 1/6</w:t>
            </w:r>
          </w:p>
        </w:tc>
        <w:tc>
          <w:tcPr>
            <w:tcW w:type="dxa" w:w="1872"/>
            <w:tcMar>
              <w:top w:w="50" w:type="dxa"/>
              <w:bottom w:w="50" w:type="dxa"/>
              <w:left w:w="60" w:type="dxa"/>
              <w:right w:w="60" w:type="dxa"/>
            </w:tcMar>
          </w:tcPr>
          <w:p>
            <w:pPr>
              <w:jc w:val="center"/>
            </w:pPr>
            <w:r>
              <w:rPr>
                <w:rFonts w:ascii="Calibri" w:hAnsi="Calibri"/>
                <w:b/>
                <w:sz w:val="16"/>
              </w:rPr>
              <w:t>MÁXIMA CALIDAD</w:t>
            </w:r>
          </w:p>
        </w:tc>
        <w:tc>
          <w:tcPr>
            <w:tcW w:type="dxa" w:w="2880"/>
            <w:tcMar>
              <w:top w:w="50" w:type="dxa"/>
              <w:bottom w:w="50" w:type="dxa"/>
              <w:left w:w="60" w:type="dxa"/>
              <w:right w:w="60" w:type="dxa"/>
            </w:tcMar>
          </w:tcPr>
          <w:p>
            <w:pPr>
              <w:jc w:val="left"/>
            </w:pPr>
            <w:r>
              <w:rPr>
                <w:rFonts w:ascii="Calibri" w:hAnsi="Calibri"/>
                <w:sz w:val="16"/>
              </w:rPr>
              <w:t>Ganancias 100% en caja ($1.14 CFO / $1 NI).</w:t>
            </w:r>
          </w:p>
        </w:tc>
      </w:tr>
      <w:tr>
        <w:tc>
          <w:tcPr>
            <w:tcW w:type="dxa" w:w="2160"/>
            <w:tcMar>
              <w:top w:w="50" w:type="dxa"/>
              <w:bottom w:w="50" w:type="dxa"/>
              <w:left w:w="60" w:type="dxa"/>
              <w:right w:w="60" w:type="dxa"/>
            </w:tcMar>
          </w:tcPr>
          <w:p>
            <w:pPr>
              <w:jc w:val="left"/>
            </w:pPr>
            <w:r>
              <w:rPr>
                <w:rFonts w:ascii="Calibri" w:hAnsi="Calibri"/>
                <w:b/>
                <w:sz w:val="16"/>
              </w:rPr>
              <w:t>Solvencia y Estructura</w:t>
            </w:r>
          </w:p>
        </w:tc>
        <w:tc>
          <w:tcPr>
            <w:tcW w:type="dxa" w:w="2880"/>
            <w:tcMar>
              <w:top w:w="50" w:type="dxa"/>
              <w:bottom w:w="50" w:type="dxa"/>
              <w:left w:w="60" w:type="dxa"/>
              <w:right w:w="60" w:type="dxa"/>
            </w:tcMar>
          </w:tcPr>
          <w:p>
            <w:pPr>
              <w:jc w:val="left"/>
            </w:pPr>
            <w:r>
              <w:rPr>
                <w:rFonts w:ascii="Calibri" w:hAnsi="Calibri"/>
                <w:sz w:val="16"/>
              </w:rPr>
              <w:t>Cobertura EBIT: 41.8x / Altman: 3.23</w:t>
            </w:r>
          </w:p>
        </w:tc>
        <w:tc>
          <w:tcPr>
            <w:tcW w:type="dxa" w:w="1872"/>
            <w:tcMar>
              <w:top w:w="50" w:type="dxa"/>
              <w:bottom w:w="50" w:type="dxa"/>
              <w:left w:w="60" w:type="dxa"/>
              <w:right w:w="60" w:type="dxa"/>
            </w:tcMar>
          </w:tcPr>
          <w:p>
            <w:pPr>
              <w:jc w:val="center"/>
            </w:pPr>
            <w:r>
              <w:rPr>
                <w:rFonts w:ascii="Calibri" w:hAnsi="Calibri"/>
                <w:b/>
                <w:sz w:val="16"/>
              </w:rPr>
              <w:t>SINTÉTICO AAA</w:t>
            </w:r>
          </w:p>
        </w:tc>
        <w:tc>
          <w:tcPr>
            <w:tcW w:type="dxa" w:w="2880"/>
            <w:tcMar>
              <w:top w:w="50" w:type="dxa"/>
              <w:bottom w:w="50" w:type="dxa"/>
              <w:left w:w="60" w:type="dxa"/>
              <w:right w:w="60" w:type="dxa"/>
            </w:tcMar>
          </w:tcPr>
          <w:p>
            <w:pPr>
              <w:jc w:val="left"/>
            </w:pPr>
            <w:r>
              <w:rPr>
                <w:rFonts w:ascii="Calibri" w:hAnsi="Calibri"/>
                <w:sz w:val="16"/>
              </w:rPr>
              <w:t>Cero estrés crediticio; liquidez de $39.5B.</w:t>
            </w:r>
          </w:p>
        </w:tc>
      </w:tr>
      <w:tr>
        <w:tc>
          <w:tcPr>
            <w:tcW w:type="dxa" w:w="2160"/>
            <w:tcMar>
              <w:top w:w="50" w:type="dxa"/>
              <w:bottom w:w="50" w:type="dxa"/>
              <w:left w:w="60" w:type="dxa"/>
              <w:right w:w="60" w:type="dxa"/>
            </w:tcMar>
          </w:tcPr>
          <w:p>
            <w:pPr>
              <w:jc w:val="left"/>
            </w:pPr>
            <w:r>
              <w:rPr>
                <w:rFonts w:ascii="Calibri" w:hAnsi="Calibri"/>
                <w:b/>
                <w:sz w:val="16"/>
              </w:rPr>
              <w:t>Productividad Capital</w:t>
            </w:r>
          </w:p>
        </w:tc>
        <w:tc>
          <w:tcPr>
            <w:tcW w:type="dxa" w:w="2880"/>
            <w:tcMar>
              <w:top w:w="50" w:type="dxa"/>
              <w:bottom w:w="50" w:type="dxa"/>
              <w:left w:w="60" w:type="dxa"/>
              <w:right w:w="60" w:type="dxa"/>
            </w:tcMar>
          </w:tcPr>
          <w:p>
            <w:pPr>
              <w:jc w:val="left"/>
            </w:pPr>
            <w:r>
              <w:rPr>
                <w:rFonts w:ascii="Calibri" w:hAnsi="Calibri"/>
                <w:sz w:val="16"/>
              </w:rPr>
              <w:t>ROC: 305.8% / ROIC Adj: 52.7%</w:t>
            </w:r>
          </w:p>
        </w:tc>
        <w:tc>
          <w:tcPr>
            <w:tcW w:type="dxa" w:w="1872"/>
            <w:tcMar>
              <w:top w:w="50" w:type="dxa"/>
              <w:bottom w:w="50" w:type="dxa"/>
              <w:left w:w="60" w:type="dxa"/>
              <w:right w:w="60" w:type="dxa"/>
            </w:tcMar>
          </w:tcPr>
          <w:p>
            <w:pPr>
              <w:jc w:val="center"/>
            </w:pPr>
            <w:r>
              <w:rPr>
                <w:rFonts w:ascii="Calibri" w:hAnsi="Calibri"/>
                <w:b/>
                <w:sz w:val="16"/>
              </w:rPr>
              <w:t>COMPOUNDING</w:t>
            </w:r>
          </w:p>
        </w:tc>
        <w:tc>
          <w:tcPr>
            <w:tcW w:type="dxa" w:w="2880"/>
            <w:tcMar>
              <w:top w:w="50" w:type="dxa"/>
              <w:bottom w:w="50" w:type="dxa"/>
              <w:left w:w="60" w:type="dxa"/>
              <w:right w:w="60" w:type="dxa"/>
            </w:tcMar>
          </w:tcPr>
          <w:p>
            <w:pPr>
              <w:jc w:val="left"/>
            </w:pPr>
            <w:r>
              <w:rPr>
                <w:rFonts w:ascii="Calibri" w:hAnsi="Calibri"/>
                <w:sz w:val="16"/>
              </w:rPr>
              <w:t>Spread masivo +42.7 pp (Creación de valor élite).</w:t>
            </w:r>
          </w:p>
        </w:tc>
      </w:tr>
      <w:tr>
        <w:tc>
          <w:tcPr>
            <w:tcW w:type="dxa" w:w="2160"/>
            <w:tcMar>
              <w:top w:w="50" w:type="dxa"/>
              <w:bottom w:w="50" w:type="dxa"/>
              <w:left w:w="60" w:type="dxa"/>
              <w:right w:w="60" w:type="dxa"/>
            </w:tcMar>
          </w:tcPr>
          <w:p>
            <w:pPr>
              <w:jc w:val="left"/>
            </w:pPr>
            <w:r>
              <w:rPr>
                <w:rFonts w:ascii="Calibri" w:hAnsi="Calibri"/>
                <w:b/>
                <w:sz w:val="16"/>
              </w:rPr>
              <w:t>Valoración de Mercado</w:t>
            </w:r>
          </w:p>
        </w:tc>
        <w:tc>
          <w:tcPr>
            <w:tcW w:type="dxa" w:w="2880"/>
            <w:tcMar>
              <w:top w:w="50" w:type="dxa"/>
              <w:bottom w:w="50" w:type="dxa"/>
              <w:left w:w="60" w:type="dxa"/>
              <w:right w:w="60" w:type="dxa"/>
            </w:tcMar>
          </w:tcPr>
          <w:p>
            <w:pPr>
              <w:jc w:val="left"/>
            </w:pPr>
            <w:r>
              <w:rPr>
                <w:rFonts w:ascii="Calibri" w:hAnsi="Calibri"/>
                <w:sz w:val="16"/>
              </w:rPr>
              <w:t>Implied Growth: -2.6% - -5.9%</w:t>
            </w:r>
          </w:p>
        </w:tc>
        <w:tc>
          <w:tcPr>
            <w:tcW w:type="dxa" w:w="1872"/>
            <w:tcMar>
              <w:top w:w="50" w:type="dxa"/>
              <w:bottom w:w="50" w:type="dxa"/>
              <w:left w:w="60" w:type="dxa"/>
              <w:right w:w="60" w:type="dxa"/>
            </w:tcMar>
          </w:tcPr>
          <w:p>
            <w:pPr>
              <w:jc w:val="center"/>
            </w:pPr>
            <w:r>
              <w:rPr>
                <w:rFonts w:ascii="Calibri" w:hAnsi="Calibri"/>
                <w:b/>
                <w:sz w:val="16"/>
              </w:rPr>
              <w:t>PERFECTION PRICED</w:t>
            </w:r>
          </w:p>
        </w:tc>
        <w:tc>
          <w:tcPr>
            <w:tcW w:type="dxa" w:w="2880"/>
            <w:tcMar>
              <w:top w:w="50" w:type="dxa"/>
              <w:bottom w:w="50" w:type="dxa"/>
              <w:left w:w="60" w:type="dxa"/>
              <w:right w:w="60" w:type="dxa"/>
            </w:tcMar>
          </w:tcPr>
          <w:p>
            <w:pPr>
              <w:jc w:val="left"/>
            </w:pPr>
            <w:r>
              <w:rPr>
                <w:rFonts w:ascii="Calibri" w:hAnsi="Calibri"/>
                <w:sz w:val="16"/>
              </w:rPr>
              <w:t>Exigente; requiere Servicios y recompras.</w:t>
            </w:r>
          </w:p>
        </w:tc>
      </w:tr>
    </w:tbl>
    <w:p>
      <w:pPr>
        <w:spacing w:after="16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