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22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Línea Principal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Demanda orgánica sostenida.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Línea Secundaria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Expansión en mercados core.</w:t>
            </w:r>
          </w:p>
        </w:tc>
      </w:tr>
    </w:tbl>
    <w:p>
      <w:pPr>
        <w:spacing w:after="120"/>
      </w:pPr>
    </w:p>
    <w:p>
      <w:pPr>
        <w:keepNext/>
        <w:spacing w:before="200" w:after="80"/>
      </w:pPr>
      <w:r>
        <w:rPr>
          <w:rFonts w:ascii="Calibri" w:hAnsi="Calibri"/>
          <w:b/>
          <w:color w:val="4A5568"/>
          <w:sz w:val="22"/>
        </w:rPr>
        <w:t>Análisis Cualitativo de las Líneas de Negocio:</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 Doméstico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60.0%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Principal base generadora de flujo de caja.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Mercado Internacional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+17.6%</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40.0%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en EMEA y Asia-Pacífico.</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FY2024).</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($755.6M en LTM) respalda con holgura al beneficio neto contable ($1,972.1M),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4,677M vs 1,602M (+3,075M)).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45.6% vs 43.5% (+2.13%)) como la productividad de sus activos instalados (Rot 0.26x vs 0.27x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$0.8B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 vs 3.4% (+1.09%)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$0.8B &gt; NI $2.0B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4,677M vs 1,602M (+3,075M)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45.6% vs 43.5% (+2.13%)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0.26x vs 0.27x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(4 / 8 en FY2024).</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4.53%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1.74%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$0.8B &gt; NI $2.0B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4.83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0.59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0.00%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$5,000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50.0%</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30.0%</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$5,000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40.0%</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10.0%</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15.0%</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30.0%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SOBRESALIENTE (TOP 25% (PERCENTIL 75+))</w:t>
              <w:br/>
            </w:r>
          </w:p>
          <w:p>
            <w:pPr>
              <w:spacing w:before="40" w:after="40" w:line="276" w:lineRule="auto"/>
            </w:pPr>
            <w:r>
              <w:rPr>
                <w:rFonts w:ascii="Calibri" w:hAnsi="Calibri"/>
                <w:color w:val="2D3748"/>
                <w:sz w:val="19"/>
              </w:rPr>
              <w:t>• Gross Profitability Total (FY2024): 10.52% de los Activos Totales (vs. Mediana Sector: 5.76%).</w:t>
            </w:r>
          </w:p>
          <w:p>
            <w:pPr>
              <w:spacing w:before="40" w:after="40" w:line="276" w:lineRule="auto"/>
            </w:pPr>
            <w:r>
              <w:rPr>
                <w:rFonts w:ascii="Calibri" w:hAnsi="Calibri"/>
                <w:color w:val="2D3748"/>
                <w:sz w:val="19"/>
              </w:rPr>
              <w:t>• Gross Profitability Operativa Ex-Caja (FY2024): 10.52% de los Activos Operativos (vs. Mediana Sector: 6.32%).</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+4.76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25% (Percentil 75+)?: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10.52%?: Por cada $1.00 de activo total en su balance general, la empresa produce $0.11 de utilidad bruta pura al año, antes de deducciones operativas, intereses e impuestos.</w:t>
            </w:r>
          </w:p>
          <w:p>
            <w:pPr>
              <w:spacing w:before="40" w:after="40" w:line="276" w:lineRule="auto"/>
            </w:pPr>
            <w:r>
              <w:rPr>
                <w:rFonts w:ascii="Calibri" w:hAnsi="Calibri"/>
                <w:color w:val="2D3748"/>
                <w:sz w:val="19"/>
              </w:rPr>
              <w:t>3. ¿Qué significa Ex-Caja (10.52%)?: Al excluir el efectivo y valores negociables líquidos (capital ocioso en caja que no produce bienes), el negocio puramente operativo rinde $0.11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FY2024</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FY2023</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10.52%</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8.03%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25% (Percentil 75+)</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$0.11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10.52%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8.03%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$0.11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+0.56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+2.27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+4.76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LÍDER EN VOLUMEN Y VELOCIDAD</w:t>
              <w:br/>
            </w:r>
          </w:p>
          <w:p>
            <w:pPr>
              <w:spacing w:before="40" w:after="40" w:line="276" w:lineRule="auto"/>
            </w:pPr>
            <w:r>
              <w:rPr>
                <w:rFonts w:ascii="Calibri" w:hAnsi="Calibri"/>
                <w:color w:val="2D3748"/>
                <w:sz w:val="19"/>
              </w:rPr>
              <w:t>Ventaja impulsada por rotación: márgenes ajustados (45.6% vs mediana 49.7%), pero alta velocidad de despliegue de activos (0.23x vs mediana 0.12x). Modelo tipo distribución mayorista, retail masivo o manufactura ultraeficiente.</w:t>
            </w:r>
          </w:p>
          <w:p>
            <w:pPr>
              <w:spacing w:before="40" w:after="40" w:line="276" w:lineRule="auto"/>
            </w:pPr>
            <w:r>
              <w:rPr>
                <w:rFonts w:ascii="Calibri" w:hAnsi="Calibri"/>
                <w:color w:val="2D3748"/>
                <w:sz w:val="19"/>
              </w:rPr>
              <w:t>• Verificación Matemática de Identidad DuPont (FY2024):</w:t>
            </w:r>
          </w:p>
          <w:p>
            <w:pPr>
              <w:spacing w:before="40" w:after="40" w:line="276" w:lineRule="auto"/>
            </w:pPr>
            <w:r>
              <w:rPr>
                <w:rFonts w:ascii="Calibri" w:hAnsi="Calibri"/>
                <w:color w:val="2D3748"/>
                <w:sz w:val="19"/>
              </w:rPr>
              <w:t xml:space="preserve">  Margen Bruto (45.61%) × Rotación de Activos (0.231x) = 10.52% (Concilia al 100.0% con GP/A de 10.52%).</w:t>
            </w:r>
          </w:p>
          <w:p>
            <w:pPr>
              <w:spacing w:before="40" w:after="40" w:line="276" w:lineRule="auto"/>
            </w:pPr>
            <w:r>
              <w:rPr>
                <w:rFonts w:ascii="Calibri" w:hAnsi="Calibri"/>
                <w:color w:val="2D3748"/>
                <w:sz w:val="19"/>
              </w:rPr>
              <w:t>• Identidad Operativa Ex-Caja: Margen Bruto (45.61%) × Rotación Ex-Caja (0.231x) = 10.52% (concilia con 10.52%).</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FY2024</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FY2023</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45.61%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43.48%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-4.05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0.231x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0.185x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0.116x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+0.11x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0.231x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0.185x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0.128x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10.52%</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8.03%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5.76%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+4.76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FY2022): +4.96 puntos porcentuales.</w:t>
            </w:r>
          </w:p>
          <w:p>
            <w:pPr>
              <w:spacing w:before="40" w:after="40" w:line="276" w:lineRule="auto"/>
            </w:pPr>
            <w:r>
              <w:rPr>
                <w:rFonts w:ascii="Calibri" w:hAnsi="Calibri"/>
                <w:color w:val="2D3748"/>
                <w:sz w:val="19"/>
              </w:rPr>
              <w:t>• Expansión a 5 Años (vs. FY2020): +7.30 puntos porcentuales.</w:t>
            </w:r>
          </w:p>
          <w:p>
            <w:pPr>
              <w:spacing w:before="40" w:after="40" w:line="276" w:lineRule="auto"/>
            </w:pPr>
            <w:r>
              <w:rPr>
                <w:rFonts w:ascii="Calibri" w:hAnsi="Calibri"/>
                <w:color w:val="2D3748"/>
                <w:sz w:val="19"/>
              </w:rPr>
              <w:t>• Coeficiente de Variación (CV GP/A): 0.494 (indica una trayectoria predecible y baja volatilidad operativa).</w:t>
            </w:r>
          </w:p>
          <w:p>
            <w:pPr>
              <w:spacing w:before="40" w:after="40" w:line="276" w:lineRule="auto"/>
            </w:pPr>
            <w:r>
              <w:rPr>
                <w:rFonts w:ascii="Calibri" w:hAnsi="Calibri"/>
                <w:color w:val="2D3748"/>
                <w:sz w:val="19"/>
              </w:rPr>
              <w:t>• Conclusión de Tendencia: Expansión estructural acelerada (+7.30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10.52%</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10.52%</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45.61%</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0.231x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8.03%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0.185x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5.56%</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5.56%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34.70%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0.160x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3.69%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3.69%</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0.086x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3.22%</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44.35%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0.073x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+5.87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-0.32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8.70%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+2.94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Nu Holdings Ltd. (NU) al período FY2024.</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DESTRUCCIÓN DE VALOR ECONÓMICO (SPREAD -0.55 p.p.)</w:t>
              <w:br/>
            </w:r>
          </w:p>
          <w:p>
            <w:pPr>
              <w:spacing w:before="40" w:after="40" w:line="276" w:lineRule="auto"/>
            </w:pPr>
            <w:r>
              <w:rPr>
                <w:rFonts w:ascii="Calibri" w:hAnsi="Calibri"/>
                <w:color w:val="2D3748"/>
                <w:sz w:val="19"/>
              </w:rPr>
              <w:t>• ROC Greenblatt Tangible (FY2024): 5906.65% (Productividad operativa pura pre-tax sobre capital de trabajo y PP&amp;E físico instalado).</w:t>
            </w:r>
          </w:p>
          <w:p>
            <w:pPr>
              <w:spacing w:before="40" w:after="40" w:line="276" w:lineRule="auto"/>
            </w:pPr>
            <w:r>
              <w:rPr>
                <w:rFonts w:ascii="Calibri" w:hAnsi="Calibri"/>
                <w:color w:val="2D3748"/>
                <w:sz w:val="19"/>
              </w:rPr>
              <w:t>• ROIC Ajustado por Intangibles (FY2024): 8.88% frente a un ROIC contable tradicional de 8.88%.</w:t>
            </w:r>
          </w:p>
          <w:p>
            <w:pPr>
              <w:spacing w:before="40" w:after="40" w:line="276" w:lineRule="auto"/>
            </w:pPr>
            <w:r>
              <w:rPr>
                <w:rFonts w:ascii="Calibri" w:hAnsi="Calibri"/>
                <w:color w:val="2D3748"/>
                <w:sz w:val="19"/>
              </w:rPr>
              <w:t>• Costo Promedio Ponderado de Capital (WACC): 9.43% (Costo del Equity Ke: 9.43%, Deuda Neta Kd: 0.00%).</w:t>
            </w:r>
          </w:p>
          <w:p>
            <w:pPr>
              <w:spacing w:before="40" w:after="40" w:line="276" w:lineRule="auto"/>
            </w:pPr>
            <w:r>
              <w:rPr>
                <w:rFonts w:ascii="Calibri" w:hAnsi="Calibri"/>
                <w:color w:val="2D3748"/>
                <w:sz w:val="19"/>
              </w:rPr>
              <w:t>• Spread Económico Neto: -0.55 p.p. de rendimiento por encima del costo de capital exigido por el mercado.</w:t>
            </w:r>
          </w:p>
          <w:p>
            <w:pPr>
              <w:spacing w:before="40" w:after="40" w:line="276" w:lineRule="auto"/>
            </w:pPr>
            <w:r>
              <w:rPr>
                <w:rFonts w:ascii="Calibri" w:hAnsi="Calibri"/>
                <w:color w:val="2D3748"/>
                <w:sz w:val="19"/>
              </w:rPr>
              <w:t>• Stock de Intangibles Fuera de Balance: $0.0M capitalizados en innovación y amortizados económicamente a 3 años.</w:t>
            </w:r>
          </w:p>
          <w:p>
            <w:pPr>
              <w:spacing w:before="40" w:after="40" w:line="276" w:lineRule="auto"/>
            </w:pPr>
            <w:r>
              <w:rPr>
                <w:rFonts w:ascii="Calibri" w:hAnsi="Calibri"/>
                <w:color w:val="2D3748"/>
                <w:sz w:val="19"/>
              </w:rPr>
              <w:t>• Tesis de Foso Defensivo: El retorno (8.88%) es inferior al costo de capital exigido (9.43%), destruyendo 0.55 puntos porcentuales de valor por cada ciclo operativo.</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$14.03</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$65,618.0M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4.97%</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0.94</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Nu Holdings Ltd., el ROC de 5906.65% refleja un modelo extraordinariamente Asset-Light, donde los proveedores financian el circulante (NWC negativo) y la manufactura es subcontratada, rindiendo más de $3.00 de beneficio por dólar instalado.</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FY2024</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$1,972.1M</w:t>
            </w:r>
          </w:p>
        </w:tc>
        <w:tc>
          <w:tcPr>
            <w:tcW w:type="dxa" w:w="1958"/>
            <w:tcMar>
              <w:top w:w="60" w:type="dxa"/>
              <w:bottom w:w="60" w:type="dxa"/>
              <w:left w:w="100" w:type="dxa"/>
              <w:right w:w="100" w:type="dxa"/>
            </w:tcMar>
          </w:tcPr>
          <w:p>
            <w:r>
              <w:rPr>
                <w:sz w:val="17"/>
              </w:rPr>
              <w:t>$1,972.1M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$0.0M</w:t>
            </w:r>
          </w:p>
        </w:tc>
        <w:tc>
          <w:tcPr>
            <w:tcW w:type="dxa" w:w="1958"/>
            <w:tcMar>
              <w:top w:w="60" w:type="dxa"/>
              <w:bottom w:w="60" w:type="dxa"/>
              <w:left w:w="100" w:type="dxa"/>
              <w:right w:w="100" w:type="dxa"/>
            </w:tcMar>
            <w:shd w:fill="F7FAFC"/>
          </w:tcPr>
          <w:p>
            <w:r>
              <w:rPr>
                <w:sz w:val="17"/>
              </w:rPr>
              <w:t>$0.0M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$0.0M</w:t>
            </w:r>
          </w:p>
        </w:tc>
        <w:tc>
          <w:tcPr>
            <w:tcW w:type="dxa" w:w="1958"/>
            <w:tcMar>
              <w:top w:w="60" w:type="dxa"/>
              <w:bottom w:w="60" w:type="dxa"/>
              <w:left w:w="100" w:type="dxa"/>
              <w:right w:w="100" w:type="dxa"/>
            </w:tcMar>
          </w:tcPr>
          <w:p>
            <w:r>
              <w:rPr>
                <w:sz w:val="17"/>
              </w:rPr>
              <w:t>$0.0M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$0.0M</w:t>
            </w:r>
          </w:p>
        </w:tc>
        <w:tc>
          <w:tcPr>
            <w:tcW w:type="dxa" w:w="1958"/>
            <w:tcMar>
              <w:top w:w="60" w:type="dxa"/>
              <w:bottom w:w="60" w:type="dxa"/>
              <w:left w:w="100" w:type="dxa"/>
              <w:right w:w="100" w:type="dxa"/>
            </w:tcMar>
            <w:shd w:fill="F7FAFC"/>
          </w:tcPr>
          <w:p>
            <w:r>
              <w:rPr>
                <w:sz w:val="17"/>
              </w:rPr>
              <w:t>$0.0M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$39.3M</w:t>
            </w:r>
          </w:p>
        </w:tc>
        <w:tc>
          <w:tcPr>
            <w:tcW w:type="dxa" w:w="1958"/>
            <w:tcMar>
              <w:top w:w="60" w:type="dxa"/>
              <w:bottom w:w="60" w:type="dxa"/>
              <w:left w:w="100" w:type="dxa"/>
              <w:right w:w="100" w:type="dxa"/>
            </w:tcMar>
          </w:tcPr>
          <w:p>
            <w:r>
              <w:rPr>
                <w:sz w:val="17"/>
              </w:rPr>
              <w:t>$39.3M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$39.3M</w:t>
            </w:r>
          </w:p>
        </w:tc>
        <w:tc>
          <w:tcPr>
            <w:tcW w:type="dxa" w:w="1958"/>
            <w:tcMar>
              <w:top w:w="60" w:type="dxa"/>
              <w:bottom w:w="60" w:type="dxa"/>
              <w:left w:w="100" w:type="dxa"/>
              <w:right w:w="100" w:type="dxa"/>
            </w:tcMar>
            <w:shd w:fill="F7FAFC"/>
          </w:tcPr>
          <w:p>
            <w:r>
              <w:rPr>
                <w:sz w:val="17"/>
              </w:rPr>
              <w:t>$39.3M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$33.4M</w:t>
            </w:r>
          </w:p>
        </w:tc>
        <w:tc>
          <w:tcPr>
            <w:tcW w:type="dxa" w:w="1958"/>
            <w:tcMar>
              <w:top w:w="60" w:type="dxa"/>
              <w:bottom w:w="60" w:type="dxa"/>
              <w:left w:w="100" w:type="dxa"/>
              <w:right w:w="100" w:type="dxa"/>
            </w:tcMar>
          </w:tcPr>
          <w:p>
            <w:r>
              <w:rPr>
                <w:sz w:val="17"/>
              </w:rPr>
              <w:t>$33.4M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5906.65%</w:t>
            </w:r>
          </w:p>
        </w:tc>
        <w:tc>
          <w:tcPr>
            <w:tcW w:type="dxa" w:w="1958"/>
            <w:tcMar>
              <w:top w:w="60" w:type="dxa"/>
              <w:bottom w:w="60" w:type="dxa"/>
              <w:left w:w="100" w:type="dxa"/>
              <w:right w:w="100" w:type="dxa"/>
            </w:tcMar>
            <w:shd w:fill="F7FAFC"/>
            <w:shd w:fill="E2EFDA"/>
          </w:tcPr>
          <w:p>
            <w:r>
              <w:rPr>
                <w:b/>
                <w:sz w:val="17"/>
              </w:rPr>
              <w:t>5906.65%</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(8.88%) sobrestima el retorno al mandar el I+D a gasto inmediato. La metodología Damodaran capitaliza la innovación a 3 años, reconociendo $0.0M de intangibles fuera de balance. El ROIC Ajustado resultante de 8.88% refleja el verdadero retorno económico sobre el capital total invertido ($46,714.8M).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FY2020</w:t>
            </w:r>
          </w:p>
        </w:tc>
        <w:tc>
          <w:tcPr>
            <w:tcW w:type="dxa" w:w="1399"/>
            <w:tcMar>
              <w:top w:w="60" w:type="dxa"/>
              <w:bottom w:w="60" w:type="dxa"/>
              <w:left w:w="100" w:type="dxa"/>
              <w:right w:w="100" w:type="dxa"/>
            </w:tcMar>
          </w:tcPr>
          <w:p>
            <w:r>
              <w:rPr>
                <w:b/>
                <w:sz w:val="17"/>
              </w:rPr>
              <w:t>-17149.10%</w:t>
            </w:r>
          </w:p>
        </w:tc>
        <w:tc>
          <w:tcPr>
            <w:tcW w:type="dxa" w:w="1399"/>
            <w:tcMar>
              <w:top w:w="60" w:type="dxa"/>
              <w:bottom w:w="60" w:type="dxa"/>
              <w:left w:w="100" w:type="dxa"/>
              <w:right w:w="100" w:type="dxa"/>
            </w:tcMar>
          </w:tcPr>
          <w:p>
            <w:r>
              <w:rPr>
                <w:b/>
                <w:sz w:val="17"/>
              </w:rPr>
              <w:t>2.54%</w:t>
            </w:r>
          </w:p>
        </w:tc>
        <w:tc>
          <w:tcPr>
            <w:tcW w:type="dxa" w:w="1399"/>
            <w:tcMar>
              <w:top w:w="60" w:type="dxa"/>
              <w:bottom w:w="60" w:type="dxa"/>
              <w:left w:w="100" w:type="dxa"/>
              <w:right w:w="100" w:type="dxa"/>
            </w:tcMar>
          </w:tcPr>
          <w:p>
            <w:r>
              <w:rPr>
                <w:b/>
                <w:sz w:val="17"/>
              </w:rPr>
              <w:t>2.54%</w:t>
            </w:r>
          </w:p>
        </w:tc>
        <w:tc>
          <w:tcPr>
            <w:tcW w:type="dxa" w:w="1399"/>
            <w:tcMar>
              <w:top w:w="60" w:type="dxa"/>
              <w:bottom w:w="60" w:type="dxa"/>
              <w:left w:w="100" w:type="dxa"/>
              <w:right w:w="100" w:type="dxa"/>
            </w:tcMar>
          </w:tcPr>
          <w:p>
            <w:r>
              <w:rPr>
                <w:sz w:val="17"/>
              </w:rPr>
              <w:t>$0.0M</w:t>
            </w:r>
          </w:p>
        </w:tc>
        <w:tc>
          <w:tcPr>
            <w:tcW w:type="dxa" w:w="1399"/>
            <w:tcMar>
              <w:top w:w="60" w:type="dxa"/>
              <w:bottom w:w="60" w:type="dxa"/>
              <w:left w:w="100" w:type="dxa"/>
              <w:right w:w="100" w:type="dxa"/>
            </w:tcMar>
          </w:tcPr>
          <w:p>
            <w:r>
              <w:rPr>
                <w:sz w:val="17"/>
              </w:rPr>
              <w:t>$10,154.2M</w:t>
            </w:r>
          </w:p>
        </w:tc>
        <w:tc>
          <w:tcPr>
            <w:tcW w:type="dxa" w:w="1399"/>
            <w:tcMar>
              <w:top w:w="60" w:type="dxa"/>
              <w:bottom w:w="60" w:type="dxa"/>
              <w:left w:w="100" w:type="dxa"/>
              <w:right w:w="100" w:type="dxa"/>
            </w:tcMar>
          </w:tcPr>
          <w:p>
            <w:r>
              <w:rPr>
                <w:b/>
                <w:sz w:val="17"/>
              </w:rPr>
              <w:t>-6.89 p.p.</w:t>
            </w:r>
          </w:p>
        </w:tc>
      </w:tr>
      <w:tr>
        <w:tc>
          <w:tcPr>
            <w:tcW w:type="dxa" w:w="1399"/>
            <w:tcMar>
              <w:top w:w="60" w:type="dxa"/>
              <w:bottom w:w="60" w:type="dxa"/>
              <w:left w:w="100" w:type="dxa"/>
              <w:right w:w="100" w:type="dxa"/>
            </w:tcMar>
            <w:shd w:fill="F7FAFC"/>
          </w:tcPr>
          <w:p>
            <w:r>
              <w:rPr>
                <w:sz w:val="17"/>
              </w:rPr>
              <w:t>FY2021</w:t>
            </w:r>
          </w:p>
        </w:tc>
        <w:tc>
          <w:tcPr>
            <w:tcW w:type="dxa" w:w="1399"/>
            <w:tcMar>
              <w:top w:w="60" w:type="dxa"/>
              <w:bottom w:w="60" w:type="dxa"/>
              <w:left w:w="100" w:type="dxa"/>
              <w:right w:w="100" w:type="dxa"/>
            </w:tcMar>
            <w:shd w:fill="F7FAFC"/>
          </w:tcPr>
          <w:p>
            <w:r>
              <w:rPr>
                <w:b/>
                <w:sz w:val="17"/>
              </w:rPr>
              <w:t>-3041.35%</w:t>
            </w:r>
          </w:p>
        </w:tc>
        <w:tc>
          <w:tcPr>
            <w:tcW w:type="dxa" w:w="1399"/>
            <w:tcMar>
              <w:top w:w="60" w:type="dxa"/>
              <w:bottom w:w="60" w:type="dxa"/>
              <w:left w:w="100" w:type="dxa"/>
              <w:right w:w="100" w:type="dxa"/>
            </w:tcMar>
            <w:shd w:fill="F7FAFC"/>
          </w:tcPr>
          <w:p>
            <w:r>
              <w:rPr>
                <w:b/>
                <w:sz w:val="17"/>
              </w:rPr>
              <w:t>3.86%</w:t>
            </w:r>
          </w:p>
        </w:tc>
        <w:tc>
          <w:tcPr>
            <w:tcW w:type="dxa" w:w="1399"/>
            <w:tcMar>
              <w:top w:w="60" w:type="dxa"/>
              <w:bottom w:w="60" w:type="dxa"/>
              <w:left w:w="100" w:type="dxa"/>
              <w:right w:w="100" w:type="dxa"/>
            </w:tcMar>
            <w:shd w:fill="F7FAFC"/>
          </w:tcPr>
          <w:p>
            <w:r>
              <w:rPr>
                <w:b/>
                <w:sz w:val="17"/>
              </w:rPr>
              <w:t>3.86%</w:t>
            </w:r>
          </w:p>
        </w:tc>
        <w:tc>
          <w:tcPr>
            <w:tcW w:type="dxa" w:w="1399"/>
            <w:tcMar>
              <w:top w:w="60" w:type="dxa"/>
              <w:bottom w:w="60" w:type="dxa"/>
              <w:left w:w="100" w:type="dxa"/>
              <w:right w:w="100" w:type="dxa"/>
            </w:tcMar>
            <w:shd w:fill="F7FAFC"/>
          </w:tcPr>
          <w:p>
            <w:r>
              <w:rPr>
                <w:sz w:val="17"/>
              </w:rPr>
              <w:t>$0.0M</w:t>
            </w:r>
          </w:p>
        </w:tc>
        <w:tc>
          <w:tcPr>
            <w:tcW w:type="dxa" w:w="1399"/>
            <w:tcMar>
              <w:top w:w="60" w:type="dxa"/>
              <w:bottom w:w="60" w:type="dxa"/>
              <w:left w:w="100" w:type="dxa"/>
              <w:right w:w="100" w:type="dxa"/>
            </w:tcMar>
            <w:shd w:fill="F7FAFC"/>
          </w:tcPr>
          <w:p>
            <w:r>
              <w:rPr>
                <w:sz w:val="17"/>
              </w:rPr>
              <w:t>$15,006.5M</w:t>
            </w:r>
          </w:p>
        </w:tc>
        <w:tc>
          <w:tcPr>
            <w:tcW w:type="dxa" w:w="1399"/>
            <w:tcMar>
              <w:top w:w="60" w:type="dxa"/>
              <w:bottom w:w="60" w:type="dxa"/>
              <w:left w:w="100" w:type="dxa"/>
              <w:right w:w="100" w:type="dxa"/>
            </w:tcMar>
            <w:shd w:fill="F7FAFC"/>
          </w:tcPr>
          <w:p>
            <w:r>
              <w:rPr>
                <w:b/>
                <w:sz w:val="17"/>
              </w:rPr>
              <w:t>-5.57 p.p.</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-3043.35%</w:t>
            </w:r>
          </w:p>
        </w:tc>
        <w:tc>
          <w:tcPr>
            <w:tcW w:type="dxa" w:w="1399"/>
            <w:tcMar>
              <w:top w:w="60" w:type="dxa"/>
              <w:bottom w:w="60" w:type="dxa"/>
              <w:left w:w="100" w:type="dxa"/>
              <w:right w:w="100" w:type="dxa"/>
            </w:tcMar>
          </w:tcPr>
          <w:p>
            <w:r>
              <w:rPr>
                <w:b/>
                <w:sz w:val="17"/>
              </w:rPr>
              <w:t>5.28%</w:t>
            </w:r>
          </w:p>
        </w:tc>
        <w:tc>
          <w:tcPr>
            <w:tcW w:type="dxa" w:w="1399"/>
            <w:tcMar>
              <w:top w:w="60" w:type="dxa"/>
              <w:bottom w:w="60" w:type="dxa"/>
              <w:left w:w="100" w:type="dxa"/>
              <w:right w:w="100" w:type="dxa"/>
            </w:tcMar>
          </w:tcPr>
          <w:p>
            <w:r>
              <w:rPr>
                <w:b/>
                <w:sz w:val="17"/>
              </w:rPr>
              <w:t>5.28%</w:t>
            </w:r>
          </w:p>
        </w:tc>
        <w:tc>
          <w:tcPr>
            <w:tcW w:type="dxa" w:w="1399"/>
            <w:tcMar>
              <w:top w:w="60" w:type="dxa"/>
              <w:bottom w:w="60" w:type="dxa"/>
              <w:left w:w="100" w:type="dxa"/>
              <w:right w:w="100" w:type="dxa"/>
            </w:tcMar>
          </w:tcPr>
          <w:p>
            <w:r>
              <w:rPr>
                <w:sz w:val="17"/>
              </w:rPr>
              <w:t>$0.0M</w:t>
            </w:r>
          </w:p>
        </w:tc>
        <w:tc>
          <w:tcPr>
            <w:tcW w:type="dxa" w:w="1399"/>
            <w:tcMar>
              <w:top w:w="60" w:type="dxa"/>
              <w:bottom w:w="60" w:type="dxa"/>
              <w:left w:w="100" w:type="dxa"/>
              <w:right w:w="100" w:type="dxa"/>
            </w:tcMar>
          </w:tcPr>
          <w:p>
            <w:r>
              <w:rPr>
                <w:sz w:val="17"/>
              </w:rPr>
              <w:t>$24,896.8M</w:t>
            </w:r>
          </w:p>
        </w:tc>
        <w:tc>
          <w:tcPr>
            <w:tcW w:type="dxa" w:w="1399"/>
            <w:tcMar>
              <w:top w:w="60" w:type="dxa"/>
              <w:bottom w:w="60" w:type="dxa"/>
              <w:left w:w="100" w:type="dxa"/>
              <w:right w:w="100" w:type="dxa"/>
            </w:tcMar>
          </w:tcPr>
          <w:p>
            <w:r>
              <w:rPr>
                <w:b/>
                <w:sz w:val="17"/>
              </w:rPr>
              <w:t>-4.16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4955.54%</w:t>
            </w:r>
          </w:p>
        </w:tc>
        <w:tc>
          <w:tcPr>
            <w:tcW w:type="dxa" w:w="1399"/>
            <w:tcMar>
              <w:top w:w="60" w:type="dxa"/>
              <w:bottom w:w="60" w:type="dxa"/>
              <w:left w:w="100" w:type="dxa"/>
              <w:right w:w="100" w:type="dxa"/>
            </w:tcMar>
            <w:shd w:fill="F7FAFC"/>
          </w:tcPr>
          <w:p>
            <w:r>
              <w:rPr>
                <w:b/>
                <w:sz w:val="17"/>
              </w:rPr>
              <w:t>7.51%</w:t>
            </w:r>
          </w:p>
        </w:tc>
        <w:tc>
          <w:tcPr>
            <w:tcW w:type="dxa" w:w="1399"/>
            <w:tcMar>
              <w:top w:w="60" w:type="dxa"/>
              <w:bottom w:w="60" w:type="dxa"/>
              <w:left w:w="100" w:type="dxa"/>
              <w:right w:w="100" w:type="dxa"/>
            </w:tcMar>
            <w:shd w:fill="F7FAFC"/>
          </w:tcPr>
          <w:p>
            <w:r>
              <w:rPr>
                <w:b/>
                <w:sz w:val="17"/>
              </w:rPr>
              <w:t>7.51%</w:t>
            </w:r>
          </w:p>
        </w:tc>
        <w:tc>
          <w:tcPr>
            <w:tcW w:type="dxa" w:w="1399"/>
            <w:tcMar>
              <w:top w:w="60" w:type="dxa"/>
              <w:bottom w:w="60" w:type="dxa"/>
              <w:left w:w="100" w:type="dxa"/>
              <w:right w:w="100" w:type="dxa"/>
            </w:tcMar>
            <w:shd w:fill="F7FAFC"/>
          </w:tcPr>
          <w:p>
            <w:r>
              <w:rPr>
                <w:sz w:val="17"/>
              </w:rPr>
              <w:t>$0.0M</w:t>
            </w:r>
          </w:p>
        </w:tc>
        <w:tc>
          <w:tcPr>
            <w:tcW w:type="dxa" w:w="1399"/>
            <w:tcMar>
              <w:top w:w="60" w:type="dxa"/>
              <w:bottom w:w="60" w:type="dxa"/>
              <w:left w:w="100" w:type="dxa"/>
              <w:right w:w="100" w:type="dxa"/>
            </w:tcMar>
            <w:shd w:fill="F7FAFC"/>
          </w:tcPr>
          <w:p>
            <w:r>
              <w:rPr>
                <w:sz w:val="17"/>
              </w:rPr>
              <w:t>$36,716.7M</w:t>
            </w:r>
          </w:p>
        </w:tc>
        <w:tc>
          <w:tcPr>
            <w:tcW w:type="dxa" w:w="1399"/>
            <w:tcMar>
              <w:top w:w="60" w:type="dxa"/>
              <w:bottom w:w="60" w:type="dxa"/>
              <w:left w:w="100" w:type="dxa"/>
              <w:right w:w="100" w:type="dxa"/>
            </w:tcMar>
            <w:shd w:fill="F7FAFC"/>
          </w:tcPr>
          <w:p>
            <w:r>
              <w:rPr>
                <w:b/>
                <w:sz w:val="17"/>
              </w:rPr>
              <w:t>-1.92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5906.65%</w:t>
            </w:r>
          </w:p>
        </w:tc>
        <w:tc>
          <w:tcPr>
            <w:tcW w:type="dxa" w:w="1399"/>
            <w:tcMar>
              <w:top w:w="60" w:type="dxa"/>
              <w:bottom w:w="60" w:type="dxa"/>
              <w:left w:w="100" w:type="dxa"/>
              <w:right w:w="100" w:type="dxa"/>
            </w:tcMar>
          </w:tcPr>
          <w:p>
            <w:r>
              <w:rPr>
                <w:b/>
                <w:sz w:val="17"/>
              </w:rPr>
              <w:t>8.88%</w:t>
            </w:r>
          </w:p>
        </w:tc>
        <w:tc>
          <w:tcPr>
            <w:tcW w:type="dxa" w:w="1399"/>
            <w:tcMar>
              <w:top w:w="60" w:type="dxa"/>
              <w:bottom w:w="60" w:type="dxa"/>
              <w:left w:w="100" w:type="dxa"/>
              <w:right w:w="100" w:type="dxa"/>
            </w:tcMar>
          </w:tcPr>
          <w:p>
            <w:r>
              <w:rPr>
                <w:b/>
                <w:sz w:val="17"/>
              </w:rPr>
              <w:t>8.88%</w:t>
            </w:r>
          </w:p>
        </w:tc>
        <w:tc>
          <w:tcPr>
            <w:tcW w:type="dxa" w:w="1399"/>
            <w:tcMar>
              <w:top w:w="60" w:type="dxa"/>
              <w:bottom w:w="60" w:type="dxa"/>
              <w:left w:w="100" w:type="dxa"/>
              <w:right w:w="100" w:type="dxa"/>
            </w:tcMar>
          </w:tcPr>
          <w:p>
            <w:r>
              <w:rPr>
                <w:sz w:val="17"/>
              </w:rPr>
              <w:t>$0.0M</w:t>
            </w:r>
          </w:p>
        </w:tc>
        <w:tc>
          <w:tcPr>
            <w:tcW w:type="dxa" w:w="1399"/>
            <w:tcMar>
              <w:top w:w="60" w:type="dxa"/>
              <w:bottom w:w="60" w:type="dxa"/>
              <w:left w:w="100" w:type="dxa"/>
              <w:right w:w="100" w:type="dxa"/>
            </w:tcMar>
          </w:tcPr>
          <w:p>
            <w:r>
              <w:rPr>
                <w:sz w:val="17"/>
              </w:rPr>
              <w:t>$46,714.8M</w:t>
            </w:r>
          </w:p>
        </w:tc>
        <w:tc>
          <w:tcPr>
            <w:tcW w:type="dxa" w:w="1399"/>
            <w:tcMar>
              <w:top w:w="60" w:type="dxa"/>
              <w:bottom w:w="60" w:type="dxa"/>
              <w:left w:w="100" w:type="dxa"/>
              <w:right w:w="100" w:type="dxa"/>
            </w:tcMar>
          </w:tcPr>
          <w:p>
            <w:r>
              <w:rPr>
                <w:b/>
                <w:sz w:val="17"/>
              </w:rPr>
              <w:t>-0.55 p.p.</w:t>
            </w:r>
          </w:p>
        </w:tc>
      </w:tr>
    </w:tbl>
    <w:p>
      <w:pPr>
        <w:spacing w:before="160" w:after="160"/>
      </w:pPr>
      <w:r>
        <w:rPr>
          <w:i/>
          <w:sz w:val="18"/>
        </w:rPr>
        <w:t>Matriz de Sensibilidad de Vida Útil: N-1 (2a) = 8.88% | N Base (3a) = 8.88% | N+1 (4a) = 8.88%.</w:t>
      </w:r>
    </w:p>
    <w:p>
      <w:pPr>
        <w:pStyle w:val="Heading2"/>
      </w:pPr>
      <w:r>
        <w:t>11.4. Creación de Valor Económico (EVA) y Durabilidad del Foso Defensivo</w:t>
      </w:r>
    </w:p>
    <w:p>
      <w:r>
        <w:rPr>
          <w:sz w:val="19"/>
        </w:rPr>
        <w:t>Spread Económico = ROIC Ajustado (8.88%) − WACC (9.43%) = -0.55 p.p.</w:t>
        <w:br/>
        <w:t>Dictamen: ⚠️ DESTRUCCIÓN DE VALOR ECONÓMICO. La compañía supera holgadamente su costo de capital, generando más de $-0.55 anuales de valor neto por cada $100 invertidos.</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4.97%</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0.94</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9.43%</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9.43%</w:t>
            </w:r>
          </w:p>
        </w:tc>
        <w:tc>
          <w:tcPr>
            <w:tcW w:type="dxa" w:w="1958"/>
            <w:tcMar>
              <w:top w:w="60" w:type="dxa"/>
              <w:bottom w:w="60" w:type="dxa"/>
              <w:left w:w="100" w:type="dxa"/>
              <w:right w:w="100" w:type="dxa"/>
            </w:tcMar>
            <w:shd w:fill="F7FAFC"/>
          </w:tcPr>
          <w:p>
            <w:r>
              <w:rPr>
                <w:sz w:val="17"/>
              </w:rPr>
              <w:t>Mediana Sector (10.50%)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5906.65%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extremo; supera al sector por ++5876.8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$33.4M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mínima gracias a capital de trabajo negativo.</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8.88%</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$0.0M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$46,714.8M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8.88%</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-0.55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DESTRUCCIÓN DE VALOR ECONÓMICO</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(FY2024): ESTÁNDAR SALUDABLE</w:t>
        <w:br/>
      </w:r>
      <w:r>
        <w:rPr>
          <w:rFonts w:ascii="Calibri" w:hAnsi="Calibri"/>
          <w:color w:val="2D3748"/>
          <w:sz w:val="19"/>
        </w:rPr>
        <w:t>• Ratio Sloan de Devengos: +2.60% [DEVENGOS EQUILIBRADOS]</w:t>
        <w:br/>
        <w:t>• Montier C-Score: 1 / 6 [RIESGO MUY BAJO / LIBROS LIMPIOS (&lt; 5% PROBABILIDAD DE MANIPULACIÓN)]</w:t>
        <w:br/>
        <w:t>• Dictamen: CONTABILIDAD SALUDABLE Y EQUILIBRADA: Devengos dentro de la banda histórica normal (Ratio Sloan: 2.6%) y Montier C-Score de 1/6. Los resultados financieros reflejan razonablemente la realidad económica de las operaciones.</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094"/>
            <w:shd w:fill="1B365D"/>
            <w:tcMar>
              <w:top w:w="80" w:type="dxa"/>
              <w:bottom w:w="80" w:type="dxa"/>
              <w:left w:w="80" w:type="dxa"/>
              <w:right w:w="80" w:type="dxa"/>
            </w:tcMar>
          </w:tcPr>
          <w:p>
            <w:pPr>
              <w:jc w:val="center"/>
            </w:pPr>
            <w:r>
              <w:rPr>
                <w:rFonts w:ascii="Calibri" w:hAnsi="Calibri"/>
                <w:b/>
                <w:color w:val="FFFFFF"/>
                <w:sz w:val="17"/>
              </w:rPr>
              <w:t>FY2021</w:t>
            </w:r>
          </w:p>
        </w:tc>
        <w:tc>
          <w:tcPr>
            <w:tcW w:type="dxa" w:w="1094"/>
            <w:shd w:fill="1B365D"/>
            <w:tcMar>
              <w:top w:w="80" w:type="dxa"/>
              <w:bottom w:w="80" w:type="dxa"/>
              <w:left w:w="80" w:type="dxa"/>
              <w:right w:w="80" w:type="dxa"/>
            </w:tcMar>
          </w:tcPr>
          <w:p>
            <w:pPr>
              <w:jc w:val="center"/>
            </w:pPr>
            <w:r>
              <w:rPr>
                <w:rFonts w:ascii="Calibri" w:hAnsi="Calibri"/>
                <w:b/>
                <w:color w:val="FFFFFF"/>
                <w:sz w:val="17"/>
              </w:rPr>
              <w:t>FY2020</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094"/>
            <w:tcMar>
              <w:top w:w="60" w:type="dxa"/>
              <w:bottom w:w="60" w:type="dxa"/>
              <w:left w:w="60" w:type="dxa"/>
              <w:right w:w="60" w:type="dxa"/>
            </w:tcMar>
          </w:tcPr>
          <w:p>
            <w:pPr>
              <w:jc w:val="right"/>
            </w:pPr>
            <w:r>
              <w:rPr>
                <w:rFonts w:ascii="Calibri" w:hAnsi="Calibri"/>
                <w:b w:val="0"/>
                <w:sz w:val="17"/>
              </w:rPr>
              <w:t>$-165.0M</w:t>
            </w:r>
          </w:p>
        </w:tc>
        <w:tc>
          <w:tcPr>
            <w:tcW w:type="dxa" w:w="1094"/>
            <w:tcMar>
              <w:top w:w="60" w:type="dxa"/>
              <w:bottom w:w="60" w:type="dxa"/>
              <w:left w:w="60" w:type="dxa"/>
              <w:right w:w="60" w:type="dxa"/>
            </w:tcMar>
          </w:tcPr>
          <w:p>
            <w:pPr>
              <w:jc w:val="right"/>
            </w:pPr>
            <w:r>
              <w:rPr>
                <w:rFonts w:ascii="Calibri" w:hAnsi="Calibri"/>
                <w:b w:val="0"/>
                <w:sz w:val="17"/>
              </w:rPr>
              <w:t>$-171.5M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094"/>
            <w:tcMar>
              <w:top w:w="60" w:type="dxa"/>
              <w:bottom w:w="60" w:type="dxa"/>
              <w:left w:w="60" w:type="dxa"/>
              <w:right w:w="60" w:type="dxa"/>
            </w:tcMar>
          </w:tcPr>
          <w:p>
            <w:pPr>
              <w:jc w:val="right"/>
            </w:pPr>
            <w:r>
              <w:rPr>
                <w:rFonts w:ascii="Calibri" w:hAnsi="Calibri"/>
                <w:b w:val="0"/>
                <w:sz w:val="17"/>
              </w:rPr>
              <w:t>$-2,924.3M</w:t>
            </w:r>
          </w:p>
        </w:tc>
        <w:tc>
          <w:tcPr>
            <w:tcW w:type="dxa" w:w="1094"/>
            <w:tcMar>
              <w:top w:w="60" w:type="dxa"/>
              <w:bottom w:w="60" w:type="dxa"/>
              <w:left w:w="60" w:type="dxa"/>
              <w:right w:w="60" w:type="dxa"/>
            </w:tcMar>
          </w:tcPr>
          <w:p>
            <w:pPr>
              <w:jc w:val="right"/>
            </w:pPr>
            <w:r>
              <w:rPr>
                <w:rFonts w:ascii="Calibri" w:hAnsi="Calibri"/>
                <w:b w:val="0"/>
                <w:sz w:val="17"/>
              </w:rPr>
              <w:t>$974.5M</w:t>
            </w:r>
          </w:p>
        </w:tc>
        <w:tc>
          <w:tcPr>
            <w:tcW w:type="dxa" w:w="1094"/>
            <w:tcMar>
              <w:top w:w="60" w:type="dxa"/>
              <w:bottom w:w="60" w:type="dxa"/>
              <w:left w:w="60" w:type="dxa"/>
              <w:right w:w="60" w:type="dxa"/>
            </w:tcMar>
          </w:tcPr>
          <w:p>
            <w:pPr>
              <w:jc w:val="right"/>
            </w:pPr>
            <w:r>
              <w:rPr>
                <w:rFonts w:ascii="Calibri" w:hAnsi="Calibri"/>
                <w:b w:val="0"/>
                <w:sz w:val="17"/>
              </w:rPr>
              <w:t>$276.1M</w:t>
            </w:r>
          </w:p>
        </w:tc>
        <w:tc>
          <w:tcPr>
            <w:tcW w:type="dxa" w:w="1094"/>
            <w:tcMar>
              <w:top w:w="60" w:type="dxa"/>
              <w:bottom w:w="60" w:type="dxa"/>
              <w:left w:w="60" w:type="dxa"/>
              <w:right w:w="60" w:type="dxa"/>
            </w:tcMar>
          </w:tcPr>
          <w:p>
            <w:pPr>
              <w:jc w:val="center"/>
            </w:pPr>
            <w:r>
              <w:rPr>
                <w:rFonts w:ascii="Calibri" w:hAnsi="Calibri"/>
                <w:b w:val="0"/>
                <w:sz w:val="17"/>
              </w:rPr>
              <w:t>-</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$+1,216.5M</w:t>
            </w:r>
          </w:p>
        </w:tc>
        <w:tc>
          <w:tcPr>
            <w:tcW w:type="dxa" w:w="1094"/>
            <w:tcMar>
              <w:top w:w="60" w:type="dxa"/>
              <w:bottom w:w="60" w:type="dxa"/>
              <w:left w:w="60" w:type="dxa"/>
              <w:right w:w="60" w:type="dxa"/>
            </w:tcMar>
          </w:tcPr>
          <w:p>
            <w:pPr>
              <w:jc w:val="right"/>
            </w:pPr>
            <w:r>
              <w:rPr>
                <w:rFonts w:ascii="Calibri" w:hAnsi="Calibri"/>
                <w:b/>
                <w:sz w:val="17"/>
              </w:rPr>
              <w:t>$+3,954.8M</w:t>
            </w:r>
          </w:p>
        </w:tc>
        <w:tc>
          <w:tcPr>
            <w:tcW w:type="dxa" w:w="1094"/>
            <w:tcMar>
              <w:top w:w="60" w:type="dxa"/>
              <w:bottom w:w="60" w:type="dxa"/>
              <w:left w:w="60" w:type="dxa"/>
              <w:right w:w="60" w:type="dxa"/>
            </w:tcMar>
          </w:tcPr>
          <w:p>
            <w:pPr>
              <w:jc w:val="right"/>
            </w:pPr>
            <w:r>
              <w:rPr>
                <w:rFonts w:ascii="Calibri" w:hAnsi="Calibri"/>
                <w:b/>
                <w:sz w:val="17"/>
              </w:rPr>
              <w:t>$-1,339.1M</w:t>
            </w:r>
          </w:p>
        </w:tc>
        <w:tc>
          <w:tcPr>
            <w:tcW w:type="dxa" w:w="1094"/>
            <w:tcMar>
              <w:top w:w="60" w:type="dxa"/>
              <w:bottom w:w="60" w:type="dxa"/>
              <w:left w:w="60" w:type="dxa"/>
              <w:right w:w="60" w:type="dxa"/>
            </w:tcMar>
          </w:tcPr>
          <w:p>
            <w:pPr>
              <w:jc w:val="right"/>
            </w:pPr>
            <w:r>
              <w:rPr>
                <w:rFonts w:ascii="Calibri" w:hAnsi="Calibri"/>
                <w:b/>
                <w:sz w:val="17"/>
              </w:rPr>
              <w:t>$-441.1M</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$46,714.8M</w:t>
            </w:r>
          </w:p>
        </w:tc>
        <w:tc>
          <w:tcPr>
            <w:tcW w:type="dxa" w:w="1094"/>
            <w:tcMar>
              <w:top w:w="60" w:type="dxa"/>
              <w:bottom w:w="60" w:type="dxa"/>
              <w:left w:w="60" w:type="dxa"/>
              <w:right w:w="60" w:type="dxa"/>
            </w:tcMar>
          </w:tcPr>
          <w:p>
            <w:pPr>
              <w:jc w:val="right"/>
            </w:pPr>
            <w:r>
              <w:rPr>
                <w:rFonts w:ascii="Calibri" w:hAnsi="Calibri"/>
                <w:b w:val="0"/>
                <w:sz w:val="17"/>
              </w:rPr>
              <w:t>$36,716.7M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094"/>
            <w:tcMar>
              <w:top w:w="60" w:type="dxa"/>
              <w:bottom w:w="60" w:type="dxa"/>
              <w:left w:w="60" w:type="dxa"/>
              <w:right w:w="60" w:type="dxa"/>
            </w:tcMar>
          </w:tcPr>
          <w:p>
            <w:pPr>
              <w:jc w:val="right"/>
            </w:pPr>
            <w:r>
              <w:rPr>
                <w:rFonts w:ascii="Calibri" w:hAnsi="Calibri"/>
                <w:b w:val="0"/>
                <w:sz w:val="17"/>
              </w:rPr>
              <w:t>$15,006.5M</w:t>
            </w:r>
          </w:p>
        </w:tc>
        <w:tc>
          <w:tcPr>
            <w:tcW w:type="dxa" w:w="1094"/>
            <w:tcMar>
              <w:top w:w="60" w:type="dxa"/>
              <w:bottom w:w="60" w:type="dxa"/>
              <w:left w:w="60" w:type="dxa"/>
              <w:right w:w="60" w:type="dxa"/>
            </w:tcMar>
          </w:tcPr>
          <w:p>
            <w:pPr>
              <w:jc w:val="right"/>
            </w:pPr>
            <w:r>
              <w:rPr>
                <w:rFonts w:ascii="Calibri" w:hAnsi="Calibri"/>
                <w:b w:val="0"/>
                <w:sz w:val="17"/>
              </w:rPr>
              <w:t>$10,154.2M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+2.60%</w:t>
            </w:r>
          </w:p>
        </w:tc>
        <w:tc>
          <w:tcPr>
            <w:tcW w:type="dxa" w:w="1094"/>
            <w:tcMar>
              <w:top w:w="60" w:type="dxa"/>
              <w:bottom w:w="60" w:type="dxa"/>
              <w:left w:w="60" w:type="dxa"/>
              <w:right w:w="60" w:type="dxa"/>
            </w:tcMar>
          </w:tcPr>
          <w:p>
            <w:pPr>
              <w:jc w:val="right"/>
            </w:pPr>
            <w:r>
              <w:rPr>
                <w:rFonts w:ascii="Calibri" w:hAnsi="Calibri"/>
                <w:b/>
                <w:sz w:val="17"/>
              </w:rPr>
              <w:t>+10.77%</w:t>
            </w:r>
          </w:p>
        </w:tc>
        <w:tc>
          <w:tcPr>
            <w:tcW w:type="dxa" w:w="1094"/>
            <w:tcMar>
              <w:top w:w="60" w:type="dxa"/>
              <w:bottom w:w="60" w:type="dxa"/>
              <w:left w:w="60" w:type="dxa"/>
              <w:right w:w="60" w:type="dxa"/>
            </w:tcMar>
          </w:tcPr>
          <w:p>
            <w:pPr>
              <w:jc w:val="right"/>
            </w:pPr>
            <w:r>
              <w:rPr>
                <w:rFonts w:ascii="Calibri" w:hAnsi="Calibri"/>
                <w:b/>
                <w:sz w:val="17"/>
              </w:rPr>
              <w:t>-5.38%</w:t>
            </w:r>
          </w:p>
        </w:tc>
        <w:tc>
          <w:tcPr>
            <w:tcW w:type="dxa" w:w="1094"/>
            <w:tcMar>
              <w:top w:w="60" w:type="dxa"/>
              <w:bottom w:w="60" w:type="dxa"/>
              <w:left w:w="60" w:type="dxa"/>
              <w:right w:w="60" w:type="dxa"/>
            </w:tcMar>
          </w:tcPr>
          <w:p>
            <w:pPr>
              <w:jc w:val="right"/>
            </w:pPr>
            <w:r>
              <w:rPr>
                <w:rFonts w:ascii="Calibri" w:hAnsi="Calibri"/>
                <w:b/>
                <w:sz w:val="17"/>
              </w:rPr>
              <w:t>-2.94%</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ALERTA ROJA</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N/D</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FY2024, Nu Holdings Ltd. generó $0.8B de CFO frente a $2.0B de beneficio neto, arrojando una tasa de conversión de caja del 38.3% (cada dólar reportado está respaldado por $0.38 de efectivo). El Ratio Sloan de +2.60%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99.9%</w:t>
            </w:r>
          </w:p>
        </w:tc>
        <w:tc>
          <w:tcPr>
            <w:tcW w:type="dxa" w:w="1440"/>
            <w:tcMar>
              <w:top w:w="60" w:type="dxa"/>
              <w:bottom w:w="60" w:type="dxa"/>
              <w:left w:w="80" w:type="dxa"/>
              <w:right w:w="80" w:type="dxa"/>
            </w:tcMar>
          </w:tcPr>
          <w:p>
            <w:pPr>
              <w:jc w:val="center"/>
            </w:pPr>
            <w:r>
              <w:rPr>
                <w:rFonts w:ascii="Calibri" w:hAnsi="Calibri"/>
                <w:sz w:val="17"/>
              </w:rPr>
              <w:t>Δ: -0.0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Inventario en sintonía con la cadencia de costes (Spread: 0.0%, DIO: 0.0d). Existencias optimizadas.</w:t>
      </w:r>
    </w:p>
    <w:p>
      <w:pPr>
        <w:pStyle w:val="Heading2"/>
      </w:pPr>
      <w:r>
        <w:rPr>
          <w:rFonts w:ascii="Calibri" w:hAnsi="Calibri"/>
          <w:b/>
          <w:color w:val="1B365D"/>
          <w:sz w:val="23"/>
        </w:rPr>
        <w:t>12.3. Desglose Forense Montier C-Score (1/6 Banderas)</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$1,972.1M vs CFO: $755.6M</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w:t>
            </w:r>
          </w:p>
        </w:tc>
        <w:tc>
          <w:tcPr>
            <w:tcW w:type="dxa" w:w="2016"/>
            <w:tcMar>
              <w:top w:w="60" w:type="dxa"/>
              <w:bottom w:w="60" w:type="dxa"/>
              <w:left w:w="80" w:type="dxa"/>
              <w:right w:w="80" w:type="dxa"/>
            </w:tcMar>
          </w:tcPr>
          <w:p>
            <w:pPr>
              <w:jc w:val="left"/>
            </w:pPr>
            <w:r>
              <w:rPr>
                <w:rFonts w:ascii="Calibri" w:hAnsi="Calibri"/>
                <w:sz w:val="16"/>
              </w:rPr>
              <w:t>Δ Cuentas por Cobrar % &gt; Δ Ventas %</w:t>
            </w:r>
          </w:p>
        </w:tc>
        <w:tc>
          <w:tcPr>
            <w:tcW w:type="dxa" w:w="1872"/>
            <w:tcMar>
              <w:top w:w="60" w:type="dxa"/>
              <w:bottom w:w="60" w:type="dxa"/>
              <w:left w:w="80" w:type="dxa"/>
              <w:right w:w="80" w:type="dxa"/>
            </w:tcMar>
          </w:tcPr>
          <w:p>
            <w:pPr>
              <w:jc w:val="left"/>
            </w:pPr>
            <w:r>
              <w:rPr>
                <w:rFonts w:ascii="Calibri" w:hAnsi="Calibri"/>
                <w:sz w:val="16"/>
              </w:rPr>
              <w:t>N/D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w:t>
            </w:r>
          </w:p>
        </w:tc>
        <w:tc>
          <w:tcPr>
            <w:tcW w:type="dxa" w:w="2016"/>
            <w:tcMar>
              <w:top w:w="60" w:type="dxa"/>
              <w:bottom w:w="60" w:type="dxa"/>
              <w:left w:w="80" w:type="dxa"/>
              <w:right w:w="80" w:type="dxa"/>
            </w:tcMar>
          </w:tcPr>
          <w:p>
            <w:pPr>
              <w:jc w:val="left"/>
            </w:pPr>
            <w:r>
              <w:rPr>
                <w:rFonts w:ascii="Calibri" w:hAnsi="Calibri"/>
                <w:sz w:val="16"/>
              </w:rPr>
              <w:t>Δ Inventarios % &gt; Δ Coste de Ventas %</w:t>
            </w:r>
          </w:p>
        </w:tc>
        <w:tc>
          <w:tcPr>
            <w:tcW w:type="dxa" w:w="1872"/>
            <w:tcMar>
              <w:top w:w="60" w:type="dxa"/>
              <w:bottom w:w="60" w:type="dxa"/>
              <w:left w:w="80" w:type="dxa"/>
              <w:right w:w="80" w:type="dxa"/>
            </w:tcMar>
          </w:tcPr>
          <w:p>
            <w:pPr>
              <w:jc w:val="left"/>
            </w:pPr>
            <w:r>
              <w:rPr>
                <w:rFonts w:ascii="Calibri" w:hAnsi="Calibri"/>
                <w:sz w:val="16"/>
              </w:rPr>
              <w:t>N/D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Las existencias crecen más rápido que los costes de venta.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Deterioro del Margen Bruto</w:t>
            </w:r>
          </w:p>
        </w:tc>
        <w:tc>
          <w:tcPr>
            <w:tcW w:type="dxa" w:w="2016"/>
            <w:tcMar>
              <w:top w:w="60" w:type="dxa"/>
              <w:bottom w:w="60" w:type="dxa"/>
              <w:left w:w="80" w:type="dxa"/>
              <w:right w:w="80" w:type="dxa"/>
            </w:tcMar>
          </w:tcPr>
          <w:p>
            <w:pPr>
              <w:jc w:val="left"/>
            </w:pPr>
            <w:r>
              <w:rPr>
                <w:rFonts w:ascii="Calibri" w:hAnsi="Calibri"/>
                <w:sz w:val="16"/>
              </w:rPr>
              <w:t>Margen Bruto_t &lt; Margen Bruto_t-1</w:t>
            </w:r>
          </w:p>
        </w:tc>
        <w:tc>
          <w:tcPr>
            <w:tcW w:type="dxa" w:w="1872"/>
            <w:tcMar>
              <w:top w:w="60" w:type="dxa"/>
              <w:bottom w:w="60" w:type="dxa"/>
              <w:left w:w="80" w:type="dxa"/>
              <w:right w:w="80" w:type="dxa"/>
            </w:tcMar>
          </w:tcPr>
          <w:p>
            <w:pPr>
              <w:jc w:val="left"/>
            </w:pPr>
            <w:r>
              <w:rPr>
                <w:rFonts w:ascii="Calibri" w:hAnsi="Calibri"/>
                <w:sz w:val="16"/>
              </w:rPr>
              <w:t>Margen Bruto: 45.61% vs 43.48%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deterioro del margen bruto genera incentivos en los ejecutivos para estirar partidas contables inferiores.</w:t>
            </w:r>
          </w:p>
        </w:tc>
      </w:tr>
      <w:tr>
        <w:tc>
          <w:tcPr>
            <w:tcW w:type="dxa" w:w="2160"/>
            <w:tcMar>
              <w:top w:w="60" w:type="dxa"/>
              <w:bottom w:w="60" w:type="dxa"/>
              <w:left w:w="80" w:type="dxa"/>
              <w:right w:w="80" w:type="dxa"/>
            </w:tcMar>
          </w:tcPr>
          <w:p>
            <w:pPr>
              <w:jc w:val="left"/>
            </w:pPr>
            <w:r>
              <w:rPr>
                <w:rFonts w:ascii="Calibri" w:hAnsi="Calibri"/>
                <w:sz w:val="16"/>
              </w:rPr>
              <w:t>5. Incremento de Activos Blandos</w:t>
            </w:r>
          </w:p>
        </w:tc>
        <w:tc>
          <w:tcPr>
            <w:tcW w:type="dxa" w:w="2016"/>
            <w:tcMar>
              <w:top w:w="60" w:type="dxa"/>
              <w:bottom w:w="60" w:type="dxa"/>
              <w:left w:w="80" w:type="dxa"/>
              <w:right w:w="80" w:type="dxa"/>
            </w:tcMar>
          </w:tcPr>
          <w:p>
            <w:pPr>
              <w:jc w:val="left"/>
            </w:pPr>
            <w:r>
              <w:rPr>
                <w:rFonts w:ascii="Calibri" w:hAnsi="Calibri"/>
                <w:sz w:val="16"/>
              </w:rPr>
              <w:t>Ratio Activos Blandos_t &gt; Ratio Activos Blandos_t-1</w:t>
            </w:r>
          </w:p>
        </w:tc>
        <w:tc>
          <w:tcPr>
            <w:tcW w:type="dxa" w:w="1872"/>
            <w:tcMar>
              <w:top w:w="60" w:type="dxa"/>
              <w:bottom w:w="60" w:type="dxa"/>
              <w:left w:w="80" w:type="dxa"/>
              <w:right w:w="80" w:type="dxa"/>
            </w:tcMar>
          </w:tcPr>
          <w:p>
            <w:pPr>
              <w:jc w:val="left"/>
            </w:pPr>
            <w:r>
              <w:rPr>
                <w:rFonts w:ascii="Calibri" w:hAnsi="Calibri"/>
                <w:sz w:val="16"/>
              </w:rPr>
              <w:t>Activos Blandos: 99.9% vs 99.9%</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Aumento del peso relativo de partidas del balance que no son activos productivos tangibles ni tesorería.</w:t>
            </w:r>
          </w:p>
        </w:tc>
      </w:tr>
      <w:tr>
        <w:tc>
          <w:tcPr>
            <w:tcW w:type="dxa" w:w="2160"/>
            <w:tcMar>
              <w:top w:w="60" w:type="dxa"/>
              <w:bottom w:w="60" w:type="dxa"/>
              <w:left w:w="80" w:type="dxa"/>
              <w:right w:w="80" w:type="dxa"/>
            </w:tcMar>
          </w:tcPr>
          <w:p>
            <w:pPr>
              <w:jc w:val="left"/>
            </w:pPr>
            <w:r>
              <w:rPr>
                <w:rFonts w:ascii="Calibri" w:hAnsi="Calibri"/>
                <w:sz w:val="16"/>
              </w:rPr>
              <w:t>6.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0.0%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w:t>
            </w:r>
          </w:p>
        </w:tc>
      </w:tr>
    </w:tbl>
    <w:p>
      <w:pPr>
        <w:spacing w:before="80" w:after="160"/>
      </w:pPr>
      <w:r>
        <w:rPr>
          <w:rFonts w:ascii="Calibri" w:hAnsi="Calibri"/>
          <w:b/>
          <w:color w:val="1B365D"/>
          <w:sz w:val="17"/>
        </w:rPr>
        <w:t>Dictamen Montier: 1 / 6 Banderas — RIESGO MUY BAJO / LIBROS LIMPIOS. Probabilidad empírica de manipulación &lt; 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+2.60%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-0.0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1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Libros limpios (1/6); probabilidad estadística de fraude &lt; 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(FY2024): ALERTA DE INSOLVENCIA</w:t>
              <w:br/>
            </w:r>
            <w:r>
              <w:rPr>
                <w:color w:val="2D3748"/>
                <w:sz w:val="19"/>
              </w:rPr>
              <w:t>Rating Sintético Damodaran: AAA (MÁXIMA CALIDAD CREDITICIA (LIBRE DE DEUDA)) | Altman Z''-Score: 0.11 [PELIGRO DE QUIEBRA]</w:t>
              <w:br/>
              <w:br/>
              <w:t>ALERTA CRÍTICA DE SOLVENCIA Y ESTRÉS FINANCIERO: Altman Z''-Score de 0.11 en Zona de Distress. Apalancamiento de CAJA NETA y cobertura de INFINITA (SIN DEUDA). Alto riesgo de incumplimiento de covenants y vulnerabilidad ante vencimientos de deuda.</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$+0.0M</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N/D (Bancario)</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$2,834.9M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0.11</w:t>
            </w:r>
          </w:p>
        </w:tc>
        <w:tc>
          <w:tcPr>
            <w:tcW w:type="dxa" w:w="2448"/>
          </w:tcPr>
          <w:p>
            <w:r>
              <w:rPr>
                <w:sz w:val="17"/>
              </w:rPr>
              <w:t>PELIGRO DE QUIEBRA</w:t>
            </w:r>
          </w:p>
        </w:tc>
        <w:tc>
          <w:tcPr>
            <w:tcW w:type="dxa" w:w="2448"/>
          </w:tcPr>
          <w:p>
            <w:r>
              <w:rPr>
                <w:sz w:val="17"/>
              </w:rPr>
              <w:t>ZONA DE DISTRESS (ALTO RIESGO DE INSOLVENCIA)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$14.03  |  WACC Auditado: 9.43% (Rf: 4.97%, ERP: 4.75%)</w:t>
        <w:br/>
        <w:t>• Crecimiento Implícito Calculado: 26.4% Anual a 10 Años (vs. 8.5% Histórico y 10.0% Guidance)</w:t>
        <w:br/>
        <w:t>• Veredicto: Descuenta expectativas de 26.4% anual (+16.4 pp sobre guidance). Requiere sostener la tracción operativa y rentabilidad en sus mercados estratégicos.</w:t>
      </w:r>
    </w:p>
    <w:p>
      <w:pPr>
        <w:pStyle w:val="Heading2"/>
      </w:pPr>
      <w:r>
        <w:rPr>
          <w:rFonts w:ascii="Calibri" w:hAnsi="Calibri"/>
          <w:b/>
          <w:color w:val="1B365D"/>
          <w:sz w:val="23"/>
        </w:rPr>
        <w:t>14.1. Configuración Óptima en Plataformas de Valoración (Fiscal AI)</w:t>
      </w:r>
    </w:p>
    <w:p>
      <w:pPr>
        <w:spacing w:after="120"/>
      </w:pPr>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para Advanced Mode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304"/>
        <w:gridCol w:w="1728"/>
        <w:gridCol w:w="1728"/>
        <w:gridCol w:w="4032"/>
      </w:tblGrid>
      <w:tr>
        <w:tc>
          <w:tcPr>
            <w:tcW w:type="dxa" w:w="2304"/>
            <w:shd w:fill="1B365D"/>
            <w:tcMar>
              <w:top w:w="80" w:type="dxa"/>
              <w:bottom w:w="80" w:type="dxa"/>
              <w:left w:w="80" w:type="dxa"/>
              <w:right w:w="80" w:type="dxa"/>
            </w:tcMar>
          </w:tcPr>
          <w:p>
            <w:pPr>
              <w:jc w:val="left"/>
            </w:pPr>
            <w:r>
              <w:rPr>
                <w:rFonts w:ascii="Calibri" w:hAnsi="Calibri"/>
                <w:b/>
                <w:color w:val="FFFFFF"/>
                <w:sz w:val="17"/>
              </w:rPr>
              <w:t>Casilla / Input Fiscal AI</w:t>
            </w:r>
          </w:p>
        </w:tc>
        <w:tc>
          <w:tcPr>
            <w:tcW w:type="dxa" w:w="1728"/>
            <w:shd w:fill="1B365D"/>
            <w:tcMar>
              <w:top w:w="80" w:type="dxa"/>
              <w:bottom w:w="80" w:type="dxa"/>
              <w:left w:w="80" w:type="dxa"/>
              <w:right w:w="80" w:type="dxa"/>
            </w:tcMar>
          </w:tcPr>
          <w:p>
            <w:pPr>
              <w:jc w:val="center"/>
            </w:pPr>
            <w:r>
              <w:rPr>
                <w:rFonts w:ascii="Calibri" w:hAnsi="Calibri"/>
                <w:b/>
                <w:color w:val="FFFFFF"/>
                <w:sz w:val="17"/>
              </w:rPr>
              <w:t>Valor Auditado</w:t>
            </w:r>
          </w:p>
        </w:tc>
        <w:tc>
          <w:tcPr>
            <w:tcW w:type="dxa" w:w="1728"/>
            <w:shd w:fill="1B365D"/>
            <w:tcMar>
              <w:top w:w="80" w:type="dxa"/>
              <w:bottom w:w="80" w:type="dxa"/>
              <w:left w:w="80" w:type="dxa"/>
              <w:right w:w="80" w:type="dxa"/>
            </w:tcMar>
          </w:tcPr>
          <w:p>
            <w:pPr>
              <w:jc w:val="center"/>
            </w:pPr>
            <w:r>
              <w:rPr>
                <w:rFonts w:ascii="Calibri" w:hAnsi="Calibri"/>
                <w:b/>
                <w:color w:val="FFFFFF"/>
                <w:sz w:val="17"/>
              </w:rPr>
              <w:t>Sección Origen</w:t>
            </w:r>
          </w:p>
        </w:tc>
        <w:tc>
          <w:tcPr>
            <w:tcW w:type="dxa" w:w="4032"/>
            <w:shd w:fill="1B365D"/>
            <w:tcMar>
              <w:top w:w="80" w:type="dxa"/>
              <w:bottom w:w="80" w:type="dxa"/>
              <w:left w:w="80" w:type="dxa"/>
              <w:right w:w="80" w:type="dxa"/>
            </w:tcMar>
          </w:tcPr>
          <w:p>
            <w:pPr>
              <w:jc w:val="left"/>
            </w:pPr>
            <w:r>
              <w:rPr>
                <w:rFonts w:ascii="Calibri" w:hAnsi="Calibri"/>
                <w:b/>
                <w:color w:val="FFFFFF"/>
                <w:sz w:val="17"/>
              </w:rPr>
              <w:t>Racional Técnico y Sustento Fundamental</w:t>
            </w:r>
          </w:p>
        </w:tc>
      </w:tr>
      <w:tr>
        <w:tc>
          <w:tcPr>
            <w:tcW w:type="dxa" w:w="2304"/>
            <w:tcMar>
              <w:top w:w="50" w:type="dxa"/>
              <w:bottom w:w="50" w:type="dxa"/>
              <w:left w:w="60" w:type="dxa"/>
              <w:right w:w="60" w:type="dxa"/>
            </w:tcMar>
          </w:tcPr>
          <w:p>
            <w:pPr>
              <w:jc w:val="left"/>
            </w:pPr>
            <w:r>
              <w:rPr>
                <w:rFonts w:ascii="Calibri" w:hAnsi="Calibri"/>
                <w:b/>
                <w:sz w:val="16"/>
              </w:rPr>
              <w:t>Precio Referencia ($P_0$)</w:t>
            </w:r>
          </w:p>
        </w:tc>
        <w:tc>
          <w:tcPr>
            <w:tcW w:type="dxa" w:w="1728"/>
            <w:tcMar>
              <w:top w:w="50" w:type="dxa"/>
              <w:bottom w:w="50" w:type="dxa"/>
              <w:left w:w="60" w:type="dxa"/>
              <w:right w:w="60" w:type="dxa"/>
            </w:tcMar>
          </w:tcPr>
          <w:p>
            <w:pPr>
              <w:jc w:val="center"/>
            </w:pPr>
            <w:r>
              <w:rPr>
                <w:rFonts w:ascii="Calibri" w:hAnsi="Calibri"/>
                <w:b/>
                <w:sz w:val="16"/>
              </w:rPr>
              <w:t>$14.03</w:t>
            </w:r>
          </w:p>
        </w:tc>
        <w:tc>
          <w:tcPr>
            <w:tcW w:type="dxa" w:w="1728"/>
            <w:tcMar>
              <w:top w:w="50" w:type="dxa"/>
              <w:bottom w:w="50" w:type="dxa"/>
              <w:left w:w="60" w:type="dxa"/>
              <w:right w:w="60" w:type="dxa"/>
            </w:tcMar>
          </w:tcPr>
          <w:p>
            <w:pPr>
              <w:jc w:val="center"/>
            </w:pPr>
            <w:r>
              <w:rPr>
                <w:rFonts w:ascii="Calibri" w:hAnsi="Calibri"/>
                <w:sz w:val="16"/>
              </w:rPr>
              <w:t>Mercado en Vivo</w:t>
            </w:r>
          </w:p>
        </w:tc>
        <w:tc>
          <w:tcPr>
            <w:tcW w:type="dxa" w:w="4032"/>
            <w:tcMar>
              <w:top w:w="50" w:type="dxa"/>
              <w:bottom w:w="50" w:type="dxa"/>
              <w:left w:w="60" w:type="dxa"/>
              <w:right w:w="60" w:type="dxa"/>
            </w:tcMar>
          </w:tcPr>
          <w:p>
            <w:pPr>
              <w:jc w:val="left"/>
            </w:pPr>
            <w:r>
              <w:rPr>
                <w:rFonts w:ascii="Calibri" w:hAnsi="Calibri"/>
                <w:sz w:val="16"/>
              </w:rPr>
              <w:t>Cotización auditada en tiempo real por consenso bursátil.</w:t>
            </w:r>
          </w:p>
        </w:tc>
      </w:tr>
      <w:tr>
        <w:tc>
          <w:tcPr>
            <w:tcW w:type="dxa" w:w="2304"/>
            <w:tcMar>
              <w:top w:w="50" w:type="dxa"/>
              <w:bottom w:w="50" w:type="dxa"/>
              <w:left w:w="60" w:type="dxa"/>
              <w:right w:w="60" w:type="dxa"/>
            </w:tcMar>
          </w:tcPr>
          <w:p>
            <w:pPr>
              <w:jc w:val="left"/>
            </w:pPr>
            <w:r>
              <w:rPr>
                <w:rFonts w:ascii="Calibri" w:hAnsi="Calibri"/>
                <w:b/>
                <w:sz w:val="16"/>
              </w:rPr>
              <w:t>Risk-Free Rate ($R_f$)</w:t>
            </w:r>
          </w:p>
        </w:tc>
        <w:tc>
          <w:tcPr>
            <w:tcW w:type="dxa" w:w="1728"/>
            <w:tcMar>
              <w:top w:w="50" w:type="dxa"/>
              <w:bottom w:w="50" w:type="dxa"/>
              <w:left w:w="60" w:type="dxa"/>
              <w:right w:w="60" w:type="dxa"/>
            </w:tcMar>
          </w:tcPr>
          <w:p>
            <w:pPr>
              <w:jc w:val="center"/>
            </w:pPr>
            <w:r>
              <w:rPr>
                <w:rFonts w:ascii="Calibri" w:hAnsi="Calibri"/>
                <w:b/>
                <w:sz w:val="16"/>
              </w:rPr>
              <w:t>4.97%</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Rendimiento en tiempo real del Bono del Tesoro 10Y (US10Y).</w:t>
            </w:r>
          </w:p>
        </w:tc>
      </w:tr>
      <w:tr>
        <w:tc>
          <w:tcPr>
            <w:tcW w:type="dxa" w:w="2304"/>
            <w:tcMar>
              <w:top w:w="50" w:type="dxa"/>
              <w:bottom w:w="50" w:type="dxa"/>
              <w:left w:w="60" w:type="dxa"/>
              <w:right w:w="60" w:type="dxa"/>
            </w:tcMar>
          </w:tcPr>
          <w:p>
            <w:pPr>
              <w:jc w:val="left"/>
            </w:pPr>
            <w:r>
              <w:rPr>
                <w:rFonts w:ascii="Calibri" w:hAnsi="Calibri"/>
                <w:b/>
                <w:sz w:val="16"/>
              </w:rPr>
              <w:t>Equity Risk Premium (ERP)</w:t>
            </w:r>
          </w:p>
        </w:tc>
        <w:tc>
          <w:tcPr>
            <w:tcW w:type="dxa" w:w="1728"/>
            <w:tcMar>
              <w:top w:w="50" w:type="dxa"/>
              <w:bottom w:w="50" w:type="dxa"/>
              <w:left w:w="60" w:type="dxa"/>
              <w:right w:w="60" w:type="dxa"/>
            </w:tcMar>
          </w:tcPr>
          <w:p>
            <w:pPr>
              <w:jc w:val="center"/>
            </w:pPr>
            <w:r>
              <w:rPr>
                <w:rFonts w:ascii="Calibri" w:hAnsi="Calibri"/>
                <w:b/>
                <w:sz w:val="16"/>
              </w:rPr>
              <w:t>4.75%</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Prima de riesgo implícita Damodaran (Stern NYU).</w:t>
            </w:r>
          </w:p>
        </w:tc>
      </w:tr>
      <w:tr>
        <w:tc>
          <w:tcPr>
            <w:tcW w:type="dxa" w:w="2304"/>
            <w:tcMar>
              <w:top w:w="50" w:type="dxa"/>
              <w:bottom w:w="50" w:type="dxa"/>
              <w:left w:w="60" w:type="dxa"/>
              <w:right w:w="60" w:type="dxa"/>
            </w:tcMar>
          </w:tcPr>
          <w:p>
            <w:pPr>
              <w:jc w:val="left"/>
            </w:pPr>
            <w:r>
              <w:rPr>
                <w:rFonts w:ascii="Calibri" w:hAnsi="Calibri"/>
                <w:b/>
                <w:sz w:val="16"/>
              </w:rPr>
              <w:t>Beta Apalancada (Consenso)</w:t>
            </w:r>
          </w:p>
        </w:tc>
        <w:tc>
          <w:tcPr>
            <w:tcW w:type="dxa" w:w="1728"/>
            <w:tcMar>
              <w:top w:w="50" w:type="dxa"/>
              <w:bottom w:w="50" w:type="dxa"/>
              <w:left w:w="60" w:type="dxa"/>
              <w:right w:w="60" w:type="dxa"/>
            </w:tcMar>
          </w:tcPr>
          <w:p>
            <w:pPr>
              <w:jc w:val="center"/>
            </w:pPr>
            <w:r>
              <w:rPr>
                <w:rFonts w:ascii="Calibri" w:hAnsi="Calibri"/>
                <w:b/>
                <w:sz w:val="16"/>
              </w:rPr>
              <w:t>0.94</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Sensibilidad sistemática frente al S&amp;P 500.</w:t>
            </w:r>
          </w:p>
        </w:tc>
      </w:tr>
      <w:tr>
        <w:tc>
          <w:tcPr>
            <w:tcW w:type="dxa" w:w="2304"/>
            <w:tcMar>
              <w:top w:w="50" w:type="dxa"/>
              <w:bottom w:w="50" w:type="dxa"/>
              <w:left w:w="60" w:type="dxa"/>
              <w:right w:w="60" w:type="dxa"/>
            </w:tcMar>
          </w:tcPr>
          <w:p>
            <w:pPr>
              <w:jc w:val="left"/>
            </w:pPr>
            <w:r>
              <w:rPr>
                <w:rFonts w:ascii="Calibri" w:hAnsi="Calibri"/>
                <w:b/>
                <w:sz w:val="16"/>
              </w:rPr>
              <w:t>Cost of Debt ($K_d$ Pre-Tax)</w:t>
            </w:r>
          </w:p>
        </w:tc>
        <w:tc>
          <w:tcPr>
            <w:tcW w:type="dxa" w:w="1728"/>
            <w:tcMar>
              <w:top w:w="50" w:type="dxa"/>
              <w:bottom w:w="50" w:type="dxa"/>
              <w:left w:w="60" w:type="dxa"/>
              <w:right w:w="60" w:type="dxa"/>
            </w:tcMar>
          </w:tcPr>
          <w:p>
            <w:pPr>
              <w:jc w:val="center"/>
            </w:pPr>
            <w:r>
              <w:rPr>
                <w:rFonts w:ascii="Calibri" w:hAnsi="Calibri"/>
                <w:b/>
                <w:sz w:val="16"/>
              </w:rPr>
              <w:t>4.5%</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Coste financiero bruto estimado por rating sintético.</w:t>
            </w:r>
          </w:p>
        </w:tc>
      </w:tr>
      <w:tr>
        <w:tc>
          <w:tcPr>
            <w:tcW w:type="dxa" w:w="2304"/>
            <w:tcMar>
              <w:top w:w="50" w:type="dxa"/>
              <w:bottom w:w="50" w:type="dxa"/>
              <w:left w:w="60" w:type="dxa"/>
              <w:right w:w="60" w:type="dxa"/>
            </w:tcMar>
          </w:tcPr>
          <w:p>
            <w:pPr>
              <w:jc w:val="left"/>
            </w:pPr>
            <w:r>
              <w:rPr>
                <w:rFonts w:ascii="Calibri" w:hAnsi="Calibri"/>
                <w:b/>
                <w:sz w:val="16"/>
              </w:rPr>
              <w:t>Cost of Debt ($K_d$ After-Tax)</w:t>
            </w:r>
          </w:p>
        </w:tc>
        <w:tc>
          <w:tcPr>
            <w:tcW w:type="dxa" w:w="1728"/>
            <w:tcMar>
              <w:top w:w="50" w:type="dxa"/>
              <w:bottom w:w="50" w:type="dxa"/>
              <w:left w:w="60" w:type="dxa"/>
              <w:right w:w="60" w:type="dxa"/>
            </w:tcMar>
          </w:tcPr>
          <w:p>
            <w:pPr>
              <w:jc w:val="center"/>
            </w:pPr>
            <w:r>
              <w:rPr>
                <w:rFonts w:ascii="Calibri" w:hAnsi="Calibri"/>
                <w:b/>
                <w:sz w:val="16"/>
              </w:rPr>
              <w:t>3.5%</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Coste neto con escudo fiscal: Kd * (1 - t).</w:t>
            </w:r>
          </w:p>
        </w:tc>
      </w:tr>
      <w:tr>
        <w:tc>
          <w:tcPr>
            <w:tcW w:type="dxa" w:w="2304"/>
            <w:tcMar>
              <w:top w:w="50" w:type="dxa"/>
              <w:bottom w:w="50" w:type="dxa"/>
              <w:left w:w="60" w:type="dxa"/>
              <w:right w:w="60" w:type="dxa"/>
            </w:tcMar>
          </w:tcPr>
          <w:p>
            <w:pPr>
              <w:jc w:val="left"/>
            </w:pPr>
            <w:r>
              <w:rPr>
                <w:rFonts w:ascii="Calibri" w:hAnsi="Calibri"/>
                <w:b/>
                <w:sz w:val="16"/>
              </w:rPr>
              <w:t>Effective Tax Rate ($t$)</w:t>
            </w:r>
          </w:p>
        </w:tc>
        <w:tc>
          <w:tcPr>
            <w:tcW w:type="dxa" w:w="1728"/>
            <w:tcMar>
              <w:top w:w="50" w:type="dxa"/>
              <w:bottom w:w="50" w:type="dxa"/>
              <w:left w:w="60" w:type="dxa"/>
              <w:right w:w="60" w:type="dxa"/>
            </w:tcMar>
          </w:tcPr>
          <w:p>
            <w:pPr>
              <w:jc w:val="center"/>
            </w:pPr>
            <w:r>
              <w:rPr>
                <w:rFonts w:ascii="Calibri" w:hAnsi="Calibri"/>
                <w:b/>
                <w:sz w:val="16"/>
              </w:rPr>
              <w:t>21.0%</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Tasa impositiva estructural auditada.</w:t>
            </w:r>
          </w:p>
        </w:tc>
      </w:tr>
      <w:tr>
        <w:tc>
          <w:tcPr>
            <w:tcW w:type="dxa" w:w="2304"/>
            <w:tcMar>
              <w:top w:w="50" w:type="dxa"/>
              <w:bottom w:w="50" w:type="dxa"/>
              <w:left w:w="60" w:type="dxa"/>
              <w:right w:w="60" w:type="dxa"/>
            </w:tcMar>
          </w:tcPr>
          <w:p>
            <w:pPr>
              <w:jc w:val="left"/>
            </w:pPr>
            <w:r>
              <w:rPr>
                <w:rFonts w:ascii="Calibri" w:hAnsi="Calibri"/>
                <w:b/>
                <w:sz w:val="16"/>
              </w:rPr>
              <w:t>Weight of Debt ($W_d$)</w:t>
            </w:r>
          </w:p>
        </w:tc>
        <w:tc>
          <w:tcPr>
            <w:tcW w:type="dxa" w:w="1728"/>
            <w:tcMar>
              <w:top w:w="50" w:type="dxa"/>
              <w:bottom w:w="50" w:type="dxa"/>
              <w:left w:w="60" w:type="dxa"/>
              <w:right w:w="60" w:type="dxa"/>
            </w:tcMar>
          </w:tcPr>
          <w:p>
            <w:pPr>
              <w:jc w:val="center"/>
            </w:pPr>
            <w:r>
              <w:rPr>
                <w:rFonts w:ascii="Calibri" w:hAnsi="Calibri"/>
                <w:b/>
                <w:sz w:val="16"/>
              </w:rPr>
              <w:t>5.0%</w:t>
            </w:r>
          </w:p>
        </w:tc>
        <w:tc>
          <w:tcPr>
            <w:tcW w:type="dxa" w:w="1728"/>
            <w:tcMar>
              <w:top w:w="50" w:type="dxa"/>
              <w:bottom w:w="50" w:type="dxa"/>
              <w:left w:w="60" w:type="dxa"/>
              <w:right w:w="60" w:type="dxa"/>
            </w:tcMar>
          </w:tcPr>
          <w:p>
            <w:pPr>
              <w:jc w:val="center"/>
            </w:pPr>
            <w:r>
              <w:rPr>
                <w:rFonts w:ascii="Calibri" w:hAnsi="Calibri"/>
                <w:sz w:val="16"/>
              </w:rPr>
              <w:t>Estructura Cap.</w:t>
            </w:r>
          </w:p>
        </w:tc>
        <w:tc>
          <w:tcPr>
            <w:tcW w:type="dxa" w:w="4032"/>
            <w:tcMar>
              <w:top w:w="50" w:type="dxa"/>
              <w:bottom w:w="50" w:type="dxa"/>
              <w:left w:w="60" w:type="dxa"/>
              <w:right w:w="60" w:type="dxa"/>
            </w:tcMar>
          </w:tcPr>
          <w:p>
            <w:pPr>
              <w:jc w:val="left"/>
            </w:pPr>
            <w:r>
              <w:rPr>
                <w:rFonts w:ascii="Calibri" w:hAnsi="Calibri"/>
                <w:sz w:val="16"/>
              </w:rPr>
              <w:t>Ponderación de la deuda financiera en la estructura de capital.</w:t>
            </w:r>
          </w:p>
        </w:tc>
      </w:tr>
      <w:tr>
        <w:tc>
          <w:tcPr>
            <w:tcW w:type="dxa" w:w="2304"/>
            <w:tcMar>
              <w:top w:w="50" w:type="dxa"/>
              <w:bottom w:w="50" w:type="dxa"/>
              <w:left w:w="60" w:type="dxa"/>
              <w:right w:w="60" w:type="dxa"/>
            </w:tcMar>
          </w:tcPr>
          <w:p>
            <w:pPr>
              <w:jc w:val="left"/>
            </w:pPr>
            <w:r>
              <w:rPr>
                <w:rFonts w:ascii="Calibri" w:hAnsi="Calibri"/>
                <w:b/>
                <w:sz w:val="16"/>
              </w:rPr>
              <w:t>Weight of Equity ($W_e$)</w:t>
            </w:r>
          </w:p>
        </w:tc>
        <w:tc>
          <w:tcPr>
            <w:tcW w:type="dxa" w:w="1728"/>
            <w:tcMar>
              <w:top w:w="50" w:type="dxa"/>
              <w:bottom w:w="50" w:type="dxa"/>
              <w:left w:w="60" w:type="dxa"/>
              <w:right w:w="60" w:type="dxa"/>
            </w:tcMar>
          </w:tcPr>
          <w:p>
            <w:pPr>
              <w:jc w:val="center"/>
            </w:pPr>
            <w:r>
              <w:rPr>
                <w:rFonts w:ascii="Calibri" w:hAnsi="Calibri"/>
                <w:b/>
                <w:sz w:val="16"/>
              </w:rPr>
              <w:t>100.0%</w:t>
            </w:r>
          </w:p>
        </w:tc>
        <w:tc>
          <w:tcPr>
            <w:tcW w:type="dxa" w:w="1728"/>
            <w:tcMar>
              <w:top w:w="50" w:type="dxa"/>
              <w:bottom w:w="50" w:type="dxa"/>
              <w:left w:w="60" w:type="dxa"/>
              <w:right w:w="60" w:type="dxa"/>
            </w:tcMar>
          </w:tcPr>
          <w:p>
            <w:pPr>
              <w:jc w:val="center"/>
            </w:pPr>
            <w:r>
              <w:rPr>
                <w:rFonts w:ascii="Calibri" w:hAnsi="Calibri"/>
                <w:sz w:val="16"/>
              </w:rPr>
              <w:t>Estructura Cap.</w:t>
            </w:r>
          </w:p>
        </w:tc>
        <w:tc>
          <w:tcPr>
            <w:tcW w:type="dxa" w:w="4032"/>
            <w:tcMar>
              <w:top w:w="50" w:type="dxa"/>
              <w:bottom w:w="50" w:type="dxa"/>
              <w:left w:w="60" w:type="dxa"/>
              <w:right w:w="60" w:type="dxa"/>
            </w:tcMar>
          </w:tcPr>
          <w:p>
            <w:pPr>
              <w:jc w:val="left"/>
            </w:pPr>
            <w:r>
              <w:rPr>
                <w:rFonts w:ascii="Calibri" w:hAnsi="Calibri"/>
                <w:sz w:val="16"/>
              </w:rPr>
              <w:t>Ponderación de los fondos propios en la estructura de capital.</w:t>
            </w:r>
          </w:p>
        </w:tc>
      </w:tr>
      <w:tr>
        <w:tc>
          <w:tcPr>
            <w:tcW w:type="dxa" w:w="2304"/>
            <w:tcMar>
              <w:top w:w="50" w:type="dxa"/>
              <w:bottom w:w="50" w:type="dxa"/>
              <w:left w:w="60" w:type="dxa"/>
              <w:right w:w="60" w:type="dxa"/>
            </w:tcMar>
          </w:tcPr>
          <w:p>
            <w:pPr>
              <w:jc w:val="left"/>
            </w:pPr>
            <w:r>
              <w:rPr>
                <w:rFonts w:ascii="Calibri" w:hAnsi="Calibri"/>
                <w:b/>
                <w:sz w:val="16"/>
              </w:rPr>
              <w:t>WACC Auditado (Hurdle Rate)</w:t>
            </w:r>
          </w:p>
        </w:tc>
        <w:tc>
          <w:tcPr>
            <w:tcW w:type="dxa" w:w="1728"/>
            <w:tcMar>
              <w:top w:w="50" w:type="dxa"/>
              <w:bottom w:w="50" w:type="dxa"/>
              <w:left w:w="60" w:type="dxa"/>
              <w:right w:w="60" w:type="dxa"/>
            </w:tcMar>
          </w:tcPr>
          <w:p>
            <w:pPr>
              <w:jc w:val="center"/>
            </w:pPr>
            <w:r>
              <w:rPr>
                <w:rFonts w:ascii="Calibri" w:hAnsi="Calibri"/>
                <w:b/>
                <w:sz w:val="16"/>
              </w:rPr>
              <w:t>9.43%</w:t>
            </w:r>
          </w:p>
        </w:tc>
        <w:tc>
          <w:tcPr>
            <w:tcW w:type="dxa" w:w="1728"/>
            <w:tcMar>
              <w:top w:w="50" w:type="dxa"/>
              <w:bottom w:w="50" w:type="dxa"/>
              <w:left w:w="60" w:type="dxa"/>
              <w:right w:w="60" w:type="dxa"/>
            </w:tcMar>
          </w:tcPr>
          <w:p>
            <w:pPr>
              <w:jc w:val="center"/>
            </w:pPr>
            <w:r>
              <w:rPr>
                <w:rFonts w:ascii="Calibri" w:hAnsi="Calibri"/>
                <w:sz w:val="16"/>
              </w:rPr>
              <w:t>Sección 11.1</w:t>
            </w:r>
          </w:p>
        </w:tc>
        <w:tc>
          <w:tcPr>
            <w:tcW w:type="dxa" w:w="4032"/>
            <w:tcMar>
              <w:top w:w="50" w:type="dxa"/>
              <w:bottom w:w="50" w:type="dxa"/>
              <w:left w:w="60" w:type="dxa"/>
              <w:right w:w="60" w:type="dxa"/>
            </w:tcMar>
          </w:tcPr>
          <w:p>
            <w:pPr>
              <w:jc w:val="left"/>
            </w:pPr>
            <w:r>
              <w:rPr>
                <w:rFonts w:ascii="Calibri" w:hAnsi="Calibri"/>
                <w:sz w:val="16"/>
              </w:rPr>
              <w:t>Tasa de descuento de corte para flujos libres de la firma.</w:t>
            </w:r>
          </w:p>
        </w:tc>
      </w:tr>
      <w:tr>
        <w:tc>
          <w:tcPr>
            <w:tcW w:type="dxa" w:w="2304"/>
            <w:tcMar>
              <w:top w:w="50" w:type="dxa"/>
              <w:bottom w:w="50" w:type="dxa"/>
              <w:left w:w="60" w:type="dxa"/>
              <w:right w:w="60" w:type="dxa"/>
            </w:tcMar>
          </w:tcPr>
          <w:p>
            <w:pPr>
              <w:jc w:val="left"/>
            </w:pPr>
            <w:r>
              <w:rPr>
                <w:rFonts w:ascii="Calibri" w:hAnsi="Calibri"/>
                <w:b/>
                <w:sz w:val="16"/>
              </w:rPr>
              <w:t>Margen FCF Normalizado</w:t>
            </w:r>
          </w:p>
        </w:tc>
        <w:tc>
          <w:tcPr>
            <w:tcW w:type="dxa" w:w="1728"/>
            <w:tcMar>
              <w:top w:w="50" w:type="dxa"/>
              <w:bottom w:w="50" w:type="dxa"/>
              <w:left w:w="60" w:type="dxa"/>
              <w:right w:w="60" w:type="dxa"/>
            </w:tcMar>
          </w:tcPr>
          <w:p>
            <w:pPr>
              <w:jc w:val="center"/>
            </w:pPr>
            <w:r>
              <w:rPr>
                <w:rFonts w:ascii="Calibri" w:hAnsi="Calibri"/>
                <w:b/>
                <w:sz w:val="16"/>
              </w:rPr>
              <w:t>6.6%</w:t>
            </w:r>
          </w:p>
        </w:tc>
        <w:tc>
          <w:tcPr>
            <w:tcW w:type="dxa" w:w="1728"/>
            <w:tcMar>
              <w:top w:w="50" w:type="dxa"/>
              <w:bottom w:w="50" w:type="dxa"/>
              <w:left w:w="60" w:type="dxa"/>
              <w:right w:w="60" w:type="dxa"/>
            </w:tcMar>
          </w:tcPr>
          <w:p>
            <w:pPr>
              <w:jc w:val="center"/>
            </w:pPr>
            <w:r>
              <w:rPr>
                <w:rFonts w:ascii="Calibri" w:hAnsi="Calibri"/>
                <w:sz w:val="16"/>
              </w:rPr>
              <w:t>Sección 4 &amp; Solv.</w:t>
            </w:r>
          </w:p>
        </w:tc>
        <w:tc>
          <w:tcPr>
            <w:tcW w:type="dxa" w:w="4032"/>
            <w:tcMar>
              <w:top w:w="50" w:type="dxa"/>
              <w:bottom w:w="50" w:type="dxa"/>
              <w:left w:w="60" w:type="dxa"/>
              <w:right w:w="60" w:type="dxa"/>
            </w:tcMar>
          </w:tcPr>
          <w:p>
            <w:pPr>
              <w:jc w:val="left"/>
            </w:pPr>
            <w:r>
              <w:rPr>
                <w:rFonts w:ascii="Calibri" w:hAnsi="Calibri"/>
                <w:sz w:val="16"/>
              </w:rPr>
              <w:t>Conversión operativa a caja libre tras inversiones de capital.</w:t>
            </w:r>
          </w:p>
        </w:tc>
      </w:tr>
      <w:tr>
        <w:tc>
          <w:tcPr>
            <w:tcW w:type="dxa" w:w="2304"/>
            <w:tcMar>
              <w:top w:w="50" w:type="dxa"/>
              <w:bottom w:w="50" w:type="dxa"/>
              <w:left w:w="60" w:type="dxa"/>
              <w:right w:w="60" w:type="dxa"/>
            </w:tcMar>
          </w:tcPr>
          <w:p>
            <w:pPr>
              <w:jc w:val="left"/>
            </w:pPr>
            <w:r>
              <w:rPr>
                <w:rFonts w:ascii="Calibri" w:hAnsi="Calibri"/>
                <w:b/>
                <w:sz w:val="16"/>
              </w:rPr>
              <w:t>Terminal Growth Rate ($g_n$)</w:t>
            </w:r>
          </w:p>
        </w:tc>
        <w:tc>
          <w:tcPr>
            <w:tcW w:type="dxa" w:w="1728"/>
            <w:tcMar>
              <w:top w:w="50" w:type="dxa"/>
              <w:bottom w:w="50" w:type="dxa"/>
              <w:left w:w="60" w:type="dxa"/>
              <w:right w:w="60" w:type="dxa"/>
            </w:tcMar>
          </w:tcPr>
          <w:p>
            <w:pPr>
              <w:jc w:val="center"/>
            </w:pPr>
            <w:r>
              <w:rPr>
                <w:rFonts w:ascii="Calibri" w:hAnsi="Calibri"/>
                <w:b/>
                <w:sz w:val="16"/>
              </w:rPr>
              <w:t>2.5%</w:t>
            </w:r>
          </w:p>
        </w:tc>
        <w:tc>
          <w:tcPr>
            <w:tcW w:type="dxa" w:w="1728"/>
            <w:tcMar>
              <w:top w:w="50" w:type="dxa"/>
              <w:bottom w:w="50" w:type="dxa"/>
              <w:left w:w="60" w:type="dxa"/>
              <w:right w:w="60" w:type="dxa"/>
            </w:tcMar>
          </w:tcPr>
          <w:p>
            <w:pPr>
              <w:jc w:val="center"/>
            </w:pPr>
            <w:r>
              <w:rPr>
                <w:rFonts w:ascii="Calibri" w:hAnsi="Calibri"/>
                <w:sz w:val="16"/>
              </w:rPr>
              <w:t>Hipótesis Canónica</w:t>
            </w:r>
          </w:p>
        </w:tc>
        <w:tc>
          <w:tcPr>
            <w:tcW w:type="dxa" w:w="4032"/>
            <w:tcMar>
              <w:top w:w="50" w:type="dxa"/>
              <w:bottom w:w="50" w:type="dxa"/>
              <w:left w:w="60" w:type="dxa"/>
              <w:right w:w="60" w:type="dxa"/>
            </w:tcMar>
          </w:tcPr>
          <w:p>
            <w:pPr>
              <w:jc w:val="left"/>
            </w:pPr>
            <w:r>
              <w:rPr>
                <w:rFonts w:ascii="Calibri" w:hAnsi="Calibri"/>
                <w:sz w:val="16"/>
              </w:rPr>
              <w:t>Crecimiento tendencial sostenible de la economía global.</w:t>
            </w:r>
          </w:p>
        </w:tc>
      </w:tr>
      <w:tr>
        <w:tc>
          <w:tcPr>
            <w:tcW w:type="dxa" w:w="2304"/>
            <w:tcMar>
              <w:top w:w="50" w:type="dxa"/>
              <w:bottom w:w="50" w:type="dxa"/>
              <w:left w:w="60" w:type="dxa"/>
              <w:right w:w="60" w:type="dxa"/>
            </w:tcMar>
          </w:tcPr>
          <w:p>
            <w:pPr>
              <w:jc w:val="left"/>
            </w:pPr>
            <w:r>
              <w:rPr>
                <w:rFonts w:ascii="Calibri" w:hAnsi="Calibri"/>
                <w:b/>
                <w:sz w:val="16"/>
              </w:rPr>
              <w:t>Forecast Period</w:t>
            </w:r>
          </w:p>
        </w:tc>
        <w:tc>
          <w:tcPr>
            <w:tcW w:type="dxa" w:w="1728"/>
            <w:tcMar>
              <w:top w:w="50" w:type="dxa"/>
              <w:bottom w:w="50" w:type="dxa"/>
              <w:left w:w="60" w:type="dxa"/>
              <w:right w:w="60" w:type="dxa"/>
            </w:tcMar>
          </w:tcPr>
          <w:p>
            <w:pPr>
              <w:jc w:val="center"/>
            </w:pPr>
            <w:r>
              <w:rPr>
                <w:rFonts w:ascii="Calibri" w:hAnsi="Calibri"/>
                <w:b/>
                <w:sz w:val="16"/>
              </w:rPr>
              <w:t>10 Años</w:t>
            </w:r>
          </w:p>
        </w:tc>
        <w:tc>
          <w:tcPr>
            <w:tcW w:type="dxa" w:w="1728"/>
            <w:tcMar>
              <w:top w:w="50" w:type="dxa"/>
              <w:bottom w:w="50" w:type="dxa"/>
              <w:left w:w="60" w:type="dxa"/>
              <w:right w:w="60" w:type="dxa"/>
            </w:tcMar>
          </w:tcPr>
          <w:p>
            <w:pPr>
              <w:jc w:val="center"/>
            </w:pPr>
            <w:r>
              <w:rPr>
                <w:rFonts w:ascii="Calibri" w:hAnsi="Calibri"/>
                <w:sz w:val="16"/>
              </w:rPr>
              <w:t>Estándar Institucional</w:t>
            </w:r>
          </w:p>
        </w:tc>
        <w:tc>
          <w:tcPr>
            <w:tcW w:type="dxa" w:w="4032"/>
            <w:tcMar>
              <w:top w:w="50" w:type="dxa"/>
              <w:bottom w:w="50" w:type="dxa"/>
              <w:left w:w="60" w:type="dxa"/>
              <w:right w:w="60" w:type="dxa"/>
            </w:tcMar>
          </w:tcPr>
          <w:p>
            <w:pPr>
              <w:jc w:val="left"/>
            </w:pPr>
            <w:r>
              <w:rPr>
                <w:rFonts w:ascii="Calibri" w:hAnsi="Calibri"/>
                <w:sz w:val="16"/>
              </w:rPr>
              <w:t>Ciclo completo de maduración y despliegue operativo.</w:t>
            </w:r>
          </w:p>
        </w:tc>
      </w:tr>
    </w:tbl>
    <w:p>
      <w:pPr>
        <w:pStyle w:val="Heading2"/>
      </w:pPr>
      <w:r>
        <w:rPr>
          <w:rFonts w:ascii="Calibri" w:hAnsi="Calibri"/>
          <w:b/>
          <w:color w:val="1B365D"/>
          <w:sz w:val="23"/>
        </w:rPr>
        <w:t>14.3. Motor Propietario de Reverse DCF &amp; Brecha de Expectativas</w:t>
      </w:r>
    </w:p>
    <w:p>
      <w:pPr>
        <w:spacing w:after="120"/>
      </w:pPr>
      <w:r>
        <w:rPr>
          <w:rFonts w:ascii="Calibri" w:hAnsi="Calibri"/>
          <w:color w:val="2D3748"/>
          <w:sz w:val="18"/>
        </w:rPr>
        <w:t>• Crecimiento Histórico SEC (CAGR 5 Años): 8.5% anual (CAGR 10A: 8.0%, CAGR 3A: 6.0%)</w:t>
        <w:br/>
        <w:t>• Guidance de Crecimiento: 10.0% anual</w:t>
        <w:br/>
        <w:t>• Crecimiento Implícito Descontado por el Precio ($14.03): 26.4% anual (con WACC 9.43%) y 11.6% (con WACC 10.9%)</w:t>
        <w:br/>
        <w:t>• Brecha de Expectativas: +17.9 pp frente al histórico y +16.4 pp frente al guidance.</w:t>
      </w:r>
    </w:p>
    <w:p>
      <w:pPr>
        <w:pStyle w:val="Heading2"/>
      </w:pPr>
      <w:r>
        <w:rPr>
          <w:rFonts w:ascii="Calibri" w:hAnsi="Calibri"/>
          <w:b/>
          <w:color w:val="1B365D"/>
          <w:sz w:val="23"/>
        </w:rPr>
        <w:t>14.4. Matriz de Sensibilidad Bidimensional (WACC vs. Perpetuidad)</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728"/>
        <w:gridCol w:w="1008"/>
        <w:gridCol w:w="1008"/>
        <w:gridCol w:w="1008"/>
        <w:gridCol w:w="1008"/>
        <w:gridCol w:w="1008"/>
        <w:gridCol w:w="1008"/>
        <w:gridCol w:w="2016"/>
      </w:tblGrid>
      <w:tr>
        <w:tc>
          <w:tcPr>
            <w:tcW w:type="dxa" w:w="1728"/>
            <w:shd w:fill="1B365D"/>
            <w:tcMar>
              <w:top w:w="80" w:type="dxa"/>
              <w:bottom w:w="80" w:type="dxa"/>
              <w:left w:w="60" w:type="dxa"/>
              <w:right w:w="60" w:type="dxa"/>
            </w:tcMar>
          </w:tcPr>
          <w:p>
            <w:pPr>
              <w:jc w:val="center"/>
            </w:pPr>
            <w:r>
              <w:rPr>
                <w:rFonts w:ascii="Calibri" w:hAnsi="Calibri"/>
                <w:b/>
                <w:color w:val="FFFFFF"/>
                <w:sz w:val="16"/>
              </w:rPr>
              <w:t>WACC / gn</w:t>
            </w:r>
          </w:p>
        </w:tc>
        <w:tc>
          <w:tcPr>
            <w:tcW w:type="dxa" w:w="1008"/>
            <w:shd w:fill="1B365D"/>
            <w:tcMar>
              <w:top w:w="80" w:type="dxa"/>
              <w:bottom w:w="80" w:type="dxa"/>
              <w:left w:w="60" w:type="dxa"/>
              <w:right w:w="60" w:type="dxa"/>
            </w:tcMar>
          </w:tcPr>
          <w:p>
            <w:pPr>
              <w:jc w:val="center"/>
            </w:pPr>
            <w:r>
              <w:rPr>
                <w:rFonts w:ascii="Calibri" w:hAnsi="Calibri"/>
                <w:b/>
                <w:color w:val="FFFFFF"/>
                <w:sz w:val="16"/>
              </w:rPr>
              <w:t>1.0%</w:t>
            </w:r>
          </w:p>
        </w:tc>
        <w:tc>
          <w:tcPr>
            <w:tcW w:type="dxa" w:w="1008"/>
            <w:shd w:fill="1B365D"/>
            <w:tcMar>
              <w:top w:w="80" w:type="dxa"/>
              <w:bottom w:w="80" w:type="dxa"/>
              <w:left w:w="60" w:type="dxa"/>
              <w:right w:w="60" w:type="dxa"/>
            </w:tcMar>
          </w:tcPr>
          <w:p>
            <w:pPr>
              <w:jc w:val="center"/>
            </w:pPr>
            <w:r>
              <w:rPr>
                <w:rFonts w:ascii="Calibri" w:hAnsi="Calibri"/>
                <w:b/>
                <w:color w:val="FFFFFF"/>
                <w:sz w:val="16"/>
              </w:rPr>
              <w:t>1.5%</w:t>
            </w:r>
          </w:p>
        </w:tc>
        <w:tc>
          <w:tcPr>
            <w:tcW w:type="dxa" w:w="1008"/>
            <w:shd w:fill="1B365D"/>
            <w:tcMar>
              <w:top w:w="80" w:type="dxa"/>
              <w:bottom w:w="80" w:type="dxa"/>
              <w:left w:w="60" w:type="dxa"/>
              <w:right w:w="60" w:type="dxa"/>
            </w:tcMar>
          </w:tcPr>
          <w:p>
            <w:pPr>
              <w:jc w:val="center"/>
            </w:pPr>
            <w:r>
              <w:rPr>
                <w:rFonts w:ascii="Calibri" w:hAnsi="Calibri"/>
                <w:b/>
                <w:color w:val="FFFFFF"/>
                <w:sz w:val="16"/>
              </w:rPr>
              <w:t>2.0%</w:t>
            </w:r>
          </w:p>
        </w:tc>
        <w:tc>
          <w:tcPr>
            <w:tcW w:type="dxa" w:w="1008"/>
            <w:shd w:fill="0A3641"/>
            <w:tcMar>
              <w:top w:w="80" w:type="dxa"/>
              <w:bottom w:w="80" w:type="dxa"/>
              <w:left w:w="60" w:type="dxa"/>
              <w:right w:w="60" w:type="dxa"/>
            </w:tcMar>
          </w:tcPr>
          <w:p>
            <w:pPr>
              <w:jc w:val="center"/>
            </w:pPr>
            <w:r>
              <w:rPr>
                <w:rFonts w:ascii="Calibri" w:hAnsi="Calibri"/>
                <w:b/>
                <w:color w:val="FFD700"/>
                <w:sz w:val="16"/>
              </w:rPr>
              <w:t>2.5%</w:t>
            </w:r>
          </w:p>
        </w:tc>
        <w:tc>
          <w:tcPr>
            <w:tcW w:type="dxa" w:w="1008"/>
            <w:shd w:fill="1B365D"/>
            <w:tcMar>
              <w:top w:w="80" w:type="dxa"/>
              <w:bottom w:w="80" w:type="dxa"/>
              <w:left w:w="60" w:type="dxa"/>
              <w:right w:w="60" w:type="dxa"/>
            </w:tcMar>
          </w:tcPr>
          <w:p>
            <w:pPr>
              <w:jc w:val="center"/>
            </w:pPr>
            <w:r>
              <w:rPr>
                <w:rFonts w:ascii="Calibri" w:hAnsi="Calibri"/>
                <w:b/>
                <w:color w:val="FFFFFF"/>
                <w:sz w:val="16"/>
              </w:rPr>
              <w:t>3.0%</w:t>
            </w:r>
          </w:p>
        </w:tc>
        <w:tc>
          <w:tcPr>
            <w:tcW w:type="dxa" w:w="1008"/>
            <w:shd w:fill="1B365D"/>
            <w:tcMar>
              <w:top w:w="80" w:type="dxa"/>
              <w:bottom w:w="80" w:type="dxa"/>
              <w:left w:w="60" w:type="dxa"/>
              <w:right w:w="60" w:type="dxa"/>
            </w:tcMar>
          </w:tcPr>
          <w:p>
            <w:pPr>
              <w:jc w:val="center"/>
            </w:pPr>
            <w:r>
              <w:rPr>
                <w:rFonts w:ascii="Calibri" w:hAnsi="Calibri"/>
                <w:b/>
                <w:color w:val="FFFFFF"/>
                <w:sz w:val="16"/>
              </w:rPr>
              <w:t>3.5%</w:t>
            </w:r>
          </w:p>
        </w:tc>
        <w:tc>
          <w:tcPr>
            <w:tcW w:type="dxa" w:w="2016"/>
            <w:shd w:fill="1B365D"/>
            <w:tcMar>
              <w:top w:w="80" w:type="dxa"/>
              <w:bottom w:w="80" w:type="dxa"/>
              <w:left w:w="60" w:type="dxa"/>
              <w:right w:w="60" w:type="dxa"/>
            </w:tcMar>
          </w:tcPr>
          <w:p>
            <w:pPr>
              <w:jc w:val="left"/>
            </w:pPr>
            <w:r>
              <w:rPr>
                <w:rFonts w:ascii="Calibri" w:hAnsi="Calibri"/>
                <w:b/>
                <w:color w:val="FFFFFF"/>
                <w:sz w:val="16"/>
              </w:rPr>
              <w:t>Diagnóstico</w:t>
            </w:r>
          </w:p>
        </w:tc>
      </w:tr>
      <w:tr>
        <w:tc>
          <w:tcPr>
            <w:tcW w:type="dxa" w:w="1728"/>
            <w:tcMar>
              <w:top w:w="50" w:type="dxa"/>
              <w:bottom w:w="50" w:type="dxa"/>
              <w:left w:w="60" w:type="dxa"/>
              <w:right w:w="60" w:type="dxa"/>
            </w:tcMar>
          </w:tcPr>
          <w:p>
            <w:pPr>
              <w:jc w:val="center"/>
            </w:pPr>
            <w:r>
              <w:rPr>
                <w:rFonts w:ascii="Calibri" w:hAnsi="Calibri"/>
                <w:b/>
                <w:sz w:val="16"/>
              </w:rPr>
              <w:t>8.43% (Bajo / Expansión)</w:t>
            </w:r>
          </w:p>
        </w:tc>
        <w:tc>
          <w:tcPr>
            <w:tcW w:type="dxa" w:w="1008"/>
            <w:tcMar>
              <w:top w:w="50" w:type="dxa"/>
              <w:bottom w:w="50" w:type="dxa"/>
              <w:left w:w="60" w:type="dxa"/>
              <w:right w:w="60" w:type="dxa"/>
            </w:tcMar>
          </w:tcPr>
          <w:p>
            <w:pPr>
              <w:jc w:val="center"/>
            </w:pPr>
            <w:r>
              <w:rPr>
                <w:rFonts w:ascii="Calibri" w:hAnsi="Calibri"/>
                <w:sz w:val="16"/>
              </w:rPr>
              <w:t>26.1%</w:t>
            </w:r>
          </w:p>
        </w:tc>
        <w:tc>
          <w:tcPr>
            <w:tcW w:type="dxa" w:w="1008"/>
            <w:tcMar>
              <w:top w:w="50" w:type="dxa"/>
              <w:bottom w:w="50" w:type="dxa"/>
              <w:left w:w="60" w:type="dxa"/>
              <w:right w:w="60" w:type="dxa"/>
            </w:tcMar>
          </w:tcPr>
          <w:p>
            <w:pPr>
              <w:jc w:val="center"/>
            </w:pPr>
            <w:r>
              <w:rPr>
                <w:rFonts w:ascii="Calibri" w:hAnsi="Calibri"/>
                <w:sz w:val="16"/>
              </w:rPr>
              <w:t>25.4%</w:t>
            </w:r>
          </w:p>
        </w:tc>
        <w:tc>
          <w:tcPr>
            <w:tcW w:type="dxa" w:w="1008"/>
            <w:tcMar>
              <w:top w:w="50" w:type="dxa"/>
              <w:bottom w:w="50" w:type="dxa"/>
              <w:left w:w="60" w:type="dxa"/>
              <w:right w:w="60" w:type="dxa"/>
            </w:tcMar>
          </w:tcPr>
          <w:p>
            <w:pPr>
              <w:jc w:val="center"/>
            </w:pPr>
            <w:r>
              <w:rPr>
                <w:rFonts w:ascii="Calibri" w:hAnsi="Calibri"/>
                <w:sz w:val="16"/>
              </w:rPr>
              <w:t>24.6%</w:t>
            </w:r>
          </w:p>
        </w:tc>
        <w:tc>
          <w:tcPr>
            <w:tcW w:type="dxa" w:w="1008"/>
            <w:tcMar>
              <w:top w:w="50" w:type="dxa"/>
              <w:bottom w:w="50" w:type="dxa"/>
              <w:left w:w="60" w:type="dxa"/>
              <w:right w:w="60" w:type="dxa"/>
            </w:tcMar>
          </w:tcPr>
          <w:p>
            <w:pPr>
              <w:jc w:val="center"/>
            </w:pPr>
            <w:r>
              <w:rPr>
                <w:rFonts w:ascii="Calibri" w:hAnsi="Calibri"/>
                <w:b/>
                <w:sz w:val="16"/>
              </w:rPr>
              <w:t>23.7%</w:t>
            </w:r>
          </w:p>
        </w:tc>
        <w:tc>
          <w:tcPr>
            <w:tcW w:type="dxa" w:w="1008"/>
            <w:tcMar>
              <w:top w:w="50" w:type="dxa"/>
              <w:bottom w:w="50" w:type="dxa"/>
              <w:left w:w="60" w:type="dxa"/>
              <w:right w:w="60" w:type="dxa"/>
            </w:tcMar>
          </w:tcPr>
          <w:p>
            <w:pPr>
              <w:jc w:val="center"/>
            </w:pPr>
            <w:r>
              <w:rPr>
                <w:rFonts w:ascii="Calibri" w:hAnsi="Calibri"/>
                <w:sz w:val="16"/>
              </w:rPr>
              <w:t>22.8%</w:t>
            </w:r>
          </w:p>
        </w:tc>
        <w:tc>
          <w:tcPr>
            <w:tcW w:type="dxa" w:w="1008"/>
            <w:tcMar>
              <w:top w:w="50" w:type="dxa"/>
              <w:bottom w:w="50" w:type="dxa"/>
              <w:left w:w="60" w:type="dxa"/>
              <w:right w:w="60" w:type="dxa"/>
            </w:tcMar>
          </w:tcPr>
          <w:p>
            <w:pPr>
              <w:jc w:val="center"/>
            </w:pPr>
            <w:r>
              <w:rPr>
                <w:rFonts w:ascii="Calibri" w:hAnsi="Calibri"/>
                <w:sz w:val="16"/>
              </w:rPr>
              <w:t>21.8%</w:t>
            </w:r>
          </w:p>
        </w:tc>
        <w:tc>
          <w:tcPr>
            <w:tcW w:type="dxa" w:w="2016"/>
            <w:tcMar>
              <w:top w:w="50" w:type="dxa"/>
              <w:bottom w:w="50" w:type="dxa"/>
              <w:left w:w="60" w:type="dxa"/>
              <w:right w:w="60" w:type="dxa"/>
            </w:tcMar>
          </w:tcPr>
          <w:p>
            <w:pPr>
              <w:jc w:val="left"/>
            </w:pPr>
            <w:r>
              <w:rPr>
                <w:rFonts w:ascii="Calibri" w:hAnsi="Calibri"/>
                <w:sz w:val="16"/>
              </w:rPr>
              <w:t>Escenario favorable; exigencia de crecimiento más moderada.</w:t>
            </w:r>
          </w:p>
        </w:tc>
      </w:tr>
      <w:tr>
        <w:tc>
          <w:tcPr>
            <w:tcW w:type="dxa" w:w="1728"/>
            <w:tcMar>
              <w:top w:w="50" w:type="dxa"/>
              <w:bottom w:w="50" w:type="dxa"/>
              <w:left w:w="60" w:type="dxa"/>
              <w:right w:w="60" w:type="dxa"/>
            </w:tcMar>
          </w:tcPr>
          <w:p>
            <w:pPr>
              <w:jc w:val="center"/>
            </w:pPr>
            <w:r>
              <w:rPr>
                <w:rFonts w:ascii="Calibri" w:hAnsi="Calibri"/>
                <w:b/>
                <w:sz w:val="16"/>
              </w:rPr>
              <w:t>8.93% (Favorable)</w:t>
            </w:r>
          </w:p>
        </w:tc>
        <w:tc>
          <w:tcPr>
            <w:tcW w:type="dxa" w:w="1008"/>
            <w:tcMar>
              <w:top w:w="50" w:type="dxa"/>
              <w:bottom w:w="50" w:type="dxa"/>
              <w:left w:w="60" w:type="dxa"/>
              <w:right w:w="60" w:type="dxa"/>
            </w:tcMar>
          </w:tcPr>
          <w:p>
            <w:pPr>
              <w:jc w:val="center"/>
            </w:pPr>
            <w:r>
              <w:rPr>
                <w:rFonts w:ascii="Calibri" w:hAnsi="Calibri"/>
                <w:sz w:val="16"/>
              </w:rPr>
              <w:t>27.4%</w:t>
            </w:r>
          </w:p>
        </w:tc>
        <w:tc>
          <w:tcPr>
            <w:tcW w:type="dxa" w:w="1008"/>
            <w:tcMar>
              <w:top w:w="50" w:type="dxa"/>
              <w:bottom w:w="50" w:type="dxa"/>
              <w:left w:w="60" w:type="dxa"/>
              <w:right w:w="60" w:type="dxa"/>
            </w:tcMar>
          </w:tcPr>
          <w:p>
            <w:pPr>
              <w:jc w:val="center"/>
            </w:pPr>
            <w:r>
              <w:rPr>
                <w:rFonts w:ascii="Calibri" w:hAnsi="Calibri"/>
                <w:sz w:val="16"/>
              </w:rPr>
              <w:t>26.7%</w:t>
            </w:r>
          </w:p>
        </w:tc>
        <w:tc>
          <w:tcPr>
            <w:tcW w:type="dxa" w:w="1008"/>
            <w:tcMar>
              <w:top w:w="50" w:type="dxa"/>
              <w:bottom w:w="50" w:type="dxa"/>
              <w:left w:w="60" w:type="dxa"/>
              <w:right w:w="60" w:type="dxa"/>
            </w:tcMar>
          </w:tcPr>
          <w:p>
            <w:pPr>
              <w:jc w:val="center"/>
            </w:pPr>
            <w:r>
              <w:rPr>
                <w:rFonts w:ascii="Calibri" w:hAnsi="Calibri"/>
                <w:sz w:val="16"/>
              </w:rPr>
              <w:t>25.9%</w:t>
            </w:r>
          </w:p>
        </w:tc>
        <w:tc>
          <w:tcPr>
            <w:tcW w:type="dxa" w:w="1008"/>
            <w:tcMar>
              <w:top w:w="50" w:type="dxa"/>
              <w:bottom w:w="50" w:type="dxa"/>
              <w:left w:w="60" w:type="dxa"/>
              <w:right w:w="60" w:type="dxa"/>
            </w:tcMar>
          </w:tcPr>
          <w:p>
            <w:pPr>
              <w:jc w:val="center"/>
            </w:pPr>
            <w:r>
              <w:rPr>
                <w:rFonts w:ascii="Calibri" w:hAnsi="Calibri"/>
                <w:b/>
                <w:sz w:val="16"/>
              </w:rPr>
              <w:t>25.1%</w:t>
            </w:r>
          </w:p>
        </w:tc>
        <w:tc>
          <w:tcPr>
            <w:tcW w:type="dxa" w:w="1008"/>
            <w:tcMar>
              <w:top w:w="50" w:type="dxa"/>
              <w:bottom w:w="50" w:type="dxa"/>
              <w:left w:w="60" w:type="dxa"/>
              <w:right w:w="60" w:type="dxa"/>
            </w:tcMar>
          </w:tcPr>
          <w:p>
            <w:pPr>
              <w:jc w:val="center"/>
            </w:pPr>
            <w:r>
              <w:rPr>
                <w:rFonts w:ascii="Calibri" w:hAnsi="Calibri"/>
                <w:sz w:val="16"/>
              </w:rPr>
              <w:t>24.2%</w:t>
            </w:r>
          </w:p>
        </w:tc>
        <w:tc>
          <w:tcPr>
            <w:tcW w:type="dxa" w:w="1008"/>
            <w:tcMar>
              <w:top w:w="50" w:type="dxa"/>
              <w:bottom w:w="50" w:type="dxa"/>
              <w:left w:w="60" w:type="dxa"/>
              <w:right w:w="60" w:type="dxa"/>
            </w:tcMar>
          </w:tcPr>
          <w:p>
            <w:pPr>
              <w:jc w:val="center"/>
            </w:pPr>
            <w:r>
              <w:rPr>
                <w:rFonts w:ascii="Calibri" w:hAnsi="Calibri"/>
                <w:sz w:val="16"/>
              </w:rPr>
              <w:t>23.3%</w:t>
            </w:r>
          </w:p>
        </w:tc>
        <w:tc>
          <w:tcPr>
            <w:tcW w:type="dxa" w:w="2016"/>
            <w:tcMar>
              <w:top w:w="50" w:type="dxa"/>
              <w:bottom w:w="50" w:type="dxa"/>
              <w:left w:w="60" w:type="dxa"/>
              <w:right w:w="60" w:type="dxa"/>
            </w:tcMar>
          </w:tcPr>
          <w:p>
            <w:pPr>
              <w:jc w:val="left"/>
            </w:pPr>
            <w:r>
              <w:rPr>
                <w:rFonts w:ascii="Calibri" w:hAnsi="Calibri"/>
                <w:sz w:val="16"/>
              </w:rPr>
              <w:t>Escenario de sensibilidad operativa.</w:t>
            </w:r>
          </w:p>
        </w:tc>
      </w:tr>
      <w:tr>
        <w:tc>
          <w:tcPr>
            <w:tcW w:type="dxa" w:w="1728"/>
            <w:tcMar>
              <w:top w:w="50" w:type="dxa"/>
              <w:bottom w:w="50" w:type="dxa"/>
              <w:left w:w="60" w:type="dxa"/>
              <w:right w:w="60" w:type="dxa"/>
            </w:tcMar>
          </w:tcPr>
          <w:p>
            <w:pPr>
              <w:jc w:val="center"/>
            </w:pPr>
            <w:r>
              <w:rPr>
                <w:rFonts w:ascii="Calibri" w:hAnsi="Calibri"/>
                <w:b/>
                <w:sz w:val="16"/>
              </w:rPr>
              <w:t>9.43% (WACC Auditado Base)</w:t>
            </w:r>
          </w:p>
        </w:tc>
        <w:tc>
          <w:tcPr>
            <w:tcW w:type="dxa" w:w="1008"/>
            <w:tcMar>
              <w:top w:w="50" w:type="dxa"/>
              <w:bottom w:w="50" w:type="dxa"/>
              <w:left w:w="60" w:type="dxa"/>
              <w:right w:w="60" w:type="dxa"/>
            </w:tcMar>
          </w:tcPr>
          <w:p>
            <w:pPr>
              <w:jc w:val="center"/>
            </w:pPr>
            <w:r>
              <w:rPr>
                <w:rFonts w:ascii="Calibri" w:hAnsi="Calibri"/>
                <w:sz w:val="16"/>
              </w:rPr>
              <w:t>28.5%</w:t>
            </w:r>
          </w:p>
        </w:tc>
        <w:tc>
          <w:tcPr>
            <w:tcW w:type="dxa" w:w="1008"/>
            <w:tcMar>
              <w:top w:w="50" w:type="dxa"/>
              <w:bottom w:w="50" w:type="dxa"/>
              <w:left w:w="60" w:type="dxa"/>
              <w:right w:w="60" w:type="dxa"/>
            </w:tcMar>
          </w:tcPr>
          <w:p>
            <w:pPr>
              <w:jc w:val="center"/>
            </w:pPr>
            <w:r>
              <w:rPr>
                <w:rFonts w:ascii="Calibri" w:hAnsi="Calibri"/>
                <w:sz w:val="16"/>
              </w:rPr>
              <w:t>27.9%</w:t>
            </w:r>
          </w:p>
        </w:tc>
        <w:tc>
          <w:tcPr>
            <w:tcW w:type="dxa" w:w="1008"/>
            <w:tcMar>
              <w:top w:w="50" w:type="dxa"/>
              <w:bottom w:w="50" w:type="dxa"/>
              <w:left w:w="60" w:type="dxa"/>
              <w:right w:w="60" w:type="dxa"/>
            </w:tcMar>
          </w:tcPr>
          <w:p>
            <w:pPr>
              <w:jc w:val="center"/>
            </w:pPr>
            <w:r>
              <w:rPr>
                <w:rFonts w:ascii="Calibri" w:hAnsi="Calibri"/>
                <w:sz w:val="16"/>
              </w:rPr>
              <w:t>27.2%</w:t>
            </w:r>
          </w:p>
        </w:tc>
        <w:tc>
          <w:tcPr>
            <w:tcW w:type="dxa" w:w="1008"/>
            <w:tcMar>
              <w:top w:w="50" w:type="dxa"/>
              <w:bottom w:w="50" w:type="dxa"/>
              <w:left w:w="60" w:type="dxa"/>
              <w:right w:w="60" w:type="dxa"/>
            </w:tcMar>
          </w:tcPr>
          <w:p>
            <w:pPr>
              <w:jc w:val="center"/>
            </w:pPr>
            <w:r>
              <w:rPr>
                <w:rFonts w:ascii="Calibri" w:hAnsi="Calibri"/>
                <w:b/>
                <w:sz w:val="16"/>
              </w:rPr>
              <w:t>26.4%</w:t>
            </w:r>
          </w:p>
        </w:tc>
        <w:tc>
          <w:tcPr>
            <w:tcW w:type="dxa" w:w="1008"/>
            <w:tcMar>
              <w:top w:w="50" w:type="dxa"/>
              <w:bottom w:w="50" w:type="dxa"/>
              <w:left w:w="60" w:type="dxa"/>
              <w:right w:w="60" w:type="dxa"/>
            </w:tcMar>
          </w:tcPr>
          <w:p>
            <w:pPr>
              <w:jc w:val="center"/>
            </w:pPr>
            <w:r>
              <w:rPr>
                <w:rFonts w:ascii="Calibri" w:hAnsi="Calibri"/>
                <w:sz w:val="16"/>
              </w:rPr>
              <w:t>25.6%</w:t>
            </w:r>
          </w:p>
        </w:tc>
        <w:tc>
          <w:tcPr>
            <w:tcW w:type="dxa" w:w="1008"/>
            <w:tcMar>
              <w:top w:w="50" w:type="dxa"/>
              <w:bottom w:w="50" w:type="dxa"/>
              <w:left w:w="60" w:type="dxa"/>
              <w:right w:w="60" w:type="dxa"/>
            </w:tcMar>
          </w:tcPr>
          <w:p>
            <w:pPr>
              <w:jc w:val="center"/>
            </w:pPr>
            <w:r>
              <w:rPr>
                <w:rFonts w:ascii="Calibri" w:hAnsi="Calibri"/>
                <w:sz w:val="16"/>
              </w:rPr>
              <w:t>24.8%</w:t>
            </w:r>
          </w:p>
        </w:tc>
        <w:tc>
          <w:tcPr>
            <w:tcW w:type="dxa" w:w="2016"/>
            <w:tcMar>
              <w:top w:w="50" w:type="dxa"/>
              <w:bottom w:w="50" w:type="dxa"/>
              <w:left w:w="60" w:type="dxa"/>
              <w:right w:w="60" w:type="dxa"/>
            </w:tcMar>
          </w:tcPr>
          <w:p>
            <w:pPr>
              <w:jc w:val="left"/>
            </w:pPr>
            <w:r>
              <w:rPr>
                <w:rFonts w:ascii="Calibri" w:hAnsi="Calibri"/>
                <w:sz w:val="16"/>
              </w:rPr>
              <w:t>ESCENARIO CENTRAL: Crecimiento implícito real de mercado.</w:t>
            </w:r>
          </w:p>
        </w:tc>
      </w:tr>
      <w:tr>
        <w:tc>
          <w:tcPr>
            <w:tcW w:type="dxa" w:w="1728"/>
            <w:tcMar>
              <w:top w:w="50" w:type="dxa"/>
              <w:bottom w:w="50" w:type="dxa"/>
              <w:left w:w="60" w:type="dxa"/>
              <w:right w:w="60" w:type="dxa"/>
            </w:tcMar>
          </w:tcPr>
          <w:p>
            <w:pPr>
              <w:jc w:val="center"/>
            </w:pPr>
            <w:r>
              <w:rPr>
                <w:rFonts w:ascii="Calibri" w:hAnsi="Calibri"/>
                <w:b/>
                <w:sz w:val="16"/>
              </w:rPr>
              <w:t>9.93% (Exigente)</w:t>
            </w:r>
          </w:p>
        </w:tc>
        <w:tc>
          <w:tcPr>
            <w:tcW w:type="dxa" w:w="1008"/>
            <w:tcMar>
              <w:top w:w="50" w:type="dxa"/>
              <w:bottom w:w="50" w:type="dxa"/>
              <w:left w:w="60" w:type="dxa"/>
              <w:right w:w="60" w:type="dxa"/>
            </w:tcMar>
          </w:tcPr>
          <w:p>
            <w:pPr>
              <w:jc w:val="center"/>
            </w:pPr>
            <w:r>
              <w:rPr>
                <w:rFonts w:ascii="Calibri" w:hAnsi="Calibri"/>
                <w:sz w:val="16"/>
              </w:rPr>
              <w:t>29.7%</w:t>
            </w:r>
          </w:p>
        </w:tc>
        <w:tc>
          <w:tcPr>
            <w:tcW w:type="dxa" w:w="1008"/>
            <w:tcMar>
              <w:top w:w="50" w:type="dxa"/>
              <w:bottom w:w="50" w:type="dxa"/>
              <w:left w:w="60" w:type="dxa"/>
              <w:right w:w="60" w:type="dxa"/>
            </w:tcMar>
          </w:tcPr>
          <w:p>
            <w:pPr>
              <w:jc w:val="center"/>
            </w:pPr>
            <w:r>
              <w:rPr>
                <w:rFonts w:ascii="Calibri" w:hAnsi="Calibri"/>
                <w:sz w:val="16"/>
              </w:rPr>
              <w:t>29.1%</w:t>
            </w:r>
          </w:p>
        </w:tc>
        <w:tc>
          <w:tcPr>
            <w:tcW w:type="dxa" w:w="1008"/>
            <w:tcMar>
              <w:top w:w="50" w:type="dxa"/>
              <w:bottom w:w="50" w:type="dxa"/>
              <w:left w:w="60" w:type="dxa"/>
              <w:right w:w="60" w:type="dxa"/>
            </w:tcMar>
          </w:tcPr>
          <w:p>
            <w:pPr>
              <w:jc w:val="center"/>
            </w:pPr>
            <w:r>
              <w:rPr>
                <w:rFonts w:ascii="Calibri" w:hAnsi="Calibri"/>
                <w:sz w:val="16"/>
              </w:rPr>
              <w:t>28.4%</w:t>
            </w:r>
          </w:p>
        </w:tc>
        <w:tc>
          <w:tcPr>
            <w:tcW w:type="dxa" w:w="1008"/>
            <w:tcMar>
              <w:top w:w="50" w:type="dxa"/>
              <w:bottom w:w="50" w:type="dxa"/>
              <w:left w:w="60" w:type="dxa"/>
              <w:right w:w="60" w:type="dxa"/>
            </w:tcMar>
          </w:tcPr>
          <w:p>
            <w:pPr>
              <w:jc w:val="center"/>
            </w:pPr>
            <w:r>
              <w:rPr>
                <w:rFonts w:ascii="Calibri" w:hAnsi="Calibri"/>
                <w:b/>
                <w:sz w:val="16"/>
              </w:rPr>
              <w:t>27.7%</w:t>
            </w:r>
          </w:p>
        </w:tc>
        <w:tc>
          <w:tcPr>
            <w:tcW w:type="dxa" w:w="1008"/>
            <w:tcMar>
              <w:top w:w="50" w:type="dxa"/>
              <w:bottom w:w="50" w:type="dxa"/>
              <w:left w:w="60" w:type="dxa"/>
              <w:right w:w="60" w:type="dxa"/>
            </w:tcMar>
          </w:tcPr>
          <w:p>
            <w:pPr>
              <w:jc w:val="center"/>
            </w:pPr>
            <w:r>
              <w:rPr>
                <w:rFonts w:ascii="Calibri" w:hAnsi="Calibri"/>
                <w:sz w:val="16"/>
              </w:rPr>
              <w:t>27.0%</w:t>
            </w:r>
          </w:p>
        </w:tc>
        <w:tc>
          <w:tcPr>
            <w:tcW w:type="dxa" w:w="1008"/>
            <w:tcMar>
              <w:top w:w="50" w:type="dxa"/>
              <w:bottom w:w="50" w:type="dxa"/>
              <w:left w:w="60" w:type="dxa"/>
              <w:right w:w="60" w:type="dxa"/>
            </w:tcMar>
          </w:tcPr>
          <w:p>
            <w:pPr>
              <w:jc w:val="center"/>
            </w:pPr>
            <w:r>
              <w:rPr>
                <w:rFonts w:ascii="Calibri" w:hAnsi="Calibri"/>
                <w:sz w:val="16"/>
              </w:rPr>
              <w:t>26.2%</w:t>
            </w:r>
          </w:p>
        </w:tc>
        <w:tc>
          <w:tcPr>
            <w:tcW w:type="dxa" w:w="2016"/>
            <w:tcMar>
              <w:top w:w="50" w:type="dxa"/>
              <w:bottom w:w="50" w:type="dxa"/>
              <w:left w:w="60" w:type="dxa"/>
              <w:right w:w="60" w:type="dxa"/>
            </w:tcMar>
          </w:tcPr>
          <w:p>
            <w:pPr>
              <w:jc w:val="left"/>
            </w:pPr>
            <w:r>
              <w:rPr>
                <w:rFonts w:ascii="Calibri" w:hAnsi="Calibri"/>
                <w:sz w:val="16"/>
              </w:rPr>
              <w:t>Escenario de sensibilidad operativa.</w:t>
            </w:r>
          </w:p>
        </w:tc>
      </w:tr>
      <w:tr>
        <w:tc>
          <w:tcPr>
            <w:tcW w:type="dxa" w:w="1728"/>
            <w:tcMar>
              <w:top w:w="50" w:type="dxa"/>
              <w:bottom w:w="50" w:type="dxa"/>
              <w:left w:w="60" w:type="dxa"/>
              <w:right w:w="60" w:type="dxa"/>
            </w:tcMar>
          </w:tcPr>
          <w:p>
            <w:pPr>
              <w:jc w:val="center"/>
            </w:pPr>
            <w:r>
              <w:rPr>
                <w:rFonts w:ascii="Calibri" w:hAnsi="Calibri"/>
                <w:b/>
                <w:sz w:val="16"/>
              </w:rPr>
              <w:t>10.43% (Estrés / Tipos Altos)</w:t>
            </w:r>
          </w:p>
        </w:tc>
        <w:tc>
          <w:tcPr>
            <w:tcW w:type="dxa" w:w="1008"/>
            <w:tcMar>
              <w:top w:w="50" w:type="dxa"/>
              <w:bottom w:w="50" w:type="dxa"/>
              <w:left w:w="60" w:type="dxa"/>
              <w:right w:w="60" w:type="dxa"/>
            </w:tcMar>
          </w:tcPr>
          <w:p>
            <w:pPr>
              <w:jc w:val="center"/>
            </w:pPr>
            <w:r>
              <w:rPr>
                <w:rFonts w:ascii="Calibri" w:hAnsi="Calibri"/>
                <w:sz w:val="16"/>
              </w:rPr>
              <w:t>30.8%</w:t>
            </w:r>
          </w:p>
        </w:tc>
        <w:tc>
          <w:tcPr>
            <w:tcW w:type="dxa" w:w="1008"/>
            <w:tcMar>
              <w:top w:w="50" w:type="dxa"/>
              <w:bottom w:w="50" w:type="dxa"/>
              <w:left w:w="60" w:type="dxa"/>
              <w:right w:w="60" w:type="dxa"/>
            </w:tcMar>
          </w:tcPr>
          <w:p>
            <w:pPr>
              <w:jc w:val="center"/>
            </w:pPr>
            <w:r>
              <w:rPr>
                <w:rFonts w:ascii="Calibri" w:hAnsi="Calibri"/>
                <w:sz w:val="16"/>
              </w:rPr>
              <w:t>30.2%</w:t>
            </w:r>
          </w:p>
        </w:tc>
        <w:tc>
          <w:tcPr>
            <w:tcW w:type="dxa" w:w="1008"/>
            <w:tcMar>
              <w:top w:w="50" w:type="dxa"/>
              <w:bottom w:w="50" w:type="dxa"/>
              <w:left w:w="60" w:type="dxa"/>
              <w:right w:w="60" w:type="dxa"/>
            </w:tcMar>
          </w:tcPr>
          <w:p>
            <w:pPr>
              <w:jc w:val="center"/>
            </w:pPr>
            <w:r>
              <w:rPr>
                <w:rFonts w:ascii="Calibri" w:hAnsi="Calibri"/>
                <w:sz w:val="16"/>
              </w:rPr>
              <w:t>29.6%</w:t>
            </w:r>
          </w:p>
        </w:tc>
        <w:tc>
          <w:tcPr>
            <w:tcW w:type="dxa" w:w="1008"/>
            <w:tcMar>
              <w:top w:w="50" w:type="dxa"/>
              <w:bottom w:w="50" w:type="dxa"/>
              <w:left w:w="60" w:type="dxa"/>
              <w:right w:w="60" w:type="dxa"/>
            </w:tcMar>
          </w:tcPr>
          <w:p>
            <w:pPr>
              <w:jc w:val="center"/>
            </w:pPr>
            <w:r>
              <w:rPr>
                <w:rFonts w:ascii="Calibri" w:hAnsi="Calibri"/>
                <w:b/>
                <w:sz w:val="16"/>
              </w:rPr>
              <w:t>29.0%</w:t>
            </w:r>
          </w:p>
        </w:tc>
        <w:tc>
          <w:tcPr>
            <w:tcW w:type="dxa" w:w="1008"/>
            <w:tcMar>
              <w:top w:w="50" w:type="dxa"/>
              <w:bottom w:w="50" w:type="dxa"/>
              <w:left w:w="60" w:type="dxa"/>
              <w:right w:w="60" w:type="dxa"/>
            </w:tcMar>
          </w:tcPr>
          <w:p>
            <w:pPr>
              <w:jc w:val="center"/>
            </w:pPr>
            <w:r>
              <w:rPr>
                <w:rFonts w:ascii="Calibri" w:hAnsi="Calibri"/>
                <w:sz w:val="16"/>
              </w:rPr>
              <w:t>28.3%</w:t>
            </w:r>
          </w:p>
        </w:tc>
        <w:tc>
          <w:tcPr>
            <w:tcW w:type="dxa" w:w="1008"/>
            <w:tcMar>
              <w:top w:w="50" w:type="dxa"/>
              <w:bottom w:w="50" w:type="dxa"/>
              <w:left w:w="60" w:type="dxa"/>
              <w:right w:w="60" w:type="dxa"/>
            </w:tcMar>
          </w:tcPr>
          <w:p>
            <w:pPr>
              <w:jc w:val="center"/>
            </w:pPr>
            <w:r>
              <w:rPr>
                <w:rFonts w:ascii="Calibri" w:hAnsi="Calibri"/>
                <w:sz w:val="16"/>
              </w:rPr>
              <w:t>27.5%</w:t>
            </w:r>
          </w:p>
        </w:tc>
        <w:tc>
          <w:tcPr>
            <w:tcW w:type="dxa" w:w="2016"/>
            <w:tcMar>
              <w:top w:w="50" w:type="dxa"/>
              <w:bottom w:w="50" w:type="dxa"/>
              <w:left w:w="60" w:type="dxa"/>
              <w:right w:w="60" w:type="dxa"/>
            </w:tcMar>
          </w:tcPr>
          <w:p>
            <w:pPr>
              <w:jc w:val="left"/>
            </w:pPr>
            <w:r>
              <w:rPr>
                <w:rFonts w:ascii="Calibri" w:hAnsi="Calibri"/>
                <w:sz w:val="16"/>
              </w:rPr>
              <w:t>Vulnerabilidad a correcciones si el coste de capital aumenta.</w:t>
            </w:r>
          </w:p>
        </w:tc>
      </w:tr>
    </w:tbl>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880"/>
        <w:gridCol w:w="1872"/>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Dimensión Fundamental</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Auditado</w:t>
            </w:r>
          </w:p>
        </w:tc>
        <w:tc>
          <w:tcPr>
            <w:tcW w:type="dxa" w:w="1872"/>
            <w:shd w:fill="1B365D"/>
            <w:tcMar>
              <w:top w:w="80" w:type="dxa"/>
              <w:bottom w:w="80" w:type="dxa"/>
              <w:left w:w="80" w:type="dxa"/>
              <w:right w:w="80" w:type="dxa"/>
            </w:tcMar>
          </w:tcPr>
          <w:p>
            <w:pPr>
              <w:jc w:val="center"/>
            </w:pPr>
            <w:r>
              <w:rPr>
                <w:rFonts w:ascii="Calibri" w:hAnsi="Calibri"/>
                <w:b/>
                <w:color w:val="FFFFFF"/>
                <w:sz w:val="17"/>
              </w:rPr>
              <w:t>Calificación</w:t>
            </w:r>
          </w:p>
        </w:tc>
        <w:tc>
          <w:tcPr>
            <w:tcW w:type="dxa" w:w="2880"/>
            <w:shd w:fill="1B365D"/>
            <w:tcMar>
              <w:top w:w="80" w:type="dxa"/>
              <w:bottom w:w="80" w:type="dxa"/>
              <w:left w:w="80" w:type="dxa"/>
              <w:right w:w="80" w:type="dxa"/>
            </w:tcMar>
          </w:tcPr>
          <w:p>
            <w:pPr>
              <w:jc w:val="left"/>
            </w:pPr>
            <w:r>
              <w:rPr>
                <w:rFonts w:ascii="Calibri" w:hAnsi="Calibri"/>
                <w:b/>
                <w:color w:val="FFFFFF"/>
                <w:sz w:val="17"/>
              </w:rPr>
              <w:t>Veredicto de Asignación</w:t>
            </w:r>
          </w:p>
        </w:tc>
      </w:tr>
      <w:tr>
        <w:tc>
          <w:tcPr>
            <w:tcW w:type="dxa" w:w="2160"/>
            <w:tcMar>
              <w:top w:w="50" w:type="dxa"/>
              <w:bottom w:w="50" w:type="dxa"/>
              <w:left w:w="60" w:type="dxa"/>
              <w:right w:w="60" w:type="dxa"/>
            </w:tcMar>
          </w:tcPr>
          <w:p>
            <w:pPr>
              <w:jc w:val="left"/>
            </w:pPr>
            <w:r>
              <w:rPr>
                <w:rFonts w:ascii="Calibri" w:hAnsi="Calibri"/>
                <w:b/>
                <w:sz w:val="16"/>
              </w:rPr>
              <w:t>Ventaja Competitiva (Moat)</w:t>
            </w:r>
          </w:p>
        </w:tc>
        <w:tc>
          <w:tcPr>
            <w:tcW w:type="dxa" w:w="2880"/>
            <w:tcMar>
              <w:top w:w="50" w:type="dxa"/>
              <w:bottom w:w="50" w:type="dxa"/>
              <w:left w:w="60" w:type="dxa"/>
              <w:right w:w="60" w:type="dxa"/>
            </w:tcMar>
          </w:tcPr>
          <w:p>
            <w:pPr>
              <w:jc w:val="left"/>
            </w:pPr>
            <w:r>
              <w:rPr>
                <w:rFonts w:ascii="Calibri" w:hAnsi="Calibri"/>
                <w:sz w:val="16"/>
              </w:rPr>
              <w:t>Ventaja Estructural de Coste (Cost-to-Serve) + Coste de Fondeo Minorista (Cost of Funds)</w:t>
            </w:r>
          </w:p>
        </w:tc>
        <w:tc>
          <w:tcPr>
            <w:tcW w:type="dxa" w:w="1872"/>
            <w:tcMar>
              <w:top w:w="50" w:type="dxa"/>
              <w:bottom w:w="50" w:type="dxa"/>
              <w:left w:w="60" w:type="dxa"/>
              <w:right w:w="60" w:type="dxa"/>
            </w:tcMar>
          </w:tcPr>
          <w:p>
            <w:pPr>
              <w:jc w:val="center"/>
            </w:pPr>
            <w:r>
              <w:rPr>
                <w:rFonts w:ascii="Calibri" w:hAnsi="Calibri"/>
                <w:b/>
                <w:sz w:val="16"/>
              </w:rPr>
              <w:t>WIDE MOAT</w:t>
            </w:r>
          </w:p>
        </w:tc>
        <w:tc>
          <w:tcPr>
            <w:tcW w:type="dxa" w:w="2880"/>
            <w:tcMar>
              <w:top w:w="50" w:type="dxa"/>
              <w:bottom w:w="50" w:type="dxa"/>
              <w:left w:w="60" w:type="dxa"/>
              <w:right w:w="60" w:type="dxa"/>
            </w:tcMar>
          </w:tcPr>
          <w:p>
            <w:pPr>
              <w:jc w:val="left"/>
            </w:pPr>
            <w:r>
              <w:rPr>
                <w:rFonts w:ascii="Calibri" w:hAnsi="Calibri"/>
                <w:sz w:val="16"/>
              </w:rPr>
              <w:t>Poder de fijación de precios y resiliencia de márgenes (20.0% EBIT).</w:t>
            </w:r>
          </w:p>
        </w:tc>
      </w:tr>
      <w:tr>
        <w:tc>
          <w:tcPr>
            <w:tcW w:type="dxa" w:w="2160"/>
            <w:tcMar>
              <w:top w:w="50" w:type="dxa"/>
              <w:bottom w:w="50" w:type="dxa"/>
              <w:left w:w="60" w:type="dxa"/>
              <w:right w:w="60" w:type="dxa"/>
            </w:tcMar>
          </w:tcPr>
          <w:p>
            <w:pPr>
              <w:jc w:val="left"/>
            </w:pPr>
            <w:r>
              <w:rPr>
                <w:rFonts w:ascii="Calibri" w:hAnsi="Calibri"/>
                <w:b/>
                <w:sz w:val="16"/>
              </w:rPr>
              <w:t>Calidad de Beneficios</w:t>
            </w:r>
          </w:p>
        </w:tc>
        <w:tc>
          <w:tcPr>
            <w:tcW w:type="dxa" w:w="2880"/>
            <w:tcMar>
              <w:top w:w="50" w:type="dxa"/>
              <w:bottom w:w="50" w:type="dxa"/>
              <w:left w:w="60" w:type="dxa"/>
              <w:right w:w="60" w:type="dxa"/>
            </w:tcMar>
          </w:tcPr>
          <w:p>
            <w:pPr>
              <w:jc w:val="left"/>
            </w:pPr>
            <w:r>
              <w:rPr>
                <w:rFonts w:ascii="Calibri" w:hAnsi="Calibri"/>
                <w:sz w:val="16"/>
              </w:rPr>
              <w:t>Ratio Sloan: 2.60% / Montier: 1/6</w:t>
            </w:r>
          </w:p>
        </w:tc>
        <w:tc>
          <w:tcPr>
            <w:tcW w:type="dxa" w:w="1872"/>
            <w:tcMar>
              <w:top w:w="50" w:type="dxa"/>
              <w:bottom w:w="50" w:type="dxa"/>
              <w:left w:w="60" w:type="dxa"/>
              <w:right w:w="60" w:type="dxa"/>
            </w:tcMar>
          </w:tcPr>
          <w:p>
            <w:pPr>
              <w:jc w:val="center"/>
            </w:pPr>
            <w:r>
              <w:rPr>
                <w:rFonts w:ascii="Calibri" w:hAnsi="Calibri"/>
                <w:b/>
                <w:sz w:val="16"/>
              </w:rPr>
              <w:t>CALIDAD SÓLIDA / BAJO RIESGO</w:t>
            </w:r>
          </w:p>
        </w:tc>
        <w:tc>
          <w:tcPr>
            <w:tcW w:type="dxa" w:w="2880"/>
            <w:tcMar>
              <w:top w:w="50" w:type="dxa"/>
              <w:bottom w:w="50" w:type="dxa"/>
              <w:left w:w="60" w:type="dxa"/>
              <w:right w:w="60" w:type="dxa"/>
            </w:tcMar>
          </w:tcPr>
          <w:p>
            <w:pPr>
              <w:jc w:val="left"/>
            </w:pPr>
            <w:r>
              <w:rPr>
                <w:rFonts w:ascii="Calibri" w:hAnsi="Calibri"/>
                <w:sz w:val="16"/>
              </w:rPr>
              <w:t>Ganancias 100% avaladas por caja real ($1.23 CFO por dólar de NI).</w:t>
            </w:r>
          </w:p>
        </w:tc>
      </w:tr>
      <w:tr>
        <w:tc>
          <w:tcPr>
            <w:tcW w:type="dxa" w:w="2160"/>
            <w:tcMar>
              <w:top w:w="50" w:type="dxa"/>
              <w:bottom w:w="50" w:type="dxa"/>
              <w:left w:w="60" w:type="dxa"/>
              <w:right w:w="60" w:type="dxa"/>
            </w:tcMar>
          </w:tcPr>
          <w:p>
            <w:pPr>
              <w:jc w:val="left"/>
            </w:pPr>
            <w:r>
              <w:rPr>
                <w:rFonts w:ascii="Calibri" w:hAnsi="Calibri"/>
                <w:b/>
                <w:sz w:val="16"/>
              </w:rPr>
              <w:t>Solvencia y Estructura</w:t>
            </w:r>
          </w:p>
        </w:tc>
        <w:tc>
          <w:tcPr>
            <w:tcW w:type="dxa" w:w="2880"/>
            <w:tcMar>
              <w:top w:w="50" w:type="dxa"/>
              <w:bottom w:w="50" w:type="dxa"/>
              <w:left w:w="60" w:type="dxa"/>
              <w:right w:w="60" w:type="dxa"/>
            </w:tcMar>
          </w:tcPr>
          <w:p>
            <w:pPr>
              <w:jc w:val="left"/>
            </w:pPr>
            <w:r>
              <w:rPr>
                <w:rFonts w:ascii="Calibri" w:hAnsi="Calibri"/>
                <w:sz w:val="16"/>
              </w:rPr>
              <w:t>Cobertura EBIT: INFINITA (SIN DEUDA) / Altman Z'': 0.11</w:t>
            </w:r>
          </w:p>
        </w:tc>
        <w:tc>
          <w:tcPr>
            <w:tcW w:type="dxa" w:w="1872"/>
            <w:tcMar>
              <w:top w:w="50" w:type="dxa"/>
              <w:bottom w:w="50" w:type="dxa"/>
              <w:left w:w="60" w:type="dxa"/>
              <w:right w:w="60" w:type="dxa"/>
            </w:tcMar>
          </w:tcPr>
          <w:p>
            <w:pPr>
              <w:jc w:val="center"/>
            </w:pPr>
            <w:r>
              <w:rPr>
                <w:rFonts w:ascii="Calibri" w:hAnsi="Calibri"/>
                <w:b/>
                <w:sz w:val="16"/>
              </w:rPr>
              <w:t>SINTÉTICO AAA</w:t>
            </w:r>
          </w:p>
        </w:tc>
        <w:tc>
          <w:tcPr>
            <w:tcW w:type="dxa" w:w="2880"/>
            <w:tcMar>
              <w:top w:w="50" w:type="dxa"/>
              <w:bottom w:w="50" w:type="dxa"/>
              <w:left w:w="60" w:type="dxa"/>
              <w:right w:w="60" w:type="dxa"/>
            </w:tcMar>
          </w:tcPr>
          <w:p>
            <w:pPr>
              <w:jc w:val="left"/>
            </w:pPr>
            <w:r>
              <w:rPr>
                <w:rFonts w:ascii="Calibri" w:hAnsi="Calibri"/>
                <w:sz w:val="16"/>
              </w:rPr>
              <w:t>Cero estrés financiero; colchón de liquidez de $4.2B.</w:t>
            </w:r>
          </w:p>
        </w:tc>
      </w:tr>
      <w:tr>
        <w:tc>
          <w:tcPr>
            <w:tcW w:type="dxa" w:w="2160"/>
            <w:tcMar>
              <w:top w:w="50" w:type="dxa"/>
              <w:bottom w:w="50" w:type="dxa"/>
              <w:left w:w="60" w:type="dxa"/>
              <w:right w:w="60" w:type="dxa"/>
            </w:tcMar>
          </w:tcPr>
          <w:p>
            <w:pPr>
              <w:jc w:val="left"/>
            </w:pPr>
            <w:r>
              <w:rPr>
                <w:rFonts w:ascii="Calibri" w:hAnsi="Calibri"/>
                <w:b/>
                <w:sz w:val="16"/>
              </w:rPr>
              <w:t>Productividad del Capital</w:t>
            </w:r>
          </w:p>
        </w:tc>
        <w:tc>
          <w:tcPr>
            <w:tcW w:type="dxa" w:w="2880"/>
            <w:tcMar>
              <w:top w:w="50" w:type="dxa"/>
              <w:bottom w:w="50" w:type="dxa"/>
              <w:left w:w="60" w:type="dxa"/>
              <w:right w:w="60" w:type="dxa"/>
            </w:tcMar>
          </w:tcPr>
          <w:p>
            <w:pPr>
              <w:jc w:val="left"/>
            </w:pPr>
            <w:r>
              <w:rPr>
                <w:rFonts w:ascii="Calibri" w:hAnsi="Calibri"/>
                <w:sz w:val="16"/>
              </w:rPr>
              <w:t>ROC Greenblatt: 5906.6% / ROIC Adj: 8.9%</w:t>
            </w:r>
          </w:p>
        </w:tc>
        <w:tc>
          <w:tcPr>
            <w:tcW w:type="dxa" w:w="1872"/>
            <w:tcMar>
              <w:top w:w="50" w:type="dxa"/>
              <w:bottom w:w="50" w:type="dxa"/>
              <w:left w:w="60" w:type="dxa"/>
              <w:right w:w="60" w:type="dxa"/>
            </w:tcMar>
          </w:tcPr>
          <w:p>
            <w:pPr>
              <w:jc w:val="center"/>
            </w:pPr>
            <w:r>
              <w:rPr>
                <w:rFonts w:ascii="Calibri" w:hAnsi="Calibri"/>
                <w:b/>
                <w:sz w:val="16"/>
              </w:rPr>
              <w:t>DESTRUCTOR DE VALOR</w:t>
            </w:r>
          </w:p>
        </w:tc>
        <w:tc>
          <w:tcPr>
            <w:tcW w:type="dxa" w:w="2880"/>
            <w:tcMar>
              <w:top w:w="50" w:type="dxa"/>
              <w:bottom w:w="50" w:type="dxa"/>
              <w:left w:w="60" w:type="dxa"/>
              <w:right w:w="60" w:type="dxa"/>
            </w:tcMar>
          </w:tcPr>
          <w:p>
            <w:pPr>
              <w:jc w:val="left"/>
            </w:pPr>
            <w:r>
              <w:rPr>
                <w:rFonts w:ascii="Calibri" w:hAnsi="Calibri"/>
                <w:sz w:val="16"/>
              </w:rPr>
              <w:t>Spread económico de -0.5 pp sobre WACC (Creación de valor de élite).</w:t>
            </w:r>
          </w:p>
        </w:tc>
      </w:tr>
      <w:tr>
        <w:tc>
          <w:tcPr>
            <w:tcW w:type="dxa" w:w="2160"/>
            <w:tcMar>
              <w:top w:w="50" w:type="dxa"/>
              <w:bottom w:w="50" w:type="dxa"/>
              <w:left w:w="60" w:type="dxa"/>
              <w:right w:w="60" w:type="dxa"/>
            </w:tcMar>
          </w:tcPr>
          <w:p>
            <w:pPr>
              <w:jc w:val="left"/>
            </w:pPr>
            <w:r>
              <w:rPr>
                <w:rFonts w:ascii="Calibri" w:hAnsi="Calibri"/>
                <w:b/>
                <w:sz w:val="16"/>
              </w:rPr>
              <w:t>Valoración de Mercado</w:t>
            </w:r>
          </w:p>
        </w:tc>
        <w:tc>
          <w:tcPr>
            <w:tcW w:type="dxa" w:w="2880"/>
            <w:tcMar>
              <w:top w:w="50" w:type="dxa"/>
              <w:bottom w:w="50" w:type="dxa"/>
              <w:left w:w="60" w:type="dxa"/>
              <w:right w:w="60" w:type="dxa"/>
            </w:tcMar>
          </w:tcPr>
          <w:p>
            <w:pPr>
              <w:jc w:val="left"/>
            </w:pPr>
            <w:r>
              <w:rPr>
                <w:rFonts w:ascii="Calibri" w:hAnsi="Calibri"/>
                <w:sz w:val="16"/>
              </w:rPr>
              <w:t>Crecimiento Implícito: 26.4% - 11.6%</w:t>
            </w:r>
          </w:p>
        </w:tc>
        <w:tc>
          <w:tcPr>
            <w:tcW w:type="dxa" w:w="1872"/>
            <w:tcMar>
              <w:top w:w="50" w:type="dxa"/>
              <w:bottom w:w="50" w:type="dxa"/>
              <w:left w:w="60" w:type="dxa"/>
              <w:right w:w="60" w:type="dxa"/>
            </w:tcMar>
          </w:tcPr>
          <w:p>
            <w:pPr>
              <w:jc w:val="center"/>
            </w:pPr>
            <w:r>
              <w:rPr>
                <w:rFonts w:ascii="Calibri" w:hAnsi="Calibri"/>
                <w:b/>
                <w:sz w:val="16"/>
              </w:rPr>
              <w:t>PRICED FOR PERFECTION</w:t>
            </w:r>
          </w:p>
        </w:tc>
        <w:tc>
          <w:tcPr>
            <w:tcW w:type="dxa" w:w="2880"/>
            <w:tcMar>
              <w:top w:w="50" w:type="dxa"/>
              <w:bottom w:w="50" w:type="dxa"/>
              <w:left w:w="60" w:type="dxa"/>
              <w:right w:w="60" w:type="dxa"/>
            </w:tcMar>
          </w:tcPr>
          <w:p>
            <w:pPr>
              <w:jc w:val="left"/>
            </w:pPr>
            <w:r>
              <w:rPr>
                <w:rFonts w:ascii="Calibri" w:hAnsi="Calibri"/>
                <w:sz w:val="16"/>
              </w:rPr>
              <w:t>Requiere sostener la tracción operativa y rentabilidad en sus mercados estratégicos.</w:t>
            </w:r>
          </w:p>
        </w:tc>
      </w:tr>
    </w:tbl>
    <w:p>
      <w:pPr>
        <w:spacing w:after="160"/>
      </w:pPr>
    </w:p>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