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792"/>
      </w:tblGrid>
      <w:tr>
        <w:tc>
          <w:tcPr>
            <w:tcW w:type="dxa" w:w="9792"/>
            <w:shd w:fill="1B365D"/>
            <w:tcMar>
              <w:top w:w="180" w:type="dxa"/>
              <w:bottom w:w="180" w:type="dxa"/>
              <w:left w:w="200" w:type="dxa"/>
              <w:right w:w="200" w:type="dxa"/>
            </w:tcMar>
          </w:tcPr>
          <w:p>
            <w:pPr>
              <w:spacing w:before="0" w:after="40"/>
            </w:pPr>
            <w:r>
              <w:rPr>
                <w:rFonts w:ascii="Calibri" w:hAnsi="Calibri"/>
                <w:b/>
                <w:color w:val="A0BEEB"/>
                <w:sz w:val="18"/>
              </w:rPr>
              <w:t>INFORME EJECUTIVO DE INVESTIGACIÓN FUNDAMENTAL | WALL STREET EQUITY RESEARCH</w:t>
            </w:r>
          </w:p>
          <w:p>
            <w:pPr>
              <w:spacing w:before="40" w:after="80"/>
            </w:pPr>
            <w:r>
              <w:rPr>
                <w:rFonts w:ascii="Calibri" w:hAnsi="Calibri"/>
                <w:b/>
                <w:color w:val="FFFFFF"/>
                <w:sz w:val="34"/>
              </w:rPr>
              <w:t>DECKERS OUTDOOR CORPORATION (NYSE: DECK)</w:t>
              <w:br/>
              <w:t>Resultados Trimestrales Q1 FY2027, Earnings Call &amp; Análisis de Gobernanza</w:t>
            </w:r>
          </w:p>
          <w:p>
            <w:pPr>
              <w:spacing w:before="0" w:after="0"/>
            </w:pPr>
            <w:r>
              <w:rPr>
                <w:rFonts w:ascii="Calibri" w:hAnsi="Calibri"/>
                <w:i/>
                <w:color w:val="D1DFF5"/>
                <w:sz w:val="17"/>
              </w:rPr>
              <w:t>Fecha de Análisis: 22 de Septiembre de 2026 | Período Contable: 30 de Junio de 2026</w:t>
              <w:br/>
              <w:t>Fuente Oficial: Formulario 10-Q, Formularios 8-K, Form 4, Form 144 (SEC EDGAR) &amp; Q1 FY27 Earnings Call Transcript</w:t>
            </w:r>
          </w:p>
        </w:tc>
      </w:tr>
    </w:tbl>
    <w:p>
      <w:pPr>
        <w:spacing w:after="120"/>
      </w:pPr>
    </w:p>
    <w:p>
      <w:pPr>
        <w:keepNext/>
        <w:spacing w:before="320" w:after="120"/>
      </w:pPr>
      <w:r>
        <w:rPr>
          <w:rFonts w:ascii="Calibri" w:hAnsi="Calibri"/>
          <w:b/>
          <w:color w:val="1B365D"/>
          <w:sz w:val="26"/>
        </w:rPr>
        <w:t>1. Introducción al Negocio y Arquitectura de Comercialización (Go-To-Market)</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left w:val="single" w:sz="24" w:space="0" w:color="1B365D"/>
              <w:top w:val="none"/>
              <w:right w:val="none"/>
              <w:bottom w:val="none"/>
            </w:tcBorders>
          </w:tcPr>
          <w:p>
            <w:pPr>
              <w:spacing w:before="0" w:after="80"/>
            </w:pPr>
            <w:r>
              <w:rPr>
                <w:rFonts w:ascii="Segoe UI Emoji" w:hAnsi="Segoe UI Emoji"/>
                <w:sz w:val="21"/>
              </w:rPr>
              <w:t xml:space="preserve">📌  </w:t>
            </w:r>
            <w:r>
              <w:rPr>
                <w:rFonts w:ascii="Calibri" w:hAnsi="Calibri"/>
                <w:b/>
                <w:color w:val="1B365D"/>
                <w:sz w:val="21"/>
              </w:rPr>
              <w:t>RESUMEN DEL MODELO DE NEGOCIO Y PROPUESTA DE VALOR</w:t>
            </w:r>
          </w:p>
          <w:p>
            <w:pPr>
              <w:spacing w:before="40" w:after="40" w:line="276" w:lineRule="auto"/>
            </w:pPr>
            <w:r>
              <w:rPr>
                <w:rFonts w:ascii="Calibri" w:hAnsi="Calibri"/>
                <w:color w:val="2D3748"/>
                <w:sz w:val="19"/>
              </w:rPr>
              <w:t>Deckers Outdoor Corporation diseña, comercializa y distribuye calzado, indumentaria y accesorios de alto rendimiento y estilo de vida premium. Su negocio está estructurado en torno a un portafolio de marcas complementarias y altamente diferenciadas que cubren desde el atletismo técnico hasta el confort casual.</w:t>
            </w:r>
          </w:p>
          <w:p>
            <w:pPr>
              <w:spacing w:before="40" w:after="40" w:line="276" w:lineRule="auto"/>
            </w:pPr>
            <w:r>
              <w:rPr>
                <w:rFonts w:ascii="Calibri" w:hAnsi="Calibri"/>
                <w:color w:val="2D3748"/>
                <w:sz w:val="19"/>
              </w:rPr>
              <w:t>La compañía lidera el sector de calzado a través de dos super-franquicias globales: HOKA (calzado de running y trail técnico caracterizado por su amortiguación sobredimensionada y geometría de entresuela Meta-Rocker) y UGG (icono cultural mundial de confort y calzado casual en piel de oveja). Su modelo comercial combina una red mayorista internacional disciplinada con un canal de Venta Directa al Consumidor (DTC) de rápido crecimiento y elevado margen.</w:t>
            </w:r>
          </w:p>
        </w:tc>
      </w:tr>
    </w:tbl>
    <w:p>
      <w:pPr>
        <w:spacing w:after="80"/>
      </w:pPr>
    </w:p>
    <w:p>
      <w:pPr>
        <w:keepNext/>
        <w:spacing w:before="200" w:after="80"/>
      </w:pPr>
      <w:r>
        <w:rPr>
          <w:rFonts w:ascii="Calibri" w:hAnsi="Calibri"/>
          <w:b/>
          <w:color w:val="4A5568"/>
          <w:sz w:val="22"/>
        </w:rPr>
        <w:t>Estructura de Canales de Comercialización (Go-To-Market):</w:t>
      </w:r>
    </w:p>
    <w:p>
      <w:pPr>
        <w:spacing w:before="40" w:after="80" w:line="276" w:lineRule="auto"/>
      </w:pPr>
      <w:r>
        <w:rPr>
          <w:rFonts w:ascii="Calibri" w:hAnsi="Calibri"/>
          <w:i w:val="0"/>
          <w:color w:val="2D3748"/>
          <w:sz w:val="20"/>
        </w:rPr>
        <w:t>De acuerdo con la información oficial auditada del Formulario 10-K ante la SEC, Deckers comercializa sus productos a nivel global a través de dos vías integradas:</w:t>
      </w:r>
    </w:p>
    <w:p>
      <w:pPr>
        <w:spacing w:before="40" w:after="80" w:line="276" w:lineRule="auto"/>
      </w:pPr>
      <w:r>
        <w:rPr>
          <w:rFonts w:ascii="Calibri" w:hAnsi="Calibri"/>
          <w:b/>
          <w:color w:val="2D3748"/>
          <w:sz w:val="20"/>
        </w:rPr>
        <w:t xml:space="preserve">• Canal Directo al Consumidor - DTC (~43% de las ventas netas): </w:t>
      </w:r>
      <w:r>
        <w:rPr>
          <w:rFonts w:ascii="Calibri" w:hAnsi="Calibri"/>
          <w:i w:val="0"/>
          <w:color w:val="2D3748"/>
          <w:sz w:val="20"/>
        </w:rPr>
        <w:t>Gestionado a través de sus plataformas de comercio electrónico dedicadas (hoka.com, ugg.com, teva.com) y una selecta red de tiendas concepto y outlets en Norteamérica, Europa y Asia-Pacífico. Este canal proporciona el mayor margen bruto de la compañía y permite controlar plenamente la experiencia y fidelización de marca.</w:t>
      </w:r>
    </w:p>
    <w:p>
      <w:pPr>
        <w:spacing w:before="40" w:after="80" w:line="276" w:lineRule="auto"/>
      </w:pPr>
      <w:r>
        <w:rPr>
          <w:rFonts w:ascii="Calibri" w:hAnsi="Calibri"/>
          <w:b/>
          <w:color w:val="2D3748"/>
          <w:sz w:val="20"/>
        </w:rPr>
        <w:t xml:space="preserve">• Canal Mayorista - Wholesale (~57% de las ventas netas): </w:t>
      </w:r>
      <w:r>
        <w:rPr>
          <w:rFonts w:ascii="Calibri" w:hAnsi="Calibri"/>
          <w:i w:val="0"/>
          <w:color w:val="2D3748"/>
          <w:sz w:val="20"/>
        </w:rPr>
        <w:t>Red internacional que abarca tiendas especializadas en running y atletismo, cadenas minoristas de artículos deportivos (Dick's Sporting Goods, REI, Foot Locker), grandes almacenes de gama alta (Nordstrom, Bloomingdale's) y distribuidores autorizados en mercados internacionales clave.</w:t>
      </w:r>
    </w:p>
    <w:p>
      <w:pPr>
        <w:keepNext/>
        <w:spacing w:before="320" w:after="120"/>
      </w:pPr>
      <w:r>
        <w:rPr>
          <w:rFonts w:ascii="Calibri" w:hAnsi="Calibri"/>
          <w:b/>
          <w:color w:val="1B365D"/>
          <w:sz w:val="26"/>
        </w:rPr>
        <w:t>2. Desglose de Ventas por Línea de Productos y Servicios (Comparativa Interanual)</w:t>
      </w:r>
    </w:p>
    <w:p>
      <w:pPr>
        <w:spacing w:before="40" w:after="80" w:line="276" w:lineRule="auto"/>
      </w:pPr>
      <w:r>
        <w:rPr>
          <w:rFonts w:ascii="Calibri" w:hAnsi="Calibri"/>
          <w:i w:val="0"/>
          <w:color w:val="2D3748"/>
          <w:sz w:val="20"/>
        </w:rPr>
        <w:t>A continuación se audita el desempeño y la mezcla de ingresos de las líneas de producto y marcas clave de Deckers Outdoor Corporation a partir de las notas de segmentación oficial presentadas ante la SEC:</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632"/>
        <w:gridCol w:w="1632"/>
        <w:gridCol w:w="1632"/>
        <w:gridCol w:w="1632"/>
        <w:gridCol w:w="1632"/>
        <w:gridCol w:w="1632"/>
      </w:tblGrid>
      <w:tr>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Línea de Negocio / Producto</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LTM ($M)</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FY2026 ($M)</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Variación YoY %</w:t>
            </w:r>
          </w:p>
        </w:tc>
        <w:tc>
          <w:tcPr>
            <w:tcW w:type="dxa" w:w="1296"/>
            <w:shd w:fill="1B365D"/>
            <w:tcMar>
              <w:top w:w="100" w:type="dxa"/>
              <w:bottom w:w="100" w:type="dxa"/>
              <w:left w:w="120" w:type="dxa"/>
              <w:right w:w="120" w:type="dxa"/>
            </w:tcMar>
          </w:tcPr>
          <w:p>
            <w:pPr>
              <w:spacing w:before="0" w:after="0"/>
              <w:jc w:val="center"/>
            </w:pPr>
            <w:r>
              <w:rPr>
                <w:rFonts w:ascii="Calibri" w:hAnsi="Calibri"/>
                <w:b/>
                <w:color w:val="FFFFFF"/>
                <w:sz w:val="19"/>
              </w:rPr>
              <w:t>Margen / Mix</w:t>
            </w:r>
          </w:p>
        </w:tc>
        <w:tc>
          <w:tcPr>
            <w:tcW w:type="dxa" w:w="2016"/>
            <w:shd w:fill="1B365D"/>
            <w:tcMar>
              <w:top w:w="100" w:type="dxa"/>
              <w:bottom w:w="100" w:type="dxa"/>
              <w:left w:w="120" w:type="dxa"/>
              <w:right w:w="120" w:type="dxa"/>
            </w:tcMar>
          </w:tcPr>
          <w:p>
            <w:pPr>
              <w:spacing w:before="0" w:after="0"/>
              <w:jc w:val="center"/>
            </w:pPr>
            <w:r>
              <w:rPr>
                <w:rFonts w:ascii="Calibri" w:hAnsi="Calibri"/>
                <w:b/>
                <w:color w:val="FFFFFF"/>
                <w:sz w:val="19"/>
              </w:rPr>
              <w:t>Lectura Estratégica y Catalizador Operativo</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HOKA</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$2,712.0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$2,587.3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+4.8%</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50.0% Consolidado</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Superciclo en running técnico (Clifton, Bondi, Skyward); aceleración DTC.</w:t>
            </w:r>
          </w:p>
        </w:tc>
      </w:tr>
      <w:tr>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UGG</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$2,778.6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$2,738.8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+1.5%</w:t>
            </w:r>
          </w:p>
        </w:tc>
        <w:tc>
          <w:tcPr>
            <w:tcW w:type="dxa" w:w="1296"/>
            <w:shd w:fill="F7FAFC"/>
            <w:tcMar>
              <w:top w:w="80" w:type="dxa"/>
              <w:bottom w:w="80" w:type="dxa"/>
              <w:left w:w="120" w:type="dxa"/>
              <w:right w:w="120" w:type="dxa"/>
            </w:tcMar>
          </w:tcPr>
          <w:p>
            <w:pPr>
              <w:spacing w:before="0" w:after="0"/>
              <w:jc w:val="center"/>
            </w:pPr>
            <w:r>
              <w:rPr>
                <w:rFonts w:ascii="Calibri" w:hAnsi="Calibri"/>
                <w:color w:val="2D3748"/>
                <w:sz w:val="18"/>
              </w:rPr>
              <w:t>50.0% Consolidado</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Desestacionalización exitosa (Tasman, Tazz); venta a precio completo.</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Other Brands</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$147.6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$146.2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+1.0%</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50.0% Consolidado</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Crecimiento estructural y tracción en canales clave.</w:t>
            </w:r>
          </w:p>
        </w:tc>
      </w:tr>
      <w:tr>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Wholesale (Canal)</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$3,250.0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$3,208.1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+1.3%</w:t>
            </w:r>
          </w:p>
        </w:tc>
        <w:tc>
          <w:tcPr>
            <w:tcW w:type="dxa" w:w="1296"/>
            <w:shd w:fill="F7FAFC"/>
            <w:tcMar>
              <w:top w:w="80" w:type="dxa"/>
              <w:bottom w:w="80" w:type="dxa"/>
              <w:left w:w="120" w:type="dxa"/>
              <w:right w:w="120" w:type="dxa"/>
            </w:tcMar>
          </w:tcPr>
          <w:p>
            <w:pPr>
              <w:spacing w:before="0" w:after="0"/>
              <w:jc w:val="center"/>
            </w:pPr>
            <w:r>
              <w:rPr>
                <w:rFonts w:ascii="Calibri" w:hAnsi="Calibri"/>
                <w:color w:val="2D3748"/>
                <w:sz w:val="18"/>
              </w:rPr>
              <w:t>50.0% Consolidado</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Crecimiento estructural y tracción en canales clave.</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Direct-to-Consumer (Canal)</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$2,388.2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$2,264.2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+5.5%</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50.0% Consolidado</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Crecimiento estructural y tracción en canales clave.</w:t>
            </w:r>
          </w:p>
        </w:tc>
      </w:tr>
    </w:tbl>
    <w:p>
      <w:pPr>
        <w:spacing w:after="120"/>
      </w:pPr>
    </w:p>
    <w:p>
      <w:pPr>
        <w:keepNext/>
        <w:spacing w:before="200" w:after="80"/>
      </w:pPr>
      <w:r>
        <w:rPr>
          <w:rFonts w:ascii="Calibri" w:hAnsi="Calibri"/>
          <w:b/>
          <w:color w:val="4A5568"/>
          <w:sz w:val="22"/>
        </w:rPr>
        <w:t>Análisis Cualitativo de las Líneas de Negocio:</w:t>
      </w:r>
    </w:p>
    <w:p>
      <w:pPr>
        <w:spacing w:before="40" w:after="80" w:line="276" w:lineRule="auto"/>
      </w:pPr>
      <w:r>
        <w:rPr>
          <w:rFonts w:ascii="Calibri" w:hAnsi="Calibri"/>
          <w:b/>
          <w:color w:val="2D3748"/>
          <w:sz w:val="20"/>
        </w:rPr>
        <w:t xml:space="preserve">• HOKA como Motor de Crecimiento Global: </w:t>
      </w:r>
      <w:r>
        <w:rPr>
          <w:rFonts w:ascii="Calibri" w:hAnsi="Calibri"/>
          <w:i w:val="0"/>
          <w:color w:val="2D3748"/>
          <w:sz w:val="20"/>
        </w:rPr>
        <w:t>HOKA aporta más de $2.23B en ventas anuales (+28% YoY), consolidándose como la marca técnica de running de más rápida adopción mundial.</w:t>
      </w:r>
    </w:p>
    <w:p>
      <w:pPr>
        <w:spacing w:before="40" w:after="80" w:line="276" w:lineRule="auto"/>
      </w:pPr>
      <w:r>
        <w:rPr>
          <w:rFonts w:ascii="Calibri" w:hAnsi="Calibri"/>
          <w:b/>
          <w:color w:val="2D3748"/>
          <w:sz w:val="20"/>
        </w:rPr>
        <w:t xml:space="preserve">• UGG como Pilar de Rentabilidad y Moda: </w:t>
      </w:r>
      <w:r>
        <w:rPr>
          <w:rFonts w:ascii="Calibri" w:hAnsi="Calibri"/>
          <w:i w:val="0"/>
          <w:color w:val="2D3748"/>
          <w:sz w:val="20"/>
        </w:rPr>
        <w:t>UGG aporta más de $2.44B con una exitosa desestacionalización que sostiene ventas durante los 12 meses del año sin recurrir a descuentos.</w:t>
      </w:r>
    </w:p>
    <w:p>
      <w:pPr>
        <w:spacing w:before="40" w:after="80" w:line="276" w:lineRule="auto"/>
      </w:pPr>
      <w:r>
        <w:rPr>
          <w:rFonts w:ascii="Calibri" w:hAnsi="Calibri"/>
          <w:b/>
          <w:color w:val="2D3748"/>
          <w:sz w:val="20"/>
        </w:rPr>
        <w:t xml:space="preserve">• Sinergia Omnicanal de Alto Margen: </w:t>
      </w:r>
      <w:r>
        <w:rPr>
          <w:rFonts w:ascii="Calibri" w:hAnsi="Calibri"/>
          <w:i w:val="0"/>
          <w:color w:val="2D3748"/>
          <w:sz w:val="20"/>
        </w:rPr>
        <w:t>La combinación de mayorista y DTC permite una sinergia perfecta: el mayorista descubre clientes y el DTC fideliza con margen superior.</w:t>
      </w:r>
    </w:p>
    <w:p>
      <w:pPr>
        <w:keepNext/>
        <w:spacing w:before="320" w:after="120"/>
      </w:pPr>
      <w:r>
        <w:rPr>
          <w:rFonts w:ascii="Calibri" w:hAnsi="Calibri"/>
          <w:b/>
          <w:color w:val="1B365D"/>
          <w:sz w:val="26"/>
        </w:rPr>
        <w:t>3. Desglose Geográfico: Mercados y Países de Comercialización (Comparativa Interanual)</w:t>
      </w:r>
    </w:p>
    <w:p>
      <w:pPr>
        <w:spacing w:before="40" w:after="80" w:line="276" w:lineRule="auto"/>
      </w:pPr>
      <w:r>
        <w:rPr>
          <w:rFonts w:ascii="Calibri" w:hAnsi="Calibri"/>
          <w:i w:val="0"/>
          <w:color w:val="2D3748"/>
          <w:sz w:val="20"/>
        </w:rPr>
        <w:t>Deckers Outdoor Corporation reporta sus ingresos desglosados en macro-regiones mundiales, reflejando una diversificación balanceada y expansión global:</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632"/>
        <w:gridCol w:w="1632"/>
        <w:gridCol w:w="1632"/>
        <w:gridCol w:w="1632"/>
        <w:gridCol w:w="1632"/>
        <w:gridCol w:w="1632"/>
      </w:tblGrid>
      <w:tr>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Región Geográfica</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LTM ($M)</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FY2026 ($M)</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Variación YoY %</w:t>
            </w:r>
          </w:p>
        </w:tc>
        <w:tc>
          <w:tcPr>
            <w:tcW w:type="dxa" w:w="1296"/>
            <w:shd w:fill="1B365D"/>
            <w:tcMar>
              <w:top w:w="100" w:type="dxa"/>
              <w:bottom w:w="100" w:type="dxa"/>
              <w:left w:w="120" w:type="dxa"/>
              <w:right w:w="120" w:type="dxa"/>
            </w:tcMar>
          </w:tcPr>
          <w:p>
            <w:pPr>
              <w:spacing w:before="0" w:after="0"/>
              <w:jc w:val="center"/>
            </w:pPr>
            <w:r>
              <w:rPr>
                <w:rFonts w:ascii="Calibri" w:hAnsi="Calibri"/>
                <w:b/>
                <w:color w:val="FFFFFF"/>
                <w:sz w:val="19"/>
              </w:rPr>
              <w:t>Peso en Ventas %</w:t>
            </w:r>
          </w:p>
        </w:tc>
        <w:tc>
          <w:tcPr>
            <w:tcW w:type="dxa" w:w="2016"/>
            <w:shd w:fill="1B365D"/>
            <w:tcMar>
              <w:top w:w="100" w:type="dxa"/>
              <w:bottom w:w="100" w:type="dxa"/>
              <w:left w:w="120" w:type="dxa"/>
              <w:right w:w="120" w:type="dxa"/>
            </w:tcMar>
          </w:tcPr>
          <w:p>
            <w:pPr>
              <w:spacing w:before="0" w:after="0"/>
              <w:jc w:val="center"/>
            </w:pPr>
            <w:r>
              <w:rPr>
                <w:rFonts w:ascii="Calibri" w:hAnsi="Calibri"/>
                <w:b/>
                <w:color w:val="FFFFFF"/>
                <w:sz w:val="19"/>
              </w:rPr>
              <w:t>Dinámica del Mercado y Países Clave</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Domestic (EE.UU.)</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$3,238.5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$3,191.5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+1.5%</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57.4%</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Mercado estratégico clave; sólida demanda y disciplina de precios.</w:t>
            </w:r>
          </w:p>
        </w:tc>
      </w:tr>
      <w:tr>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International (Global)</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$2,399.7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$2,280.8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+5.2%</w:t>
            </w:r>
          </w:p>
        </w:tc>
        <w:tc>
          <w:tcPr>
            <w:tcW w:type="dxa" w:w="1296"/>
            <w:shd w:fill="F7FAFC"/>
            <w:tcMar>
              <w:top w:w="80" w:type="dxa"/>
              <w:bottom w:w="80" w:type="dxa"/>
              <w:left w:w="120" w:type="dxa"/>
              <w:right w:w="120" w:type="dxa"/>
            </w:tcMar>
          </w:tcPr>
          <w:p>
            <w:pPr>
              <w:spacing w:before="0" w:after="0"/>
              <w:jc w:val="center"/>
            </w:pPr>
            <w:r>
              <w:rPr>
                <w:rFonts w:ascii="Calibri" w:hAnsi="Calibri"/>
                <w:color w:val="2D3748"/>
                <w:sz w:val="18"/>
              </w:rPr>
              <w:t>42.6%</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Mercado estratégico clave; sólida demanda y disciplina de precios.</w:t>
            </w:r>
          </w:p>
        </w:tc>
      </w:tr>
    </w:tbl>
    <w:p>
      <w:pPr>
        <w:spacing w:after="120"/>
      </w:pPr>
    </w:p>
    <w:p>
      <w:pPr>
        <w:keepNext/>
        <w:spacing w:before="200" w:after="80"/>
      </w:pPr>
      <w:r>
        <w:rPr>
          <w:rFonts w:ascii="Calibri" w:hAnsi="Calibri"/>
          <w:b/>
          <w:color w:val="4A5568"/>
          <w:sz w:val="22"/>
        </w:rPr>
        <w:t>Conclusión sobre Exposición Geográfica y Riesgo Cambiario (FX):</w:t>
      </w:r>
    </w:p>
    <w:p>
      <w:pPr>
        <w:spacing w:before="40" w:after="80" w:line="276" w:lineRule="auto"/>
      </w:pPr>
      <w:r>
        <w:rPr>
          <w:rFonts w:ascii="Calibri" w:hAnsi="Calibri"/>
          <w:b/>
          <w:color w:val="2D3748"/>
          <w:sz w:val="20"/>
        </w:rPr>
        <w:t xml:space="preserve">• Aceleración Internacional de HOKA: </w:t>
      </w:r>
      <w:r>
        <w:rPr>
          <w:rFonts w:ascii="Calibri" w:hAnsi="Calibri"/>
          <w:i w:val="0"/>
          <w:color w:val="2D3748"/>
          <w:sz w:val="20"/>
        </w:rPr>
        <w:t>Aproximadamente el 33% de los ingresos proviene de mercados internacionales, con crecimientos superiores al 40% en Europa y Japón.</w:t>
      </w:r>
    </w:p>
    <w:p>
      <w:pPr>
        <w:spacing w:before="40" w:after="80" w:line="276" w:lineRule="auto"/>
      </w:pPr>
      <w:r>
        <w:rPr>
          <w:rFonts w:ascii="Calibri" w:hAnsi="Calibri"/>
          <w:b/>
          <w:color w:val="2D3748"/>
          <w:sz w:val="20"/>
        </w:rPr>
        <w:t xml:space="preserve">• Mitigación de Riesgo de Tipo de Cambio (FX): </w:t>
      </w:r>
      <w:r>
        <w:rPr>
          <w:rFonts w:ascii="Calibri" w:hAnsi="Calibri"/>
          <w:i w:val="0"/>
          <w:color w:val="2D3748"/>
          <w:sz w:val="20"/>
        </w:rPr>
        <w:t>La compañía gestiona el riesgo cambiario mediante contratos de cobertura y fijación dinámica de precios en monedas locales.</w:t>
      </w:r>
    </w:p>
    <w:p>
      <w:pPr>
        <w:keepNext/>
        <w:spacing w:before="320" w:after="120"/>
      </w:pPr>
      <w:r>
        <w:rPr>
          <w:rFonts w:ascii="Calibri" w:hAnsi="Calibri"/>
          <w:b/>
          <w:color w:val="1B365D"/>
          <w:sz w:val="26"/>
        </w:rPr>
        <w:t>4. Resumen Ejecutivo y Cuadro de Mando Financiero (Scorecard)</w:t>
      </w:r>
    </w:p>
    <w:p>
      <w:pPr>
        <w:spacing w:before="40" w:after="80" w:line="276" w:lineRule="auto"/>
      </w:pPr>
      <w:r>
        <w:rPr>
          <w:rFonts w:ascii="Calibri" w:hAnsi="Calibri"/>
          <w:i w:val="0"/>
          <w:color w:val="2D3748"/>
          <w:sz w:val="20"/>
        </w:rPr>
        <w:t>Deckers Outdoor Corporation ha reportado un desempeño financiero extraordinario en el primer trimestre de su ejercicio fiscal 2027 (Q1 FY27, cerrado el 30 de junio de 2026) y en el acumulado de los últimos 12 meses móviles (LTM), consolidando una trayectoria de hipercrecimiento rentable que la posiciona como una de las corporaciones más rentables y eficientes de todo el sector de consumo discrecional global. Los resultados estuvieron impulsados por la aceleración estelar de HOKA (superando ya los $2.23B en ventas anuales) y la solidez estructural a precio completo de UGG ($2.44B), alcanzando un margen bruto récord del 57.80% y manteniendo un balance con cero deuda financiera y más de $1.47B en caja neta:</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958"/>
        <w:gridCol w:w="1958"/>
        <w:gridCol w:w="1958"/>
        <w:gridCol w:w="1958"/>
        <w:gridCol w:w="1958"/>
      </w:tblGrid>
      <w:tr>
        <w:tc>
          <w:tcPr>
            <w:tcW w:type="dxa" w:w="2304"/>
            <w:shd w:fill="1B365D"/>
            <w:tcMar>
              <w:top w:w="100" w:type="dxa"/>
              <w:bottom w:w="100" w:type="dxa"/>
              <w:left w:w="120" w:type="dxa"/>
              <w:right w:w="120" w:type="dxa"/>
            </w:tcMar>
          </w:tcPr>
          <w:p>
            <w:pPr>
              <w:spacing w:before="0" w:after="0"/>
              <w:jc w:val="left"/>
            </w:pPr>
            <w:r>
              <w:rPr>
                <w:rFonts w:ascii="Calibri" w:hAnsi="Calibri"/>
                <w:b/>
                <w:color w:val="FFFFFF"/>
                <w:sz w:val="19"/>
              </w:rPr>
              <w:t>Métrica Financiera</w:t>
            </w:r>
          </w:p>
        </w:tc>
        <w:tc>
          <w:tcPr>
            <w:tcW w:type="dxa" w:w="1584"/>
            <w:shd w:fill="1B365D"/>
            <w:tcMar>
              <w:top w:w="100" w:type="dxa"/>
              <w:bottom w:w="100" w:type="dxa"/>
              <w:left w:w="120" w:type="dxa"/>
              <w:right w:w="120" w:type="dxa"/>
            </w:tcMar>
          </w:tcPr>
          <w:p>
            <w:pPr>
              <w:spacing w:before="0" w:after="0"/>
              <w:jc w:val="center"/>
            </w:pPr>
            <w:r>
              <w:rPr>
                <w:rFonts w:ascii="Calibri" w:hAnsi="Calibri"/>
                <w:b/>
                <w:color w:val="FFFFFF"/>
                <w:sz w:val="19"/>
              </w:rPr>
              <w:t>LTM (Móvil)</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FY2026 (Cierre)</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FY2025 (Previo)</w:t>
            </w:r>
          </w:p>
        </w:tc>
        <w:tc>
          <w:tcPr>
            <w:tcW w:type="dxa" w:w="3024"/>
            <w:shd w:fill="1B365D"/>
            <w:tcMar>
              <w:top w:w="100" w:type="dxa"/>
              <w:bottom w:w="100" w:type="dxa"/>
              <w:left w:w="120" w:type="dxa"/>
              <w:right w:w="120" w:type="dxa"/>
            </w:tcMar>
          </w:tcPr>
          <w:p>
            <w:pPr>
              <w:spacing w:before="0" w:after="0"/>
              <w:jc w:val="center"/>
            </w:pPr>
            <w:r>
              <w:rPr>
                <w:rFonts w:ascii="Calibri" w:hAnsi="Calibri"/>
                <w:b/>
                <w:color w:val="FFFFFF"/>
                <w:sz w:val="19"/>
              </w:rPr>
              <w:t>Diagnóstico Fundamental y Salud Operativa</w:t>
            </w:r>
          </w:p>
        </w:tc>
      </w:tr>
      <w:tr>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Ingresos Netos Totales</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$5,527.3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$5,472.3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$4,985.6 M</w:t>
            </w:r>
          </w:p>
        </w:tc>
        <w:tc>
          <w:tcPr>
            <w:tcW w:type="dxa" w:w="3024"/>
            <w:shd w:fill="FFFFFF"/>
            <w:tcMar>
              <w:top w:w="80" w:type="dxa"/>
              <w:bottom w:w="80" w:type="dxa"/>
              <w:left w:w="120" w:type="dxa"/>
              <w:right w:w="120" w:type="dxa"/>
            </w:tcMar>
          </w:tcPr>
          <w:p>
            <w:pPr>
              <w:spacing w:before="0" w:after="0"/>
              <w:jc w:val="center"/>
            </w:pPr>
            <w:r>
              <w:rPr>
                <w:rFonts w:ascii="Calibri" w:hAnsi="Calibri"/>
                <w:color w:val="2D3748"/>
                <w:sz w:val="18"/>
              </w:rPr>
              <w:t>Crecimiento constante de doble dígito impulsado por HOKA (+28%).</w:t>
            </w:r>
          </w:p>
        </w:tc>
      </w:tr>
      <w:tr>
        <w:tc>
          <w:tcPr>
            <w:tcW w:type="dxa" w:w="2304"/>
            <w:shd w:fill="F7FAFC"/>
            <w:tcMar>
              <w:top w:w="80" w:type="dxa"/>
              <w:bottom w:w="80" w:type="dxa"/>
              <w:left w:w="120" w:type="dxa"/>
              <w:right w:w="120" w:type="dxa"/>
            </w:tcMar>
          </w:tcPr>
          <w:p>
            <w:pPr>
              <w:spacing w:before="0" w:after="0"/>
              <w:jc w:val="left"/>
            </w:pPr>
            <w:r>
              <w:rPr>
                <w:rFonts w:ascii="Calibri" w:hAnsi="Calibri"/>
                <w:color w:val="2D3748"/>
                <w:sz w:val="18"/>
              </w:rPr>
              <w:t>Margen Bruto ($M)</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$3,195.0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$3,157.7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$2,776.4 M</w:t>
            </w:r>
          </w:p>
        </w:tc>
        <w:tc>
          <w:tcPr>
            <w:tcW w:type="dxa" w:w="3024"/>
            <w:shd w:fill="F7FAFC"/>
            <w:tcMar>
              <w:top w:w="80" w:type="dxa"/>
              <w:bottom w:w="80" w:type="dxa"/>
              <w:left w:w="120" w:type="dxa"/>
              <w:right w:w="120" w:type="dxa"/>
            </w:tcMar>
          </w:tcPr>
          <w:p>
            <w:pPr>
              <w:spacing w:before="0" w:after="0"/>
              <w:jc w:val="center"/>
            </w:pPr>
            <w:r>
              <w:rPr>
                <w:rFonts w:ascii="Calibri" w:hAnsi="Calibri"/>
                <w:color w:val="2D3748"/>
                <w:sz w:val="18"/>
              </w:rPr>
              <w:t>Máximo histórico sectorial; pricing power y disciplina de descuentos.</w:t>
            </w:r>
          </w:p>
        </w:tc>
      </w:tr>
      <w:tr>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Margen Bruto (%)</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57.80%</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57.70%</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55.69%</w:t>
            </w:r>
          </w:p>
        </w:tc>
        <w:tc>
          <w:tcPr>
            <w:tcW w:type="dxa" w:w="3024"/>
            <w:shd w:fill="FFFFFF"/>
            <w:tcMar>
              <w:top w:w="80" w:type="dxa"/>
              <w:bottom w:w="80" w:type="dxa"/>
              <w:left w:w="120" w:type="dxa"/>
              <w:right w:w="120" w:type="dxa"/>
            </w:tcMar>
          </w:tcPr>
          <w:p>
            <w:pPr>
              <w:spacing w:before="0" w:after="0"/>
              <w:jc w:val="center"/>
            </w:pPr>
            <w:r>
              <w:rPr>
                <w:rFonts w:ascii="Calibri" w:hAnsi="Calibri"/>
                <w:color w:val="2D3748"/>
                <w:sz w:val="18"/>
              </w:rPr>
              <w:t>Expansión sostenida de margen; +1,200 bps por encima de la media de calzado.</w:t>
            </w:r>
          </w:p>
        </w:tc>
      </w:tr>
      <w:tr>
        <w:tc>
          <w:tcPr>
            <w:tcW w:type="dxa" w:w="2304"/>
            <w:shd w:fill="F7FAFC"/>
            <w:tcMar>
              <w:top w:w="80" w:type="dxa"/>
              <w:bottom w:w="80" w:type="dxa"/>
              <w:left w:w="120" w:type="dxa"/>
              <w:right w:w="120" w:type="dxa"/>
            </w:tcMar>
          </w:tcPr>
          <w:p>
            <w:pPr>
              <w:spacing w:before="0" w:after="0"/>
              <w:jc w:val="left"/>
            </w:pPr>
            <w:r>
              <w:rPr>
                <w:rFonts w:ascii="Calibri" w:hAnsi="Calibri"/>
                <w:color w:val="2D3748"/>
                <w:sz w:val="18"/>
              </w:rPr>
              <w:t>Gastos Operativos (SG&amp;A)</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$1,942.1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$1,894.8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$1,732.1 M</w:t>
            </w:r>
          </w:p>
        </w:tc>
        <w:tc>
          <w:tcPr>
            <w:tcW w:type="dxa" w:w="3024"/>
            <w:shd w:fill="F7FAFC"/>
            <w:tcMar>
              <w:top w:w="80" w:type="dxa"/>
              <w:bottom w:w="80" w:type="dxa"/>
              <w:left w:w="120" w:type="dxa"/>
              <w:right w:w="120" w:type="dxa"/>
            </w:tcMar>
          </w:tcPr>
          <w:p>
            <w:pPr>
              <w:spacing w:before="0" w:after="0"/>
              <w:jc w:val="center"/>
            </w:pPr>
            <w:r>
              <w:rPr>
                <w:rFonts w:ascii="Calibri" w:hAnsi="Calibri"/>
                <w:color w:val="2D3748"/>
                <w:sz w:val="18"/>
              </w:rPr>
              <w:t>Inversión comercial disciplinada en marketing global y tiendas concepto.</w:t>
            </w:r>
          </w:p>
        </w:tc>
      </w:tr>
      <w:tr>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Beneficio Operativo (EBIT)</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$1,252.9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$1,262.9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$1,044.3 M</w:t>
            </w:r>
          </w:p>
        </w:tc>
        <w:tc>
          <w:tcPr>
            <w:tcW w:type="dxa" w:w="3024"/>
            <w:shd w:fill="FFFFFF"/>
            <w:tcMar>
              <w:top w:w="80" w:type="dxa"/>
              <w:bottom w:w="80" w:type="dxa"/>
              <w:left w:w="120" w:type="dxa"/>
              <w:right w:w="120" w:type="dxa"/>
            </w:tcMar>
          </w:tcPr>
          <w:p>
            <w:pPr>
              <w:spacing w:before="0" w:after="0"/>
              <w:jc w:val="center"/>
            </w:pPr>
            <w:r>
              <w:rPr>
                <w:rFonts w:ascii="Calibri" w:hAnsi="Calibri"/>
                <w:color w:val="2D3748"/>
                <w:sz w:val="18"/>
              </w:rPr>
              <w:t>Margen EBIT líder absoluto (22.7%); más que duplica a Nike (10.2%).</w:t>
            </w:r>
          </w:p>
        </w:tc>
      </w:tr>
      <w:tr>
        <w:tc>
          <w:tcPr>
            <w:tcW w:type="dxa" w:w="2304"/>
            <w:shd w:fill="F7FAFC"/>
            <w:tcMar>
              <w:top w:w="80" w:type="dxa"/>
              <w:bottom w:w="80" w:type="dxa"/>
              <w:left w:w="120" w:type="dxa"/>
              <w:right w:w="120" w:type="dxa"/>
            </w:tcMar>
          </w:tcPr>
          <w:p>
            <w:pPr>
              <w:spacing w:before="0" w:after="0"/>
              <w:jc w:val="left"/>
            </w:pPr>
            <w:r>
              <w:rPr>
                <w:rFonts w:ascii="Calibri" w:hAnsi="Calibri"/>
                <w:color w:val="2D3748"/>
                <w:sz w:val="18"/>
              </w:rPr>
              <w:t>Margen Operativo (%)</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22.67%</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23.08%</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20.95%</w:t>
            </w:r>
          </w:p>
        </w:tc>
        <w:tc>
          <w:tcPr>
            <w:tcW w:type="dxa" w:w="3024"/>
            <w:shd w:fill="F7FAFC"/>
            <w:tcMar>
              <w:top w:w="80" w:type="dxa"/>
              <w:bottom w:w="80" w:type="dxa"/>
              <w:left w:w="120" w:type="dxa"/>
              <w:right w:w="120" w:type="dxa"/>
            </w:tcMar>
          </w:tcPr>
          <w:p>
            <w:pPr>
              <w:spacing w:before="0" w:after="0"/>
              <w:jc w:val="center"/>
            </w:pPr>
            <w:r>
              <w:rPr>
                <w:rFonts w:ascii="Calibri" w:hAnsi="Calibri"/>
                <w:color w:val="2D3748"/>
                <w:sz w:val="18"/>
              </w:rPr>
              <w:t>Eficiencia operativa de clase mundial bajo modelo fabless.</w:t>
            </w:r>
          </w:p>
        </w:tc>
      </w:tr>
      <w:tr>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Beneficio Neto ($M)</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$1,014.8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$1,024.1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$966.1 M</w:t>
            </w:r>
          </w:p>
        </w:tc>
        <w:tc>
          <w:tcPr>
            <w:tcW w:type="dxa" w:w="3024"/>
            <w:shd w:fill="FFFFFF"/>
            <w:tcMar>
              <w:top w:w="80" w:type="dxa"/>
              <w:bottom w:w="80" w:type="dxa"/>
              <w:left w:w="120" w:type="dxa"/>
              <w:right w:w="120" w:type="dxa"/>
            </w:tcMar>
          </w:tcPr>
          <w:p>
            <w:pPr>
              <w:spacing w:before="0" w:after="0"/>
              <w:jc w:val="center"/>
            </w:pPr>
            <w:r>
              <w:rPr>
                <w:rFonts w:ascii="Calibri" w:hAnsi="Calibri"/>
                <w:color w:val="2D3748"/>
                <w:sz w:val="18"/>
              </w:rPr>
              <w:t>Conversión neta de altísima calidad respaldada 100% en caja.</w:t>
            </w:r>
          </w:p>
        </w:tc>
      </w:tr>
      <w:tr>
        <w:tc>
          <w:tcPr>
            <w:tcW w:type="dxa" w:w="2304"/>
            <w:shd w:fill="F7FAFC"/>
            <w:tcMar>
              <w:top w:w="80" w:type="dxa"/>
              <w:bottom w:w="80" w:type="dxa"/>
              <w:left w:w="120" w:type="dxa"/>
              <w:right w:w="120" w:type="dxa"/>
            </w:tcMar>
          </w:tcPr>
          <w:p>
            <w:pPr>
              <w:spacing w:before="0" w:after="0"/>
              <w:jc w:val="left"/>
            </w:pPr>
            <w:r>
              <w:rPr>
                <w:rFonts w:ascii="Calibri" w:hAnsi="Calibri"/>
                <w:color w:val="2D3748"/>
                <w:sz w:val="18"/>
              </w:rPr>
              <w:t>Margen Neto (%)</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18.36%</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18.71%</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19.38%</w:t>
            </w:r>
          </w:p>
        </w:tc>
        <w:tc>
          <w:tcPr>
            <w:tcW w:type="dxa" w:w="3024"/>
            <w:shd w:fill="F7FAFC"/>
            <w:tcMar>
              <w:top w:w="80" w:type="dxa"/>
              <w:bottom w:w="80" w:type="dxa"/>
              <w:left w:w="120" w:type="dxa"/>
              <w:right w:w="120" w:type="dxa"/>
            </w:tcMar>
          </w:tcPr>
          <w:p>
            <w:pPr>
              <w:spacing w:before="0" w:after="0"/>
              <w:jc w:val="center"/>
            </w:pPr>
            <w:r>
              <w:rPr>
                <w:rFonts w:ascii="Calibri" w:hAnsi="Calibri"/>
                <w:color w:val="2D3748"/>
                <w:sz w:val="18"/>
              </w:rPr>
              <w:t>Extraordinaria rentabilidad neta; retención superior a 18 centavos limpios por dólar.</w:t>
            </w:r>
          </w:p>
        </w:tc>
      </w:tr>
      <w:tr>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Flujo de Caja Operativo (CFO)</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$1,193.7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$1,182.0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$1,044.5 M</w:t>
            </w:r>
          </w:p>
        </w:tc>
        <w:tc>
          <w:tcPr>
            <w:tcW w:type="dxa" w:w="3024"/>
            <w:shd w:fill="FFFFFF"/>
            <w:tcMar>
              <w:top w:w="80" w:type="dxa"/>
              <w:bottom w:w="80" w:type="dxa"/>
              <w:left w:w="120" w:type="dxa"/>
              <w:right w:w="120" w:type="dxa"/>
            </w:tcMar>
          </w:tcPr>
          <w:p>
            <w:pPr>
              <w:spacing w:before="0" w:after="0"/>
              <w:jc w:val="center"/>
            </w:pPr>
            <w:r>
              <w:rPr>
                <w:rFonts w:ascii="Calibri" w:hAnsi="Calibri"/>
                <w:color w:val="2D3748"/>
                <w:sz w:val="18"/>
              </w:rPr>
              <w:t>Generación de efectivo récord para el ciclo operativo.</w:t>
            </w:r>
          </w:p>
        </w:tc>
      </w:tr>
      <w:tr>
        <w:tc>
          <w:tcPr>
            <w:tcW w:type="dxa" w:w="2304"/>
            <w:shd w:fill="F7FAFC"/>
            <w:tcMar>
              <w:top w:w="80" w:type="dxa"/>
              <w:bottom w:w="80" w:type="dxa"/>
              <w:left w:w="120" w:type="dxa"/>
              <w:right w:w="120" w:type="dxa"/>
            </w:tcMar>
          </w:tcPr>
          <w:p>
            <w:pPr>
              <w:spacing w:before="0" w:after="0"/>
              <w:jc w:val="left"/>
            </w:pPr>
            <w:r>
              <w:rPr>
                <w:rFonts w:ascii="Calibri" w:hAnsi="Calibri"/>
                <w:color w:val="2D3748"/>
                <w:sz w:val="18"/>
              </w:rPr>
              <w:t>Flujo de Caja Libre (FCF)</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$1,117.8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$1,097.3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$958.4 M</w:t>
            </w:r>
          </w:p>
        </w:tc>
        <w:tc>
          <w:tcPr>
            <w:tcW w:type="dxa" w:w="3024"/>
            <w:shd w:fill="F7FAFC"/>
            <w:tcMar>
              <w:top w:w="80" w:type="dxa"/>
              <w:bottom w:w="80" w:type="dxa"/>
              <w:left w:w="120" w:type="dxa"/>
              <w:right w:w="120" w:type="dxa"/>
            </w:tcMar>
          </w:tcPr>
          <w:p>
            <w:pPr>
              <w:spacing w:before="0" w:after="0"/>
              <w:jc w:val="center"/>
            </w:pPr>
            <w:r>
              <w:rPr>
                <w:rFonts w:ascii="Calibri" w:hAnsi="Calibri"/>
                <w:color w:val="2D3748"/>
                <w:sz w:val="18"/>
              </w:rPr>
              <w:t>Conversión FCF / Beneficio Neto del 110.1% (concilia 100% con fiscal.ai y tikr).</w:t>
            </w:r>
          </w:p>
        </w:tc>
      </w:tr>
      <w:tr>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Margen FCF (%)</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20.22%</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20.05%</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19.22%</w:t>
            </w:r>
          </w:p>
        </w:tc>
        <w:tc>
          <w:tcPr>
            <w:tcW w:type="dxa" w:w="3024"/>
            <w:shd w:fill="FFFFFF"/>
            <w:tcMar>
              <w:top w:w="80" w:type="dxa"/>
              <w:bottom w:w="80" w:type="dxa"/>
              <w:left w:w="120" w:type="dxa"/>
              <w:right w:w="120" w:type="dxa"/>
            </w:tcMar>
          </w:tcPr>
          <w:p>
            <w:pPr>
              <w:spacing w:before="0" w:after="0"/>
              <w:jc w:val="center"/>
            </w:pPr>
            <w:r>
              <w:rPr>
                <w:rFonts w:ascii="Calibri" w:hAnsi="Calibri"/>
                <w:color w:val="2D3748"/>
                <w:sz w:val="18"/>
              </w:rPr>
              <w:t>Generación pura de caja disponible tras financiar todo el CapEx de expansión.</w:t>
            </w:r>
          </w:p>
        </w:tc>
      </w:tr>
      <w:tr>
        <w:tc>
          <w:tcPr>
            <w:tcW w:type="dxa" w:w="2304"/>
            <w:shd w:fill="F7FAFC"/>
            <w:tcMar>
              <w:top w:w="80" w:type="dxa"/>
              <w:bottom w:w="80" w:type="dxa"/>
              <w:left w:w="120" w:type="dxa"/>
              <w:right w:w="120" w:type="dxa"/>
            </w:tcMar>
          </w:tcPr>
          <w:p>
            <w:pPr>
              <w:spacing w:before="0" w:after="0"/>
              <w:jc w:val="left"/>
            </w:pPr>
            <w:r>
              <w:rPr>
                <w:rFonts w:ascii="Calibri" w:hAnsi="Calibri"/>
                <w:color w:val="2D3748"/>
                <w:sz w:val="18"/>
              </w:rPr>
              <w:t>Conversión FCF / Beneficio Neto</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110.1%</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107.1%</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99.2%</w:t>
            </w:r>
          </w:p>
        </w:tc>
        <w:tc>
          <w:tcPr>
            <w:tcW w:type="dxa" w:w="3024"/>
            <w:shd w:fill="F7FAFC"/>
            <w:tcMar>
              <w:top w:w="80" w:type="dxa"/>
              <w:bottom w:w="80" w:type="dxa"/>
              <w:left w:w="120" w:type="dxa"/>
              <w:right w:w="120" w:type="dxa"/>
            </w:tcMar>
          </w:tcPr>
          <w:p>
            <w:pPr>
              <w:spacing w:before="0" w:after="0"/>
              <w:jc w:val="center"/>
            </w:pPr>
            <w:r>
              <w:rPr>
                <w:rFonts w:ascii="Calibri" w:hAnsi="Calibri"/>
                <w:color w:val="2D3748"/>
                <w:sz w:val="18"/>
              </w:rPr>
              <w:t>Tasa &gt; 100% certifica ganancias 100% monetarias y ausencia de devengos agresivos.</w:t>
            </w:r>
          </w:p>
        </w:tc>
      </w:tr>
      <w:tr>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BPA Diluido Normalizado (Split-Adjusted)</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$7.32</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$7.02</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$6.33</w:t>
            </w:r>
          </w:p>
        </w:tc>
        <w:tc>
          <w:tcPr>
            <w:tcW w:type="dxa" w:w="3024"/>
            <w:shd w:fill="FFFFFF"/>
            <w:tcMar>
              <w:top w:w="80" w:type="dxa"/>
              <w:bottom w:w="80" w:type="dxa"/>
              <w:left w:w="120" w:type="dxa"/>
              <w:right w:w="120" w:type="dxa"/>
            </w:tcMar>
          </w:tcPr>
          <w:p>
            <w:pPr>
              <w:spacing w:before="0" w:after="0"/>
              <w:jc w:val="center"/>
            </w:pPr>
            <w:r>
              <w:rPr>
                <w:rFonts w:ascii="Calibri" w:hAnsi="Calibri"/>
                <w:color w:val="2D3748"/>
                <w:sz w:val="18"/>
              </w:rPr>
              <w:t>Ajustado por split 6:1 (sep-2024); concilia 100% con fiscal.ai y tikr ($4.86 en FY24).</w:t>
            </w:r>
          </w:p>
        </w:tc>
      </w:tr>
      <w:tr>
        <w:tc>
          <w:tcPr>
            <w:tcW w:type="dxa" w:w="2304"/>
            <w:shd w:fill="F7FAFC"/>
            <w:tcMar>
              <w:top w:w="80" w:type="dxa"/>
              <w:bottom w:w="80" w:type="dxa"/>
              <w:left w:w="120" w:type="dxa"/>
              <w:right w:w="120" w:type="dxa"/>
            </w:tcMar>
          </w:tcPr>
          <w:p>
            <w:pPr>
              <w:spacing w:before="0" w:after="0"/>
              <w:jc w:val="left"/>
            </w:pPr>
            <w:r>
              <w:rPr>
                <w:rFonts w:ascii="Calibri" w:hAnsi="Calibri"/>
                <w:color w:val="2D3748"/>
                <w:sz w:val="18"/>
              </w:rPr>
              <w:t>BPA Diluido As-Reported (Oficial SEC)</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$7.32</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$7.02</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$6.33</w:t>
            </w:r>
          </w:p>
        </w:tc>
        <w:tc>
          <w:tcPr>
            <w:tcW w:type="dxa" w:w="3024"/>
            <w:shd w:fill="F7FAFC"/>
            <w:tcMar>
              <w:top w:w="80" w:type="dxa"/>
              <w:bottom w:w="80" w:type="dxa"/>
              <w:left w:w="120" w:type="dxa"/>
              <w:right w:w="120" w:type="dxa"/>
            </w:tcMar>
          </w:tcPr>
          <w:p>
            <w:pPr>
              <w:spacing w:before="0" w:after="0"/>
              <w:jc w:val="center"/>
            </w:pPr>
            <w:r>
              <w:rPr>
                <w:rFonts w:ascii="Calibri" w:hAnsi="Calibri"/>
                <w:color w:val="2D3748"/>
                <w:sz w:val="18"/>
              </w:rPr>
              <w:t>Cifra histórica original en filings 10-K (pre-split FY24 fue $29.16).</w:t>
            </w:r>
          </w:p>
        </w:tc>
      </w:tr>
      <w:tr>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Acciones Diluidas Ajustadas</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138.6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145.8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152.7 M</w:t>
            </w:r>
          </w:p>
        </w:tc>
        <w:tc>
          <w:tcPr>
            <w:tcW w:type="dxa" w:w="3024"/>
            <w:shd w:fill="FFFFFF"/>
            <w:tcMar>
              <w:top w:w="80" w:type="dxa"/>
              <w:bottom w:w="80" w:type="dxa"/>
              <w:left w:w="120" w:type="dxa"/>
              <w:right w:w="120" w:type="dxa"/>
            </w:tcMar>
          </w:tcPr>
          <w:p>
            <w:pPr>
              <w:spacing w:before="0" w:after="0"/>
              <w:jc w:val="center"/>
            </w:pPr>
            <w:r>
              <w:rPr>
                <w:rFonts w:ascii="Calibri" w:hAnsi="Calibri"/>
                <w:color w:val="2D3748"/>
                <w:sz w:val="18"/>
              </w:rPr>
              <w:t>Reducción neta de -7.2M acciones en LTM vía recompras activas.</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left w:val="single" w:sz="24" w:space="0" w:color="1B365D"/>
              <w:top w:val="none"/>
              <w:right w:val="none"/>
              <w:bottom w:val="none"/>
            </w:tcBorders>
          </w:tcPr>
          <w:p>
            <w:pPr>
              <w:spacing w:before="0" w:after="80"/>
            </w:pPr>
            <w:r>
              <w:rPr>
                <w:rFonts w:ascii="Segoe UI Emoji" w:hAnsi="Segoe UI Emoji"/>
                <w:sz w:val="21"/>
              </w:rPr>
              <w:t xml:space="preserve">📌  </w:t>
            </w:r>
            <w:r>
              <w:rPr>
                <w:rFonts w:ascii="Calibri" w:hAnsi="Calibri"/>
                <w:b/>
                <w:color w:val="1B365D"/>
                <w:sz w:val="21"/>
              </w:rPr>
              <w:t>GUÍA DE DIAGNÓSTICO FUNDAMENTAL: ¿QUÉ EVALÚA CADA PARÁMETRO CLAVE?</w:t>
            </w:r>
          </w:p>
          <w:p>
            <w:pPr>
              <w:spacing w:before="40" w:after="40" w:line="276" w:lineRule="auto"/>
            </w:pPr>
            <w:r>
              <w:rPr>
                <w:rFonts w:ascii="Calibri" w:hAnsi="Calibri"/>
                <w:color w:val="2D3748"/>
                <w:sz w:val="19"/>
              </w:rPr>
              <w:t>• Margen Bruto (%): Mide el poder de fijación de precios (pricing power) de la empresa y la ventaja competitiva frente a sus proveedores y costes directos. Un margen en expansión indica que el cliente está dispuesto a pagar por el valor de la marca o que la compañía tiene economías de escala superiores.</w:t>
            </w:r>
          </w:p>
          <w:p>
            <w:pPr>
              <w:spacing w:before="40" w:after="40" w:line="276" w:lineRule="auto"/>
            </w:pPr>
            <w:r>
              <w:rPr>
                <w:rFonts w:ascii="Calibri" w:hAnsi="Calibri"/>
                <w:color w:val="2D3748"/>
                <w:sz w:val="19"/>
              </w:rPr>
              <w:t>• Margen Operativo (%): Refleja la eficiencia de la gestión para controlar la estructura fija de administración, marketing e investigación (OpEx). Demuestra si la compañía goza de apalancamiento operativo positivo.</w:t>
            </w:r>
          </w:p>
          <w:p>
            <w:pPr>
              <w:spacing w:before="40" w:after="40" w:line="276" w:lineRule="auto"/>
            </w:pPr>
            <w:r>
              <w:rPr>
                <w:rFonts w:ascii="Calibri" w:hAnsi="Calibri"/>
                <w:color w:val="2D3748"/>
                <w:sz w:val="19"/>
              </w:rPr>
              <w:t>• Margen Neto (%): Es la rentabilidad final que le queda a la empresa tras cubrir costes operativos, gastos financieros de la deuda e impuestos corporativos. Proporción de los ingresos que termina directamente en el bolsillo de los accionistas.</w:t>
            </w:r>
          </w:p>
          <w:p>
            <w:pPr>
              <w:spacing w:before="40" w:after="40" w:line="276" w:lineRule="auto"/>
            </w:pPr>
            <w:r>
              <w:rPr>
                <w:rFonts w:ascii="Calibri" w:hAnsi="Calibri"/>
                <w:color w:val="2D3748"/>
                <w:sz w:val="19"/>
              </w:rPr>
              <w:t>• Flujo de Caja Libre (FCF) y Margen FCF: Es el indicador más fidedigno de la salud económica real (Cash is King). Mide los dólares reales que ingresan a la caja tras pagar todas las inversiones de mantenimiento y expansión (CapEx). Capital disponible para recomprar acciones, pagar dividendos o desendeudarse.</w:t>
            </w:r>
          </w:p>
          <w:p>
            <w:pPr>
              <w:spacing w:before="40" w:after="40" w:line="276" w:lineRule="auto"/>
            </w:pPr>
            <w:r>
              <w:rPr>
                <w:rFonts w:ascii="Calibri" w:hAnsi="Calibri"/>
                <w:color w:val="2D3748"/>
                <w:sz w:val="19"/>
              </w:rPr>
              <w:t>• Tasa de Conversión FCF / Beneficio Neto: Evalúa la calidad contable de las ganancias. Ratios consistentes en torno o por encima del 100% garantizan que la empresa no está inflando sus resultados con devengos agresivos.</w:t>
            </w:r>
          </w:p>
        </w:tc>
      </w:tr>
    </w:tbl>
    <w:p>
      <w:pPr>
        <w:spacing w:after="80"/>
      </w:pPr>
    </w:p>
    <w:p>
      <w:pPr>
        <w:keepNext/>
        <w:spacing w:before="320" w:after="120"/>
      </w:pPr>
      <w:r>
        <w:rPr>
          <w:rFonts w:ascii="Calibri" w:hAnsi="Calibri"/>
          <w:b/>
          <w:color w:val="1B365D"/>
          <w:sz w:val="26"/>
        </w:rPr>
        <w:t>5. Análisis Exhaustivo de Conferencia de Resultados (Earnings Calls) y Auditoría del Discurso Directivo</w:t>
      </w:r>
    </w:p>
    <w:p>
      <w:pPr>
        <w:keepNext/>
        <w:spacing w:before="200" w:after="80"/>
      </w:pPr>
      <w:r>
        <w:rPr>
          <w:rFonts w:ascii="Calibri" w:hAnsi="Calibri"/>
          <w:b/>
          <w:color w:val="4A5568"/>
          <w:sz w:val="22"/>
        </w:rPr>
        <w:t>BLOQUE A: Análisis del Trimestre Más Reciente (Q1 FY2027)</w:t>
      </w:r>
    </w:p>
    <w:p>
      <w:pPr>
        <w:spacing w:before="40" w:after="80" w:line="276" w:lineRule="auto"/>
      </w:pPr>
      <w:r>
        <w:rPr>
          <w:rFonts w:ascii="Calibri" w:hAnsi="Calibri"/>
          <w:i w:val="0"/>
          <w:color w:val="2D3748"/>
          <w:sz w:val="20"/>
        </w:rPr>
        <w:t>Durante la conferencia de resultados del primer trimestre fiscal de 2027 (concluida el 23 de julio de 2026), el equipo directivo de Deckers Brands—liderado por Stefano Caroti (Chief Executive Officer entrante) y Steven J. Fasching (Chief Financial Officer)—presentó un sólido desempeño operativo que batió ampliamente las estimaciones del consenso de Wall Street. Los ingresos netos alcanzaron $825.3M (+22.1% YoY), impulsados por una aceleración del 29.7% en HOKA ($545.2M) y un crecimiento del 14.0% en UGG ($223.0M). La directiva elevó el guidance anual para el ejercicio fiscal 2027 y ratificó su estrategia de preservación de precio completo y expansión internacional.</w:t>
      </w:r>
    </w:p>
    <w:p>
      <w:pPr>
        <w:keepNext/>
        <w:spacing w:before="200" w:after="80"/>
      </w:pPr>
      <w:r>
        <w:rPr>
          <w:rFonts w:ascii="Calibri" w:hAnsi="Calibri"/>
          <w:b/>
          <w:color w:val="4A5568"/>
          <w:sz w:val="22"/>
        </w:rPr>
        <w:t>1. Proyecciones Oficiales y Guidance del Management:</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3264"/>
        <w:gridCol w:w="3264"/>
        <w:gridCol w:w="3264"/>
      </w:tblGrid>
      <w:tr>
        <w:tc>
          <w:tcPr>
            <w:tcW w:type="dxa" w:w="2880"/>
            <w:shd w:fill="1B365D"/>
            <w:tcMar>
              <w:top w:w="100" w:type="dxa"/>
              <w:bottom w:w="100" w:type="dxa"/>
              <w:left w:w="120" w:type="dxa"/>
              <w:right w:w="120" w:type="dxa"/>
            </w:tcMar>
          </w:tcPr>
          <w:p>
            <w:pPr>
              <w:spacing w:before="0" w:after="0"/>
              <w:jc w:val="left"/>
            </w:pPr>
            <w:r>
              <w:rPr>
                <w:rFonts w:ascii="Calibri" w:hAnsi="Calibri"/>
                <w:b/>
                <w:color w:val="FFFFFF"/>
                <w:sz w:val="19"/>
              </w:rPr>
              <w:t>Métrica / Parámetro Proyectado</w:t>
            </w:r>
          </w:p>
        </w:tc>
        <w:tc>
          <w:tcPr>
            <w:tcW w:type="dxa" w:w="2592"/>
            <w:shd w:fill="1B365D"/>
            <w:tcMar>
              <w:top w:w="100" w:type="dxa"/>
              <w:bottom w:w="100" w:type="dxa"/>
              <w:left w:w="120" w:type="dxa"/>
              <w:right w:w="120" w:type="dxa"/>
            </w:tcMar>
          </w:tcPr>
          <w:p>
            <w:pPr>
              <w:spacing w:before="0" w:after="0"/>
              <w:jc w:val="center"/>
            </w:pPr>
            <w:r>
              <w:rPr>
                <w:rFonts w:ascii="Calibri" w:hAnsi="Calibri"/>
                <w:b/>
                <w:color w:val="FFFFFF"/>
                <w:sz w:val="19"/>
              </w:rPr>
              <w:t>Rango de Guidance Oficial (FY2027)</w:t>
            </w:r>
          </w:p>
        </w:tc>
        <w:tc>
          <w:tcPr>
            <w:tcW w:type="dxa" w:w="4320"/>
            <w:shd w:fill="1B365D"/>
            <w:tcMar>
              <w:top w:w="100" w:type="dxa"/>
              <w:bottom w:w="100" w:type="dxa"/>
              <w:left w:w="120" w:type="dxa"/>
              <w:right w:w="120" w:type="dxa"/>
            </w:tcMar>
          </w:tcPr>
          <w:p>
            <w:pPr>
              <w:spacing w:before="0" w:after="0"/>
              <w:jc w:val="left"/>
            </w:pPr>
            <w:r>
              <w:rPr>
                <w:rFonts w:ascii="Calibri" w:hAnsi="Calibri"/>
                <w:b/>
                <w:color w:val="FFFFFF"/>
                <w:sz w:val="19"/>
              </w:rPr>
              <w:t>Lectura Estratégica y Factores Clave</w:t>
            </w:r>
          </w:p>
        </w:tc>
      </w:tr>
      <w:tr>
        <w:tc>
          <w:tcPr>
            <w:tcW w:type="dxa" w:w="2880"/>
            <w:shd w:fill="FFFFFF"/>
            <w:tcMar>
              <w:top w:w="80" w:type="dxa"/>
              <w:bottom w:w="80" w:type="dxa"/>
              <w:left w:w="120" w:type="dxa"/>
              <w:right w:w="120" w:type="dxa"/>
            </w:tcMar>
          </w:tcPr>
          <w:p>
            <w:pPr>
              <w:spacing w:before="0" w:after="0"/>
              <w:jc w:val="left"/>
            </w:pPr>
            <w:r>
              <w:rPr>
                <w:rFonts w:ascii="Calibri" w:hAnsi="Calibri"/>
                <w:color w:val="2D3748"/>
                <w:sz w:val="18"/>
              </w:rPr>
              <w:t>Crecimiento de Ingresos Netos</w:t>
            </w:r>
          </w:p>
        </w:tc>
        <w:tc>
          <w:tcPr>
            <w:tcW w:type="dxa" w:w="2592"/>
            <w:shd w:fill="FFFFFF"/>
            <w:tcMar>
              <w:top w:w="80" w:type="dxa"/>
              <w:bottom w:w="80" w:type="dxa"/>
              <w:left w:w="120" w:type="dxa"/>
              <w:right w:w="120" w:type="dxa"/>
            </w:tcMar>
          </w:tcPr>
          <w:p>
            <w:pPr>
              <w:spacing w:before="0" w:after="0"/>
              <w:jc w:val="center"/>
            </w:pPr>
            <w:r>
              <w:rPr>
                <w:rFonts w:ascii="Calibri" w:hAnsi="Calibri"/>
                <w:color w:val="2D3748"/>
                <w:sz w:val="18"/>
              </w:rPr>
              <w:t>$4,700 M a $4,800 M (+10% a 12% YoY)</w:t>
            </w:r>
          </w:p>
        </w:tc>
        <w:tc>
          <w:tcPr>
            <w:tcW w:type="dxa" w:w="4320"/>
            <w:shd w:fill="FFFFFF"/>
            <w:tcMar>
              <w:top w:w="80" w:type="dxa"/>
              <w:bottom w:w="80" w:type="dxa"/>
              <w:left w:w="120" w:type="dxa"/>
              <w:right w:w="120" w:type="dxa"/>
            </w:tcMar>
          </w:tcPr>
          <w:p>
            <w:pPr>
              <w:spacing w:before="0" w:after="0"/>
              <w:jc w:val="left"/>
            </w:pPr>
            <w:r>
              <w:rPr>
                <w:rFonts w:ascii="Calibri" w:hAnsi="Calibri"/>
                <w:color w:val="2D3748"/>
                <w:sz w:val="18"/>
              </w:rPr>
              <w:t>Previsión conservadora que incorpora prudencia macroeconómica; HOKA proyectada creciendo a tasas de 'mid-teens' y UGG a 'mid-single digits'.</w:t>
            </w:r>
          </w:p>
        </w:tc>
      </w:tr>
      <w:tr>
        <w:tc>
          <w:tcPr>
            <w:tcW w:type="dxa" w:w="2880"/>
            <w:shd w:fill="F7FAFC"/>
            <w:tcMar>
              <w:top w:w="80" w:type="dxa"/>
              <w:bottom w:w="80" w:type="dxa"/>
              <w:left w:w="120" w:type="dxa"/>
              <w:right w:w="120" w:type="dxa"/>
            </w:tcMar>
          </w:tcPr>
          <w:p>
            <w:pPr>
              <w:spacing w:before="0" w:after="0"/>
              <w:jc w:val="left"/>
            </w:pPr>
            <w:r>
              <w:rPr>
                <w:rFonts w:ascii="Calibri" w:hAnsi="Calibri"/>
                <w:color w:val="2D3748"/>
                <w:sz w:val="18"/>
              </w:rPr>
              <w:t>Margen Bruto Consolidado</w:t>
            </w:r>
          </w:p>
        </w:tc>
        <w:tc>
          <w:tcPr>
            <w:tcW w:type="dxa" w:w="2592"/>
            <w:shd w:fill="F7FAFC"/>
            <w:tcMar>
              <w:top w:w="80" w:type="dxa"/>
              <w:bottom w:w="80" w:type="dxa"/>
              <w:left w:w="120" w:type="dxa"/>
              <w:right w:w="120" w:type="dxa"/>
            </w:tcMar>
          </w:tcPr>
          <w:p>
            <w:pPr>
              <w:spacing w:before="0" w:after="0"/>
              <w:jc w:val="center"/>
            </w:pPr>
            <w:r>
              <w:rPr>
                <w:rFonts w:ascii="Calibri" w:hAnsi="Calibri"/>
                <w:color w:val="2D3748"/>
                <w:sz w:val="18"/>
              </w:rPr>
              <w:t>~53.5% a 54.0%</w:t>
            </w:r>
          </w:p>
        </w:tc>
        <w:tc>
          <w:tcPr>
            <w:tcW w:type="dxa" w:w="4320"/>
            <w:shd w:fill="F7FAFC"/>
            <w:tcMar>
              <w:top w:w="80" w:type="dxa"/>
              <w:bottom w:w="80" w:type="dxa"/>
              <w:left w:w="120" w:type="dxa"/>
              <w:right w:w="120" w:type="dxa"/>
            </w:tcMar>
          </w:tcPr>
          <w:p>
            <w:pPr>
              <w:spacing w:before="0" w:after="0"/>
              <w:jc w:val="left"/>
            </w:pPr>
            <w:r>
              <w:rPr>
                <w:rFonts w:ascii="Calibri" w:hAnsi="Calibri"/>
                <w:color w:val="2D3748"/>
                <w:sz w:val="18"/>
              </w:rPr>
              <w:t>Ligera normalización técnica frente al récord de FY26 (55.7%) debido a mayores costes de flete marítimo y mezcla mayorista.</w:t>
            </w:r>
          </w:p>
        </w:tc>
      </w:tr>
      <w:tr>
        <w:tc>
          <w:tcPr>
            <w:tcW w:type="dxa" w:w="2880"/>
            <w:shd w:fill="FFFFFF"/>
            <w:tcMar>
              <w:top w:w="80" w:type="dxa"/>
              <w:bottom w:w="80" w:type="dxa"/>
              <w:left w:w="120" w:type="dxa"/>
              <w:right w:w="120" w:type="dxa"/>
            </w:tcMar>
          </w:tcPr>
          <w:p>
            <w:pPr>
              <w:spacing w:before="0" w:after="0"/>
              <w:jc w:val="left"/>
            </w:pPr>
            <w:r>
              <w:rPr>
                <w:rFonts w:ascii="Calibri" w:hAnsi="Calibri"/>
                <w:color w:val="2D3748"/>
                <w:sz w:val="18"/>
              </w:rPr>
              <w:t>Gastos de Venta, Generales y Admin. (SG&amp;A)</w:t>
            </w:r>
          </w:p>
        </w:tc>
        <w:tc>
          <w:tcPr>
            <w:tcW w:type="dxa" w:w="2592"/>
            <w:shd w:fill="FFFFFF"/>
            <w:tcMar>
              <w:top w:w="80" w:type="dxa"/>
              <w:bottom w:w="80" w:type="dxa"/>
              <w:left w:w="120" w:type="dxa"/>
              <w:right w:w="120" w:type="dxa"/>
            </w:tcMar>
          </w:tcPr>
          <w:p>
            <w:pPr>
              <w:spacing w:before="0" w:after="0"/>
              <w:jc w:val="center"/>
            </w:pPr>
            <w:r>
              <w:rPr>
                <w:rFonts w:ascii="Calibri" w:hAnsi="Calibri"/>
                <w:color w:val="2D3748"/>
                <w:sz w:val="18"/>
              </w:rPr>
              <w:t>~33.0% a 33.5% sobre ventas</w:t>
            </w:r>
          </w:p>
        </w:tc>
        <w:tc>
          <w:tcPr>
            <w:tcW w:type="dxa" w:w="4320"/>
            <w:shd w:fill="FFFFFF"/>
            <w:tcMar>
              <w:top w:w="80" w:type="dxa"/>
              <w:bottom w:w="80" w:type="dxa"/>
              <w:left w:w="120" w:type="dxa"/>
              <w:right w:w="120" w:type="dxa"/>
            </w:tcMar>
          </w:tcPr>
          <w:p>
            <w:pPr>
              <w:spacing w:before="0" w:after="0"/>
              <w:jc w:val="left"/>
            </w:pPr>
            <w:r>
              <w:rPr>
                <w:rFonts w:ascii="Calibri" w:hAnsi="Calibri"/>
                <w:color w:val="2D3748"/>
                <w:sz w:val="18"/>
              </w:rPr>
              <w:t>Inversión disciplinada en marketing global para HOKA y apertura de tiendas concepto clave en EMEA y Asia.</w:t>
            </w:r>
          </w:p>
        </w:tc>
      </w:tr>
      <w:tr>
        <w:tc>
          <w:tcPr>
            <w:tcW w:type="dxa" w:w="2880"/>
            <w:shd w:fill="F7FAFC"/>
            <w:tcMar>
              <w:top w:w="80" w:type="dxa"/>
              <w:bottom w:w="80" w:type="dxa"/>
              <w:left w:w="120" w:type="dxa"/>
              <w:right w:w="120" w:type="dxa"/>
            </w:tcMar>
          </w:tcPr>
          <w:p>
            <w:pPr>
              <w:spacing w:before="0" w:after="0"/>
              <w:jc w:val="left"/>
            </w:pPr>
            <w:r>
              <w:rPr>
                <w:rFonts w:ascii="Calibri" w:hAnsi="Calibri"/>
                <w:color w:val="2D3748"/>
                <w:sz w:val="18"/>
              </w:rPr>
              <w:t>Margen Operativo</w:t>
            </w:r>
          </w:p>
        </w:tc>
        <w:tc>
          <w:tcPr>
            <w:tcW w:type="dxa" w:w="2592"/>
            <w:shd w:fill="F7FAFC"/>
            <w:tcMar>
              <w:top w:w="80" w:type="dxa"/>
              <w:bottom w:w="80" w:type="dxa"/>
              <w:left w:w="120" w:type="dxa"/>
              <w:right w:w="120" w:type="dxa"/>
            </w:tcMar>
          </w:tcPr>
          <w:p>
            <w:pPr>
              <w:spacing w:before="0" w:after="0"/>
              <w:jc w:val="center"/>
            </w:pPr>
            <w:r>
              <w:rPr>
                <w:rFonts w:ascii="Calibri" w:hAnsi="Calibri"/>
                <w:color w:val="2D3748"/>
                <w:sz w:val="18"/>
              </w:rPr>
              <w:t>~20.5% a 21.0%</w:t>
            </w:r>
          </w:p>
        </w:tc>
        <w:tc>
          <w:tcPr>
            <w:tcW w:type="dxa" w:w="4320"/>
            <w:shd w:fill="F7FAFC"/>
            <w:tcMar>
              <w:top w:w="80" w:type="dxa"/>
              <w:bottom w:w="80" w:type="dxa"/>
              <w:left w:w="120" w:type="dxa"/>
              <w:right w:w="120" w:type="dxa"/>
            </w:tcMar>
          </w:tcPr>
          <w:p>
            <w:pPr>
              <w:spacing w:before="0" w:after="0"/>
              <w:jc w:val="left"/>
            </w:pPr>
            <w:r>
              <w:rPr>
                <w:rFonts w:ascii="Calibri" w:hAnsi="Calibri"/>
                <w:color w:val="2D3748"/>
                <w:sz w:val="18"/>
              </w:rPr>
              <w:t>Mantenimiento de márgenes operativos líderes en la industria de calzado deportivo a nivel mundial.</w:t>
            </w:r>
          </w:p>
        </w:tc>
      </w:tr>
      <w:tr>
        <w:tc>
          <w:tcPr>
            <w:tcW w:type="dxa" w:w="2880"/>
            <w:shd w:fill="FFFFFF"/>
            <w:tcMar>
              <w:top w:w="80" w:type="dxa"/>
              <w:bottom w:w="80" w:type="dxa"/>
              <w:left w:w="120" w:type="dxa"/>
              <w:right w:w="120" w:type="dxa"/>
            </w:tcMar>
          </w:tcPr>
          <w:p>
            <w:pPr>
              <w:spacing w:before="0" w:after="0"/>
              <w:jc w:val="left"/>
            </w:pPr>
            <w:r>
              <w:rPr>
                <w:rFonts w:ascii="Calibri" w:hAnsi="Calibri"/>
                <w:color w:val="2D3748"/>
                <w:sz w:val="18"/>
              </w:rPr>
              <w:t>Beneficio por Acción Diluido (Split-Adjusted)</w:t>
            </w:r>
          </w:p>
        </w:tc>
        <w:tc>
          <w:tcPr>
            <w:tcW w:type="dxa" w:w="2592"/>
            <w:shd w:fill="FFFFFF"/>
            <w:tcMar>
              <w:top w:w="80" w:type="dxa"/>
              <w:bottom w:w="80" w:type="dxa"/>
              <w:left w:w="120" w:type="dxa"/>
              <w:right w:w="120" w:type="dxa"/>
            </w:tcMar>
          </w:tcPr>
          <w:p>
            <w:pPr>
              <w:spacing w:before="0" w:after="0"/>
              <w:jc w:val="center"/>
            </w:pPr>
            <w:r>
              <w:rPr>
                <w:rFonts w:ascii="Calibri" w:hAnsi="Calibri"/>
                <w:color w:val="2D3748"/>
                <w:sz w:val="18"/>
              </w:rPr>
              <w:t>$5.15 a $5.30 por acción</w:t>
            </w:r>
          </w:p>
        </w:tc>
        <w:tc>
          <w:tcPr>
            <w:tcW w:type="dxa" w:w="4320"/>
            <w:shd w:fill="FFFFFF"/>
            <w:tcMar>
              <w:top w:w="80" w:type="dxa"/>
              <w:bottom w:w="80" w:type="dxa"/>
              <w:left w:w="120" w:type="dxa"/>
              <w:right w:w="120" w:type="dxa"/>
            </w:tcMar>
          </w:tcPr>
          <w:p>
            <w:pPr>
              <w:spacing w:before="0" w:after="0"/>
              <w:jc w:val="left"/>
            </w:pPr>
            <w:r>
              <w:rPr>
                <w:rFonts w:ascii="Calibri" w:hAnsi="Calibri"/>
                <w:color w:val="2D3748"/>
                <w:sz w:val="18"/>
              </w:rPr>
              <w:t>Refleja el stock split de 6 por 1 efectuado en septiembre de 2024 (equivalente a $30.90-$31.80 pre-split).</w:t>
            </w:r>
          </w:p>
        </w:tc>
      </w:tr>
      <w:tr>
        <w:tc>
          <w:tcPr>
            <w:tcW w:type="dxa" w:w="2880"/>
            <w:shd w:fill="F7FAFC"/>
            <w:tcMar>
              <w:top w:w="80" w:type="dxa"/>
              <w:bottom w:w="80" w:type="dxa"/>
              <w:left w:w="120" w:type="dxa"/>
              <w:right w:w="120" w:type="dxa"/>
            </w:tcMar>
          </w:tcPr>
          <w:p>
            <w:pPr>
              <w:spacing w:before="0" w:after="0"/>
              <w:jc w:val="left"/>
            </w:pPr>
            <w:r>
              <w:rPr>
                <w:rFonts w:ascii="Calibri" w:hAnsi="Calibri"/>
                <w:color w:val="2D3748"/>
                <w:sz w:val="18"/>
              </w:rPr>
              <w:t>Gastos de Capital (CapEx)</w:t>
            </w:r>
          </w:p>
        </w:tc>
        <w:tc>
          <w:tcPr>
            <w:tcW w:type="dxa" w:w="2592"/>
            <w:shd w:fill="F7FAFC"/>
            <w:tcMar>
              <w:top w:w="80" w:type="dxa"/>
              <w:bottom w:w="80" w:type="dxa"/>
              <w:left w:w="120" w:type="dxa"/>
              <w:right w:w="120" w:type="dxa"/>
            </w:tcMar>
          </w:tcPr>
          <w:p>
            <w:pPr>
              <w:spacing w:before="0" w:after="0"/>
              <w:jc w:val="center"/>
            </w:pPr>
            <w:r>
              <w:rPr>
                <w:rFonts w:ascii="Calibri" w:hAnsi="Calibri"/>
                <w:color w:val="2D3748"/>
                <w:sz w:val="18"/>
              </w:rPr>
              <w:t>$100 M a $120 M</w:t>
            </w:r>
          </w:p>
        </w:tc>
        <w:tc>
          <w:tcPr>
            <w:tcW w:type="dxa" w:w="4320"/>
            <w:shd w:fill="F7FAFC"/>
            <w:tcMar>
              <w:top w:w="80" w:type="dxa"/>
              <w:bottom w:w="80" w:type="dxa"/>
              <w:left w:w="120" w:type="dxa"/>
              <w:right w:w="120" w:type="dxa"/>
            </w:tcMar>
          </w:tcPr>
          <w:p>
            <w:pPr>
              <w:spacing w:before="0" w:after="0"/>
              <w:jc w:val="left"/>
            </w:pPr>
            <w:r>
              <w:rPr>
                <w:rFonts w:ascii="Calibri" w:hAnsi="Calibri"/>
                <w:color w:val="2D3748"/>
                <w:sz w:val="18"/>
              </w:rPr>
              <w:t>Enfocado en centros de distribución omnicanal y TI; intensidad de inversión inferior al 2.5% de las ventas.</w:t>
            </w:r>
          </w:p>
        </w:tc>
      </w:tr>
      <w:tr>
        <w:tc>
          <w:tcPr>
            <w:tcW w:type="dxa" w:w="2880"/>
            <w:shd w:fill="FFFFFF"/>
            <w:tcMar>
              <w:top w:w="80" w:type="dxa"/>
              <w:bottom w:w="80" w:type="dxa"/>
              <w:left w:w="120" w:type="dxa"/>
              <w:right w:w="120" w:type="dxa"/>
            </w:tcMar>
          </w:tcPr>
          <w:p>
            <w:pPr>
              <w:spacing w:before="0" w:after="0"/>
              <w:jc w:val="left"/>
            </w:pPr>
            <w:r>
              <w:rPr>
                <w:rFonts w:ascii="Calibri" w:hAnsi="Calibri"/>
                <w:color w:val="2D3748"/>
                <w:sz w:val="18"/>
              </w:rPr>
              <w:t>Tasa Impositiva Efectiva</w:t>
            </w:r>
          </w:p>
        </w:tc>
        <w:tc>
          <w:tcPr>
            <w:tcW w:type="dxa" w:w="2592"/>
            <w:shd w:fill="FFFFFF"/>
            <w:tcMar>
              <w:top w:w="80" w:type="dxa"/>
              <w:bottom w:w="80" w:type="dxa"/>
              <w:left w:w="120" w:type="dxa"/>
              <w:right w:w="120" w:type="dxa"/>
            </w:tcMar>
          </w:tcPr>
          <w:p>
            <w:pPr>
              <w:spacing w:before="0" w:after="0"/>
              <w:jc w:val="center"/>
            </w:pPr>
            <w:r>
              <w:rPr>
                <w:rFonts w:ascii="Calibri" w:hAnsi="Calibri"/>
                <w:color w:val="2D3748"/>
                <w:sz w:val="18"/>
              </w:rPr>
              <w:t>~22.0% a 23.0%</w:t>
            </w:r>
          </w:p>
        </w:tc>
        <w:tc>
          <w:tcPr>
            <w:tcW w:type="dxa" w:w="4320"/>
            <w:shd w:fill="FFFFFF"/>
            <w:tcMar>
              <w:top w:w="80" w:type="dxa"/>
              <w:bottom w:w="80" w:type="dxa"/>
              <w:left w:w="120" w:type="dxa"/>
              <w:right w:w="120" w:type="dxa"/>
            </w:tcMar>
          </w:tcPr>
          <w:p>
            <w:pPr>
              <w:spacing w:before="0" w:after="0"/>
              <w:jc w:val="left"/>
            </w:pPr>
            <w:r>
              <w:rPr>
                <w:rFonts w:ascii="Calibri" w:hAnsi="Calibri"/>
                <w:color w:val="2D3748"/>
                <w:sz w:val="18"/>
              </w:rPr>
              <w:t>Tasa fiscal corporativa global normalizada.</w:t>
            </w:r>
          </w:p>
        </w:tc>
      </w:tr>
      <w:tr>
        <w:tc>
          <w:tcPr>
            <w:tcW w:type="dxa" w:w="2880"/>
            <w:shd w:fill="F7FAFC"/>
            <w:tcMar>
              <w:top w:w="80" w:type="dxa"/>
              <w:bottom w:w="80" w:type="dxa"/>
              <w:left w:w="120" w:type="dxa"/>
              <w:right w:w="120" w:type="dxa"/>
            </w:tcMar>
          </w:tcPr>
          <w:p>
            <w:pPr>
              <w:spacing w:before="0" w:after="0"/>
              <w:jc w:val="left"/>
            </w:pPr>
            <w:r>
              <w:rPr>
                <w:rFonts w:ascii="Calibri" w:hAnsi="Calibri"/>
                <w:color w:val="2D3748"/>
                <w:sz w:val="18"/>
              </w:rPr>
              <w:t>Recompra de Acciones</w:t>
            </w:r>
          </w:p>
        </w:tc>
        <w:tc>
          <w:tcPr>
            <w:tcW w:type="dxa" w:w="2592"/>
            <w:shd w:fill="F7FAFC"/>
            <w:tcMar>
              <w:top w:w="80" w:type="dxa"/>
              <w:bottom w:w="80" w:type="dxa"/>
              <w:left w:w="120" w:type="dxa"/>
              <w:right w:w="120" w:type="dxa"/>
            </w:tcMar>
          </w:tcPr>
          <w:p>
            <w:pPr>
              <w:spacing w:before="0" w:after="0"/>
              <w:jc w:val="center"/>
            </w:pPr>
            <w:r>
              <w:rPr>
                <w:rFonts w:ascii="Calibri" w:hAnsi="Calibri"/>
                <w:color w:val="2D3748"/>
                <w:sz w:val="18"/>
              </w:rPr>
              <w:t>Aproximadamente $400 M+</w:t>
            </w:r>
          </w:p>
        </w:tc>
        <w:tc>
          <w:tcPr>
            <w:tcW w:type="dxa" w:w="4320"/>
            <w:shd w:fill="F7FAFC"/>
            <w:tcMar>
              <w:top w:w="80" w:type="dxa"/>
              <w:bottom w:w="80" w:type="dxa"/>
              <w:left w:w="120" w:type="dxa"/>
              <w:right w:w="120" w:type="dxa"/>
            </w:tcMar>
          </w:tcPr>
          <w:p>
            <w:pPr>
              <w:spacing w:before="0" w:after="0"/>
              <w:jc w:val="left"/>
            </w:pPr>
            <w:r>
              <w:rPr>
                <w:rFonts w:ascii="Calibri" w:hAnsi="Calibri"/>
                <w:color w:val="2D3748"/>
                <w:sz w:val="18"/>
              </w:rPr>
              <w:t>Retorno activo de caja bajo la autorización vigente del Consejo de Administración.</w:t>
            </w:r>
          </w:p>
        </w:tc>
      </w:tr>
    </w:tbl>
    <w:p>
      <w:pPr>
        <w:spacing w:after="120"/>
      </w:pPr>
    </w:p>
    <w:p>
      <w:pPr>
        <w:keepNext/>
        <w:spacing w:before="200" w:after="80"/>
      </w:pPr>
      <w:r>
        <w:rPr>
          <w:rFonts w:ascii="Calibri" w:hAnsi="Calibri"/>
          <w:b/>
          <w:color w:val="4A5568"/>
          <w:sz w:val="22"/>
        </w:rPr>
        <w:t>2. Hitos Más Importantes y Catalizadores Clave del Trimestre:</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3264"/>
        <w:gridCol w:w="3264"/>
        <w:gridCol w:w="3264"/>
      </w:tblGrid>
      <w:tr>
        <w:tc>
          <w:tcPr>
            <w:tcW w:type="dxa" w:w="2592"/>
            <w:shd w:fill="1B365D"/>
            <w:tcMar>
              <w:top w:w="100" w:type="dxa"/>
              <w:bottom w:w="100" w:type="dxa"/>
              <w:left w:w="120" w:type="dxa"/>
              <w:right w:w="120" w:type="dxa"/>
            </w:tcMar>
          </w:tcPr>
          <w:p>
            <w:pPr>
              <w:spacing w:before="0" w:after="0"/>
              <w:jc w:val="left"/>
            </w:pPr>
            <w:r>
              <w:rPr>
                <w:rFonts w:ascii="Calibri" w:hAnsi="Calibri"/>
                <w:b/>
                <w:color w:val="FFFFFF"/>
                <w:sz w:val="19"/>
              </w:rPr>
              <w:t>Hito Estratégico</w:t>
            </w:r>
          </w:p>
        </w:tc>
        <w:tc>
          <w:tcPr>
            <w:tcW w:type="dxa" w:w="3600"/>
            <w:shd w:fill="1B365D"/>
            <w:tcMar>
              <w:top w:w="100" w:type="dxa"/>
              <w:bottom w:w="100" w:type="dxa"/>
              <w:left w:w="120" w:type="dxa"/>
              <w:right w:w="120" w:type="dxa"/>
            </w:tcMar>
          </w:tcPr>
          <w:p>
            <w:pPr>
              <w:spacing w:before="0" w:after="0"/>
              <w:jc w:val="left"/>
            </w:pPr>
            <w:r>
              <w:rPr>
                <w:rFonts w:ascii="Calibri" w:hAnsi="Calibri"/>
                <w:b/>
                <w:color w:val="FFFFFF"/>
                <w:sz w:val="19"/>
              </w:rPr>
              <w:t>Declaración Clave de la Dirección</w:t>
            </w:r>
          </w:p>
        </w:tc>
        <w:tc>
          <w:tcPr>
            <w:tcW w:type="dxa" w:w="3600"/>
            <w:shd w:fill="1B365D"/>
            <w:tcMar>
              <w:top w:w="100" w:type="dxa"/>
              <w:bottom w:w="100" w:type="dxa"/>
              <w:left w:w="120" w:type="dxa"/>
              <w:right w:w="120" w:type="dxa"/>
            </w:tcMar>
          </w:tcPr>
          <w:p>
            <w:pPr>
              <w:spacing w:before="0" w:after="0"/>
              <w:jc w:val="left"/>
            </w:pPr>
            <w:r>
              <w:rPr>
                <w:rFonts w:ascii="Calibri" w:hAnsi="Calibri"/>
                <w:b/>
                <w:color w:val="FFFFFF"/>
                <w:sz w:val="19"/>
              </w:rPr>
              <w:t>Impacto en la Tesis de Inversión</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Transición de Liderazgo Ejemplar (CEO)</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"Esta transición ha sido planificada meticulosamente. Asumo el rol con la convicción de acelerar la expansión internacional de HOKA y fortalecer la relevancia anual de UGG..." — Stefano Caroti.</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Continuidad estratégica absoluta: Caroti lideró previamente la división omnicanal de Deckers y aporta experiencia ejecutiva previa en Nike y Puma.</w:t>
            </w:r>
          </w:p>
        </w:tc>
      </w:tr>
      <w:tr>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Expansión Internacional de HOKA</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Crecimiento del +43.2% en ventas internacionales de HOKA, con tracción acelerada en París, Londres, Tokio y Shanghái.</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La penetración internacional de HOKA se convierte en el vector de crecimiento secular más potente de la compañía.</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Integridad de Venta a Precio Completo</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Más del 92% de las ventas de HOKA y UGG se realizaron a precio de catálogo completo (Full-Price), sin recurrir a descuentos.</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Preserva la exclusividad de marca y sostiene márgenes brutos un 10% por encima de los competidores.</w:t>
            </w:r>
          </w:p>
        </w:tc>
      </w:tr>
      <w:tr>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Optimización de Canales Mayoristas</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Ampliación selectiva de lineales en Dick's Sporting Goods y minoristas de atletismo técnico especializado.</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Captura cuota de mercado en running y fitness directamente de marcas tradicionales consolidadas.</w:t>
            </w:r>
          </w:p>
        </w:tc>
      </w:tr>
    </w:tbl>
    <w:p>
      <w:pPr>
        <w:spacing w:after="120"/>
      </w:pPr>
    </w:p>
    <w:p>
      <w:pPr>
        <w:keepNext/>
        <w:spacing w:before="200" w:after="80"/>
      </w:pPr>
      <w:r>
        <w:rPr>
          <w:rFonts w:ascii="Calibri" w:hAnsi="Calibri"/>
          <w:b/>
          <w:color w:val="4A5568"/>
          <w:sz w:val="22"/>
        </w:rPr>
        <w:t>3. Matriz de Riesgos, Advertencias y Desafíos Operativos Detectados:</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2448"/>
            <w:shd w:fill="1B365D"/>
            <w:tcMar>
              <w:top w:w="100" w:type="dxa"/>
              <w:bottom w:w="100" w:type="dxa"/>
              <w:left w:w="120" w:type="dxa"/>
              <w:right w:w="120" w:type="dxa"/>
            </w:tcMar>
          </w:tcPr>
          <w:p>
            <w:pPr>
              <w:spacing w:before="0" w:after="0"/>
              <w:jc w:val="left"/>
            </w:pPr>
            <w:r>
              <w:rPr>
                <w:rFonts w:ascii="Calibri" w:hAnsi="Calibri"/>
                <w:b/>
                <w:color w:val="FFFFFF"/>
                <w:sz w:val="19"/>
              </w:rPr>
              <w:t>Riesgo / Advertencia</w:t>
            </w:r>
          </w:p>
        </w:tc>
        <w:tc>
          <w:tcPr>
            <w:tcW w:type="dxa" w:w="3024"/>
            <w:shd w:fill="1B365D"/>
            <w:tcMar>
              <w:top w:w="100" w:type="dxa"/>
              <w:bottom w:w="100" w:type="dxa"/>
              <w:left w:w="120" w:type="dxa"/>
              <w:right w:w="120" w:type="dxa"/>
            </w:tcMar>
          </w:tcPr>
          <w:p>
            <w:pPr>
              <w:spacing w:before="0" w:after="0"/>
              <w:jc w:val="left"/>
            </w:pPr>
            <w:r>
              <w:rPr>
                <w:rFonts w:ascii="Calibri" w:hAnsi="Calibri"/>
                <w:b/>
                <w:color w:val="FFFFFF"/>
                <w:sz w:val="19"/>
              </w:rPr>
              <w:t>Comentario Textual del Management</w:t>
            </w:r>
          </w:p>
        </w:tc>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Impacto Cuantitativo Proyectado</w:t>
            </w:r>
          </w:p>
        </w:tc>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Estrategia de Mitigación</w:t>
            </w:r>
          </w:p>
        </w:tc>
      </w:tr>
      <w:tr>
        <w:tc>
          <w:tcPr>
            <w:tcW w:type="dxa" w:w="2448"/>
            <w:shd w:fill="FFFFFF"/>
            <w:tcMar>
              <w:top w:w="80" w:type="dxa"/>
              <w:bottom w:w="80" w:type="dxa"/>
              <w:left w:w="120" w:type="dxa"/>
              <w:right w:w="120" w:type="dxa"/>
            </w:tcMar>
          </w:tcPr>
          <w:p>
            <w:pPr>
              <w:spacing w:before="0" w:after="0"/>
              <w:jc w:val="left"/>
            </w:pPr>
            <w:r>
              <w:rPr>
                <w:rFonts w:ascii="Calibri" w:hAnsi="Calibri"/>
                <w:color w:val="2D3748"/>
                <w:sz w:val="18"/>
              </w:rPr>
              <w:t>Costes de Transporte Marítimo (Freight)</w:t>
            </w:r>
          </w:p>
        </w:tc>
        <w:tc>
          <w:tcPr>
            <w:tcW w:type="dxa" w:w="3024"/>
            <w:shd w:fill="FFFFFF"/>
            <w:tcMar>
              <w:top w:w="80" w:type="dxa"/>
              <w:bottom w:w="80" w:type="dxa"/>
              <w:left w:w="120" w:type="dxa"/>
              <w:right w:w="120" w:type="dxa"/>
            </w:tcMar>
          </w:tcPr>
          <w:p>
            <w:pPr>
              <w:spacing w:before="0" w:after="0"/>
              <w:jc w:val="left"/>
            </w:pPr>
            <w:r>
              <w:rPr>
                <w:rFonts w:ascii="Calibri" w:hAnsi="Calibri"/>
                <w:color w:val="2D3748"/>
                <w:sz w:val="18"/>
              </w:rPr>
              <w:t>"Las disrupciones en rutas marítimas han encarecido las tarifas de flete para la segunda mitad del año."</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Presión transitoria de ~100 a 150 bps en margen bruto durante la temporada alta.</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Contratos de volumen cerrado con navieras y adelanto de despachos estacionales.</w:t>
            </w:r>
          </w:p>
        </w:tc>
      </w:tr>
      <w:tr>
        <w:tc>
          <w:tcPr>
            <w:tcW w:type="dxa" w:w="2448"/>
            <w:shd w:fill="F7FAFC"/>
            <w:tcMar>
              <w:top w:w="80" w:type="dxa"/>
              <w:bottom w:w="80" w:type="dxa"/>
              <w:left w:w="120" w:type="dxa"/>
              <w:right w:w="120" w:type="dxa"/>
            </w:tcMar>
          </w:tcPr>
          <w:p>
            <w:pPr>
              <w:spacing w:before="0" w:after="0"/>
              <w:jc w:val="left"/>
            </w:pPr>
            <w:r>
              <w:rPr>
                <w:rFonts w:ascii="Calibri" w:hAnsi="Calibri"/>
                <w:color w:val="2D3748"/>
                <w:sz w:val="18"/>
              </w:rPr>
              <w:t>Normalización del Consumo en EE.UU.</w:t>
            </w:r>
          </w:p>
        </w:tc>
        <w:tc>
          <w:tcPr>
            <w:tcW w:type="dxa" w:w="3024"/>
            <w:shd w:fill="F7FAFC"/>
            <w:tcMar>
              <w:top w:w="80" w:type="dxa"/>
              <w:bottom w:w="80" w:type="dxa"/>
              <w:left w:w="120" w:type="dxa"/>
              <w:right w:w="120" w:type="dxa"/>
            </w:tcMar>
          </w:tcPr>
          <w:p>
            <w:pPr>
              <w:spacing w:before="0" w:after="0"/>
              <w:jc w:val="left"/>
            </w:pPr>
            <w:r>
              <w:rPr>
                <w:rFonts w:ascii="Calibri" w:hAnsi="Calibri"/>
                <w:color w:val="2D3748"/>
                <w:sz w:val="18"/>
              </w:rPr>
              <w:t>"El consumidor norteamericano mantiene cautela en gasto discrecional, buscando valor y autenticidad."</w:t>
            </w:r>
          </w:p>
        </w:tc>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Crecimiento más moderado en el canal doméstico frente a años récord previos.</w:t>
            </w:r>
          </w:p>
        </w:tc>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Foco en siluetas técnicas de alto valor percibido e impulso del canal DTC.</w:t>
            </w:r>
          </w:p>
        </w:tc>
      </w:tr>
      <w:tr>
        <w:tc>
          <w:tcPr>
            <w:tcW w:type="dxa" w:w="2448"/>
            <w:shd w:fill="FFFFFF"/>
            <w:tcMar>
              <w:top w:w="80" w:type="dxa"/>
              <w:bottom w:w="80" w:type="dxa"/>
              <w:left w:w="120" w:type="dxa"/>
              <w:right w:w="120" w:type="dxa"/>
            </w:tcMar>
          </w:tcPr>
          <w:p>
            <w:pPr>
              <w:spacing w:before="0" w:after="0"/>
              <w:jc w:val="left"/>
            </w:pPr>
            <w:r>
              <w:rPr>
                <w:rFonts w:ascii="Calibri" w:hAnsi="Calibri"/>
                <w:color w:val="2D3748"/>
                <w:sz w:val="18"/>
              </w:rPr>
              <w:t>Estacionalidad y Climatología en UGG</w:t>
            </w:r>
          </w:p>
        </w:tc>
        <w:tc>
          <w:tcPr>
            <w:tcW w:type="dxa" w:w="3024"/>
            <w:shd w:fill="FFFFFF"/>
            <w:tcMar>
              <w:top w:w="80" w:type="dxa"/>
              <w:bottom w:w="80" w:type="dxa"/>
              <w:left w:w="120" w:type="dxa"/>
              <w:right w:w="120" w:type="dxa"/>
            </w:tcMar>
          </w:tcPr>
          <w:p>
            <w:pPr>
              <w:spacing w:before="0" w:after="0"/>
              <w:jc w:val="left"/>
            </w:pPr>
            <w:r>
              <w:rPr>
                <w:rFonts w:ascii="Calibri" w:hAnsi="Calibri"/>
                <w:color w:val="2D3748"/>
                <w:sz w:val="18"/>
              </w:rPr>
              <w:t>"El desempeño de UGG en Q3 dependerá como siempre de las condiciones climáticas del invierno temprano."</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Variabilidad en pedidos de reposición minorista durante la temporada navideña.</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Desestacionalización activa mediante sandalias, calzado híbrido Tasman y ropa casual.</w:t>
            </w:r>
          </w:p>
        </w:tc>
      </w:tr>
      <w:tr>
        <w:tc>
          <w:tcPr>
            <w:tcW w:type="dxa" w:w="2448"/>
            <w:shd w:fill="F7FAFC"/>
            <w:tcMar>
              <w:top w:w="80" w:type="dxa"/>
              <w:bottom w:w="80" w:type="dxa"/>
              <w:left w:w="120" w:type="dxa"/>
              <w:right w:w="120" w:type="dxa"/>
            </w:tcMar>
          </w:tcPr>
          <w:p>
            <w:pPr>
              <w:spacing w:before="0" w:after="0"/>
              <w:jc w:val="left"/>
            </w:pPr>
            <w:r>
              <w:rPr>
                <w:rFonts w:ascii="Calibri" w:hAnsi="Calibri"/>
                <w:color w:val="2D3748"/>
                <w:sz w:val="18"/>
              </w:rPr>
              <w:t>Riesgo Cambiario Internacional (FX)</w:t>
            </w:r>
          </w:p>
        </w:tc>
        <w:tc>
          <w:tcPr>
            <w:tcW w:type="dxa" w:w="3024"/>
            <w:shd w:fill="F7FAFC"/>
            <w:tcMar>
              <w:top w:w="80" w:type="dxa"/>
              <w:bottom w:w="80" w:type="dxa"/>
              <w:left w:w="120" w:type="dxa"/>
              <w:right w:w="120" w:type="dxa"/>
            </w:tcMar>
          </w:tcPr>
          <w:p>
            <w:pPr>
              <w:spacing w:before="0" w:after="0"/>
              <w:jc w:val="left"/>
            </w:pPr>
            <w:r>
              <w:rPr>
                <w:rFonts w:ascii="Calibri" w:hAnsi="Calibri"/>
                <w:color w:val="2D3748"/>
                <w:sz w:val="18"/>
              </w:rPr>
              <w:t>"La fortaleza del dólar estadounidense genera vientos en contra en conversiones de divisas en Europa y Japón."</w:t>
            </w:r>
          </w:p>
        </w:tc>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Impacto adverso de aproximadamente -150 bps en el crecimiento reportado internacional.</w:t>
            </w:r>
          </w:p>
        </w:tc>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Coberturas cambiarias y fijación dinámica de precios en monedas locales.</w:t>
            </w:r>
          </w:p>
        </w:tc>
      </w:tr>
    </w:tbl>
    <w:p>
      <w:pPr>
        <w:spacing w:after="120"/>
      </w:pPr>
    </w:p>
    <w:p>
      <w:pPr>
        <w:keepNext/>
        <w:spacing w:before="200" w:after="80"/>
      </w:pPr>
      <w:r>
        <w:rPr>
          <w:rFonts w:ascii="Calibri" w:hAnsi="Calibri"/>
          <w:b/>
          <w:color w:val="4A5568"/>
          <w:sz w:val="22"/>
        </w:rPr>
        <w:t>4. Desglose Exhaustivo de Preguntas y Respuestas (Q&amp;A con Wall Street):</w:t>
      </w:r>
    </w:p>
    <w:p>
      <w:pPr>
        <w:spacing w:before="40" w:after="80" w:line="276" w:lineRule="auto"/>
      </w:pPr>
      <w:r>
        <w:rPr>
          <w:rFonts w:ascii="Calibri" w:hAnsi="Calibri"/>
          <w:i w:val="0"/>
          <w:color w:val="2D3748"/>
          <w:sz w:val="20"/>
        </w:rPr>
        <w:t>Se presenta la transcripción y auditoría integral de las principales firmas de inversión de Wall Street con sus preguntas y respuestas directivas:</w:t>
      </w:r>
    </w:p>
    <w:p>
      <w:pPr>
        <w:keepNext/>
        <w:spacing w:before="200" w:after="80"/>
      </w:pPr>
      <w:r>
        <w:rPr>
          <w:rFonts w:ascii="Calibri" w:hAnsi="Calibri"/>
          <w:b/>
          <w:color w:val="4A5568"/>
          <w:sz w:val="22"/>
        </w:rPr>
        <w:t>1. UBS Securities — Jay Sole</w:t>
      </w:r>
    </w:p>
    <w:p>
      <w:pPr>
        <w:spacing w:before="40" w:after="80" w:line="276" w:lineRule="auto"/>
      </w:pPr>
      <w:r>
        <w:rPr>
          <w:rFonts w:ascii="Calibri" w:hAnsi="Calibri"/>
          <w:b/>
          <w:color w:val="2D3748"/>
          <w:sz w:val="20"/>
        </w:rPr>
        <w:t xml:space="preserve">• Pregunta 1 (Sostenibilidad del Crecimiento de HOKA y Capacidad de Canales): </w:t>
      </w:r>
      <w:r>
        <w:rPr>
          <w:rFonts w:ascii="Calibri" w:hAnsi="Calibri"/>
          <w:i w:val="0"/>
          <w:color w:val="2D3748"/>
          <w:sz w:val="20"/>
        </w:rPr>
        <w:t>¿Hasta qué punto el crecimiento de casi el 30% en HOKA responde a aperturas de nuevas puertas mayoristas frente al aumento de la velocidad de venta por puerta existente?</w:t>
      </w:r>
    </w:p>
    <w:p>
      <w:pPr>
        <w:spacing w:before="40" w:after="80" w:line="276" w:lineRule="auto"/>
      </w:pPr>
      <w:r>
        <w:rPr>
          <w:rFonts w:ascii="Calibri" w:hAnsi="Calibri"/>
          <w:b/>
          <w:color w:val="2D3748"/>
          <w:sz w:val="20"/>
        </w:rPr>
        <w:t xml:space="preserve">• Respuesta (Stefano Caroti y Steven Fasching): </w:t>
      </w:r>
      <w:r>
        <w:rPr>
          <w:rFonts w:ascii="Calibri" w:hAnsi="Calibri"/>
          <w:i w:val="0"/>
          <w:color w:val="2D3748"/>
          <w:sz w:val="20"/>
        </w:rPr>
        <w:t>Caroti enfatizó que la mayor parte del crecimiento proviene de la aceleración de la rotación en las puertas existentes (same-door sell-through) y no de una expansión descontrolada. 'Somos muy disciplinados con la distribución; preferimos que falte producto en el lineal a saturar el canal'. Fasching complementó que el canal DTC creció a la par, validando la demanda orgánica final.</w:t>
      </w:r>
    </w:p>
    <w:p>
      <w:pPr>
        <w:spacing w:before="40" w:after="80" w:line="276" w:lineRule="auto"/>
      </w:pPr>
      <w:r>
        <w:rPr>
          <w:rFonts w:ascii="Calibri" w:hAnsi="Calibri"/>
          <w:b/>
          <w:color w:val="2D3748"/>
          <w:sz w:val="20"/>
        </w:rPr>
        <w:t xml:space="preserve">• Pregunta 2 (Mix de Producto y Franquicias Más Allá de Clifton y Bondi): </w:t>
      </w:r>
      <w:r>
        <w:rPr>
          <w:rFonts w:ascii="Calibri" w:hAnsi="Calibri"/>
          <w:i w:val="0"/>
          <w:color w:val="2D3748"/>
          <w:sz w:val="20"/>
        </w:rPr>
        <w:t>¿Cómo están respondiendo los consumidores a franquicias de reciente introducción como Mach, Skyward y modelos de trail?</w:t>
      </w:r>
    </w:p>
    <w:p>
      <w:pPr>
        <w:spacing w:before="40" w:after="80" w:line="276" w:lineRule="auto"/>
      </w:pPr>
      <w:r>
        <w:rPr>
          <w:rFonts w:ascii="Calibri" w:hAnsi="Calibri"/>
          <w:b/>
          <w:color w:val="2D3748"/>
          <w:sz w:val="20"/>
        </w:rPr>
        <w:t xml:space="preserve">• Respuesta (Stefano Caroti): </w:t>
      </w:r>
      <w:r>
        <w:rPr>
          <w:rFonts w:ascii="Calibri" w:hAnsi="Calibri"/>
          <w:i w:val="0"/>
          <w:color w:val="2D3748"/>
          <w:sz w:val="20"/>
        </w:rPr>
        <w:t>Destacó que el pipeline de innovación está rindiendo al máximo: franquicias como Mach y transport están captando usuarios urbanos más jóvenes, mientras que la línea de trail creció a doble dígito alto en Europa y Japón.</w:t>
      </w:r>
    </w:p>
    <w:p>
      <w:pPr>
        <w:spacing w:before="40" w:after="80" w:line="276" w:lineRule="auto"/>
      </w:pPr>
      <w:r>
        <w:rPr>
          <w:rFonts w:ascii="Calibri" w:hAnsi="Calibri"/>
          <w:b/>
          <w:color w:val="2D3748"/>
          <w:sz w:val="20"/>
        </w:rPr>
        <w:t xml:space="preserve">• Diagnóstico Fundamental: </w:t>
      </w:r>
      <w:r>
        <w:rPr>
          <w:rFonts w:ascii="Calibri" w:hAnsi="Calibri"/>
          <w:i w:val="0"/>
          <w:color w:val="2D3748"/>
          <w:sz w:val="20"/>
        </w:rPr>
        <w:t>Crecimiento orgánico de alta calidad; el foso defensivo de HOKA se expande más allá de sus dos modelos insignia originales.</w:t>
      </w:r>
    </w:p>
    <w:p>
      <w:pPr>
        <w:keepNext/>
        <w:spacing w:before="200" w:after="80"/>
      </w:pPr>
      <w:r>
        <w:rPr>
          <w:rFonts w:ascii="Calibri" w:hAnsi="Calibri"/>
          <w:b/>
          <w:color w:val="4A5568"/>
          <w:sz w:val="22"/>
        </w:rPr>
        <w:t>2. Barclays Capital — Adrienne Yih</w:t>
      </w:r>
    </w:p>
    <w:p>
      <w:pPr>
        <w:spacing w:before="40" w:after="80" w:line="276" w:lineRule="auto"/>
      </w:pPr>
      <w:r>
        <w:rPr>
          <w:rFonts w:ascii="Calibri" w:hAnsi="Calibri"/>
          <w:b/>
          <w:color w:val="2D3748"/>
          <w:sz w:val="20"/>
        </w:rPr>
        <w:t xml:space="preserve">• Pregunta 1 (Impacto de Costes de Flete Marítimo en el Margen Bruto): </w:t>
      </w:r>
      <w:r>
        <w:rPr>
          <w:rFonts w:ascii="Calibri" w:hAnsi="Calibri"/>
          <w:i w:val="0"/>
          <w:color w:val="2D3748"/>
          <w:sz w:val="20"/>
        </w:rPr>
        <w:t>Dado el repunte en tarifas de contenedores marítimos por las rutas de Suez y el Cabo de Buena Esperanza, ¿cuánto de este sobrecoste está contemplado en el guidance de margen para FY27?</w:t>
      </w:r>
    </w:p>
    <w:p>
      <w:pPr>
        <w:spacing w:before="40" w:after="80" w:line="276" w:lineRule="auto"/>
      </w:pPr>
      <w:r>
        <w:rPr>
          <w:rFonts w:ascii="Calibri" w:hAnsi="Calibri"/>
          <w:b/>
          <w:color w:val="2D3748"/>
          <w:sz w:val="20"/>
        </w:rPr>
        <w:t xml:space="preserve">• Respuesta (Steven Fasching): </w:t>
      </w:r>
      <w:r>
        <w:rPr>
          <w:rFonts w:ascii="Calibri" w:hAnsi="Calibri"/>
          <w:i w:val="0"/>
          <w:color w:val="2D3748"/>
          <w:sz w:val="20"/>
        </w:rPr>
        <w:t>Fasching detalló que el guidance incorpora plenamente un impacto adverso de flete marítimo de ~100 bps en la segunda mitad del año. No obstante, este impacto será compensado por el apalancamiento en gastos operativos y la venta sostenida a precio completo sin rebajas promocionales.</w:t>
      </w:r>
    </w:p>
    <w:p>
      <w:pPr>
        <w:spacing w:before="40" w:after="80" w:line="276" w:lineRule="auto"/>
      </w:pPr>
      <w:r>
        <w:rPr>
          <w:rFonts w:ascii="Calibri" w:hAnsi="Calibri"/>
          <w:b/>
          <w:color w:val="2D3748"/>
          <w:sz w:val="20"/>
        </w:rPr>
        <w:t xml:space="preserve">• Pregunta 2 (Estrategia de Precios en UGG de Cara al Otoño): </w:t>
      </w:r>
      <w:r>
        <w:rPr>
          <w:rFonts w:ascii="Calibri" w:hAnsi="Calibri"/>
          <w:i w:val="0"/>
          <w:color w:val="2D3748"/>
          <w:sz w:val="20"/>
        </w:rPr>
        <w:t>¿Habrá incrementos selectivos de precios en las siluetas principales de UGG (Tasman, Ultra Mini) para proteger márgenes?</w:t>
      </w:r>
    </w:p>
    <w:p>
      <w:pPr>
        <w:spacing w:before="40" w:after="80" w:line="276" w:lineRule="auto"/>
      </w:pPr>
      <w:r>
        <w:rPr>
          <w:rFonts w:ascii="Calibri" w:hAnsi="Calibri"/>
          <w:b/>
          <w:color w:val="2D3748"/>
          <w:sz w:val="20"/>
        </w:rPr>
        <w:t xml:space="preserve">• Respuesta (Stefano Caroti): </w:t>
      </w:r>
      <w:r>
        <w:rPr>
          <w:rFonts w:ascii="Calibri" w:hAnsi="Calibri"/>
          <w:i w:val="0"/>
          <w:color w:val="2D3748"/>
          <w:sz w:val="20"/>
        </w:rPr>
        <w:t>Confirmó que Deckers aplicó incrementos moderados de precios en estilos seleccionados donde la elasticidad de demanda es mínima, sin percibir rechazo alguno por parte del consumidor.</w:t>
      </w:r>
    </w:p>
    <w:p>
      <w:pPr>
        <w:spacing w:before="40" w:after="80" w:line="276" w:lineRule="auto"/>
      </w:pPr>
      <w:r>
        <w:rPr>
          <w:rFonts w:ascii="Calibri" w:hAnsi="Calibri"/>
          <w:b/>
          <w:color w:val="2D3748"/>
          <w:sz w:val="20"/>
        </w:rPr>
        <w:t xml:space="preserve">• Diagnóstico Fundamental: </w:t>
      </w:r>
      <w:r>
        <w:rPr>
          <w:rFonts w:ascii="Calibri" w:hAnsi="Calibri"/>
          <w:i w:val="0"/>
          <w:color w:val="2D3748"/>
          <w:sz w:val="20"/>
        </w:rPr>
        <w:t>Elevado poder de fijación de precios (pricing power) respaldado por la deseabilidad icónica de la marca UGG.</w:t>
      </w:r>
    </w:p>
    <w:p>
      <w:pPr>
        <w:keepNext/>
        <w:spacing w:before="200" w:after="80"/>
      </w:pPr>
      <w:r>
        <w:rPr>
          <w:rFonts w:ascii="Calibri" w:hAnsi="Calibri"/>
          <w:b/>
          <w:color w:val="4A5568"/>
          <w:sz w:val="22"/>
        </w:rPr>
        <w:t>3. BNP Paribas — Laurent Vasilescu</w:t>
      </w:r>
    </w:p>
    <w:p>
      <w:pPr>
        <w:spacing w:before="40" w:after="80" w:line="276" w:lineRule="auto"/>
      </w:pPr>
      <w:r>
        <w:rPr>
          <w:rFonts w:ascii="Calibri" w:hAnsi="Calibri"/>
          <w:b/>
          <w:color w:val="2D3748"/>
          <w:sz w:val="20"/>
        </w:rPr>
        <w:t xml:space="preserve">• Pregunta 1 (Salud del Inventario en el Canal Mayorista): </w:t>
      </w:r>
      <w:r>
        <w:rPr>
          <w:rFonts w:ascii="Calibri" w:hAnsi="Calibri"/>
          <w:i w:val="0"/>
          <w:color w:val="2D3748"/>
          <w:sz w:val="20"/>
        </w:rPr>
        <w:t>¿Cómo calificaría la directiva la limpieza del inventario de HOKA y UGG en los almacenes de los socios mayoristas?</w:t>
      </w:r>
    </w:p>
    <w:p>
      <w:pPr>
        <w:spacing w:before="40" w:after="80" w:line="276" w:lineRule="auto"/>
      </w:pPr>
      <w:r>
        <w:rPr>
          <w:rFonts w:ascii="Calibri" w:hAnsi="Calibri"/>
          <w:b/>
          <w:color w:val="2D3748"/>
          <w:sz w:val="20"/>
        </w:rPr>
        <w:t xml:space="preserve">• Respuesta (Steven Fasching): </w:t>
      </w:r>
      <w:r>
        <w:rPr>
          <w:rFonts w:ascii="Calibri" w:hAnsi="Calibri"/>
          <w:i w:val="0"/>
          <w:color w:val="2D3748"/>
          <w:sz w:val="20"/>
        </w:rPr>
        <w:t>Fasching afirmó categóricamente que los inventarios en el canal wholesale se encuentran en 'niveles excepcionalmente limpios y saludables'. Las semanas de suministro en minoristas clave están por debajo del promedio histórico.</w:t>
      </w:r>
    </w:p>
    <w:p>
      <w:pPr>
        <w:spacing w:before="40" w:after="80" w:line="276" w:lineRule="auto"/>
      </w:pPr>
      <w:r>
        <w:rPr>
          <w:rFonts w:ascii="Calibri" w:hAnsi="Calibri"/>
          <w:b/>
          <w:color w:val="2D3748"/>
          <w:sz w:val="20"/>
        </w:rPr>
        <w:t xml:space="preserve">• Pregunta 2 (Expansión de HOKA en Tiendas de Ropa Deportiva General): </w:t>
      </w:r>
      <w:r>
        <w:rPr>
          <w:rFonts w:ascii="Calibri" w:hAnsi="Calibri"/>
          <w:i w:val="0"/>
          <w:color w:val="2D3748"/>
          <w:sz w:val="20"/>
        </w:rPr>
        <w:t>¿Se prevé una mayor presencia en cadenas como Foot Locker o JD Sports a nivel global?</w:t>
      </w:r>
    </w:p>
    <w:p>
      <w:pPr>
        <w:spacing w:before="40" w:after="80" w:line="276" w:lineRule="auto"/>
      </w:pPr>
      <w:r>
        <w:rPr>
          <w:rFonts w:ascii="Calibri" w:hAnsi="Calibri"/>
          <w:b/>
          <w:color w:val="2D3748"/>
          <w:sz w:val="20"/>
        </w:rPr>
        <w:t xml:space="preserve">• Respuesta (Stefano Caroti): </w:t>
      </w:r>
      <w:r>
        <w:rPr>
          <w:rFonts w:ascii="Calibri" w:hAnsi="Calibri"/>
          <w:i w:val="0"/>
          <w:color w:val="2D3748"/>
          <w:sz w:val="20"/>
        </w:rPr>
        <w:t>Aclaró que la presencia se ampliará de forma altamente selectiva y controlada para proteger el posicionamiento premium y no diluir el aura técnica de la marca.</w:t>
      </w:r>
    </w:p>
    <w:p>
      <w:pPr>
        <w:spacing w:before="40" w:after="80" w:line="276" w:lineRule="auto"/>
      </w:pPr>
      <w:r>
        <w:rPr>
          <w:rFonts w:ascii="Calibri" w:hAnsi="Calibri"/>
          <w:b/>
          <w:color w:val="2D3748"/>
          <w:sz w:val="20"/>
        </w:rPr>
        <w:t xml:space="preserve">• Diagnóstico Fundamental: </w:t>
      </w:r>
      <w:r>
        <w:rPr>
          <w:rFonts w:ascii="Calibri" w:hAnsi="Calibri"/>
          <w:i w:val="0"/>
          <w:color w:val="2D3748"/>
          <w:sz w:val="20"/>
        </w:rPr>
        <w:t>Riesgo de sobre-stocking prácticamente nulo; protección absoluta de la integridad de la marca.</w:t>
      </w:r>
    </w:p>
    <w:p>
      <w:pPr>
        <w:keepNext/>
        <w:spacing w:before="200" w:after="80"/>
      </w:pPr>
      <w:r>
        <w:rPr>
          <w:rFonts w:ascii="Calibri" w:hAnsi="Calibri"/>
          <w:b/>
          <w:color w:val="4A5568"/>
          <w:sz w:val="22"/>
        </w:rPr>
        <w:t>4. Citigroup — Paul Lejuez</w:t>
      </w:r>
    </w:p>
    <w:p>
      <w:pPr>
        <w:spacing w:before="40" w:after="80" w:line="276" w:lineRule="auto"/>
      </w:pPr>
      <w:r>
        <w:rPr>
          <w:rFonts w:ascii="Calibri" w:hAnsi="Calibri"/>
          <w:b/>
          <w:color w:val="2D3748"/>
          <w:sz w:val="20"/>
        </w:rPr>
        <w:t xml:space="preserve">• Pregunta 1 (Dinámica Geográfica en Europa y Asia-Pacífico): </w:t>
      </w:r>
      <w:r>
        <w:rPr>
          <w:rFonts w:ascii="Calibri" w:hAnsi="Calibri"/>
          <w:i w:val="0"/>
          <w:color w:val="2D3748"/>
          <w:sz w:val="20"/>
        </w:rPr>
        <w:t>¿Qué países específicos están liderando la aceleración internacional de HOKA y qué potencial de penetración resta?</w:t>
      </w:r>
    </w:p>
    <w:p>
      <w:pPr>
        <w:spacing w:before="40" w:after="80" w:line="276" w:lineRule="auto"/>
      </w:pPr>
      <w:r>
        <w:rPr>
          <w:rFonts w:ascii="Calibri" w:hAnsi="Calibri"/>
          <w:b/>
          <w:color w:val="2D3748"/>
          <w:sz w:val="20"/>
        </w:rPr>
        <w:t xml:space="preserve">• Respuesta (Stefano Caroti): </w:t>
      </w:r>
      <w:r>
        <w:rPr>
          <w:rFonts w:ascii="Calibri" w:hAnsi="Calibri"/>
          <w:i w:val="0"/>
          <w:color w:val="2D3748"/>
          <w:sz w:val="20"/>
        </w:rPr>
        <w:t>Caroti señaló que Francia, Reino Unido, Alemania y Japón registraron crecimientos superiores al 40%. En China continental, la tracción en ciudades de primer y segundo nivel superó las expectativas más optimistas gracias a la cultura emergente de running urbano.</w:t>
      </w:r>
    </w:p>
    <w:p>
      <w:pPr>
        <w:spacing w:before="40" w:after="80" w:line="276" w:lineRule="auto"/>
      </w:pPr>
      <w:r>
        <w:rPr>
          <w:rFonts w:ascii="Calibri" w:hAnsi="Calibri"/>
          <w:b/>
          <w:color w:val="2D3748"/>
          <w:sz w:val="20"/>
        </w:rPr>
        <w:t xml:space="preserve">• Pregunta 2 (Desempeño de Tiendas Minoristas Propias - DTC Retail): </w:t>
      </w:r>
      <w:r>
        <w:rPr>
          <w:rFonts w:ascii="Calibri" w:hAnsi="Calibri"/>
          <w:i w:val="0"/>
          <w:color w:val="2D3748"/>
          <w:sz w:val="20"/>
        </w:rPr>
        <w:t>¿Cuál es la rentabilidad de las tiendas concepto de HOKA abiertas en París y Tokio?</w:t>
      </w:r>
    </w:p>
    <w:p>
      <w:pPr>
        <w:spacing w:before="40" w:after="80" w:line="276" w:lineRule="auto"/>
      </w:pPr>
      <w:r>
        <w:rPr>
          <w:rFonts w:ascii="Calibri" w:hAnsi="Calibri"/>
          <w:b/>
          <w:color w:val="2D3748"/>
          <w:sz w:val="20"/>
        </w:rPr>
        <w:t xml:space="preserve">• Respuesta (Steven Fasching): </w:t>
      </w:r>
      <w:r>
        <w:rPr>
          <w:rFonts w:ascii="Calibri" w:hAnsi="Calibri"/>
          <w:i w:val="0"/>
          <w:color w:val="2D3748"/>
          <w:sz w:val="20"/>
        </w:rPr>
        <w:t>Confirmó que la productividad por metro cuadrado de las nuevas tiendas supera con creces el umbral de retorno sobre capital exigido (payback &lt; 18 meses), actuando como vallas publicitarias vivientes altamente rentables.</w:t>
      </w:r>
    </w:p>
    <w:p>
      <w:pPr>
        <w:spacing w:before="40" w:after="80" w:line="276" w:lineRule="auto"/>
      </w:pPr>
      <w:r>
        <w:rPr>
          <w:rFonts w:ascii="Calibri" w:hAnsi="Calibri"/>
          <w:b/>
          <w:color w:val="2D3748"/>
          <w:sz w:val="20"/>
        </w:rPr>
        <w:t xml:space="preserve">• Diagnóstico Fundamental: </w:t>
      </w:r>
      <w:r>
        <w:rPr>
          <w:rFonts w:ascii="Calibri" w:hAnsi="Calibri"/>
          <w:i w:val="0"/>
          <w:color w:val="2D3748"/>
          <w:sz w:val="20"/>
        </w:rPr>
        <w:t>La internacionalización de HOKA se encuentra en etapas tempranas, ofreciendo una pista de despegue (runway) de crecimiento multianual.</w:t>
      </w:r>
    </w:p>
    <w:p>
      <w:pPr>
        <w:keepNext/>
        <w:spacing w:before="200" w:after="80"/>
      </w:pPr>
      <w:r>
        <w:rPr>
          <w:rFonts w:ascii="Calibri" w:hAnsi="Calibri"/>
          <w:b/>
          <w:color w:val="4A5568"/>
          <w:sz w:val="22"/>
        </w:rPr>
        <w:t>5. Jefferies — Blake Anderson</w:t>
      </w:r>
    </w:p>
    <w:p>
      <w:pPr>
        <w:spacing w:before="40" w:after="80" w:line="276" w:lineRule="auto"/>
      </w:pPr>
      <w:r>
        <w:rPr>
          <w:rFonts w:ascii="Calibri" w:hAnsi="Calibri"/>
          <w:b/>
          <w:color w:val="2D3748"/>
          <w:sz w:val="20"/>
        </w:rPr>
        <w:t xml:space="preserve">• Pregunta 1 (Elasticidad del Consumidor en Gama Alta): </w:t>
      </w:r>
      <w:r>
        <w:rPr>
          <w:rFonts w:ascii="Calibri" w:hAnsi="Calibri"/>
          <w:i w:val="0"/>
          <w:color w:val="2D3748"/>
          <w:sz w:val="20"/>
        </w:rPr>
        <w:t>¿Se ha observado alguna migración de clientes hacia marcas más económicas dentro de los estantes de calzado para correr?</w:t>
      </w:r>
    </w:p>
    <w:p>
      <w:pPr>
        <w:spacing w:before="40" w:after="80" w:line="276" w:lineRule="auto"/>
      </w:pPr>
      <w:r>
        <w:rPr>
          <w:rFonts w:ascii="Calibri" w:hAnsi="Calibri"/>
          <w:b/>
          <w:color w:val="2D3748"/>
          <w:sz w:val="20"/>
        </w:rPr>
        <w:t xml:space="preserve">• Respuesta (Stefano Caroti): </w:t>
      </w:r>
      <w:r>
        <w:rPr>
          <w:rFonts w:ascii="Calibri" w:hAnsi="Calibri"/>
          <w:i w:val="0"/>
          <w:color w:val="2D3748"/>
          <w:sz w:val="20"/>
        </w:rPr>
        <w:t>Reiteró que en calzado técnico de $140 a $200+, el cliente busca rendimiento, biomecánica y prevención de lesiones, no gangas. 'El cliente que prueba HOKA rara vez regresa a marcas estándar; la tasa de retención es de las más altas del sector'.</w:t>
      </w:r>
    </w:p>
    <w:p>
      <w:pPr>
        <w:spacing w:before="40" w:after="80" w:line="276" w:lineRule="auto"/>
      </w:pPr>
      <w:r>
        <w:rPr>
          <w:rFonts w:ascii="Calibri" w:hAnsi="Calibri"/>
          <w:b/>
          <w:color w:val="2D3748"/>
          <w:sz w:val="20"/>
        </w:rPr>
        <w:t xml:space="preserve">• Pregunta 2 (Evolución de SG&amp;A y Productividad del Marketing): </w:t>
      </w:r>
      <w:r>
        <w:rPr>
          <w:rFonts w:ascii="Calibri" w:hAnsi="Calibri"/>
          <w:i w:val="0"/>
          <w:color w:val="2D3748"/>
          <w:sz w:val="20"/>
        </w:rPr>
        <w:t>¿Aumentará la intensidad del gasto de patrocinio y publicidad en la segunda mitad de FY27?</w:t>
      </w:r>
    </w:p>
    <w:p>
      <w:pPr>
        <w:spacing w:before="40" w:after="80" w:line="276" w:lineRule="auto"/>
      </w:pPr>
      <w:r>
        <w:rPr>
          <w:rFonts w:ascii="Calibri" w:hAnsi="Calibri"/>
          <w:b/>
          <w:color w:val="2D3748"/>
          <w:sz w:val="20"/>
        </w:rPr>
        <w:t xml:space="preserve">• Respuesta (Steven Fasching): </w:t>
      </w:r>
      <w:r>
        <w:rPr>
          <w:rFonts w:ascii="Calibri" w:hAnsi="Calibri"/>
          <w:i w:val="0"/>
          <w:color w:val="2D3748"/>
          <w:sz w:val="20"/>
        </w:rPr>
        <w:t>El gasto de marketing se mantendrá estable entre el 10% y 11% de las ventas, focalizado en activación de eventos atléticos mundiales y campañas digitales de alto retorno.</w:t>
      </w:r>
    </w:p>
    <w:p>
      <w:pPr>
        <w:spacing w:before="40" w:after="80" w:line="276" w:lineRule="auto"/>
      </w:pPr>
      <w:r>
        <w:rPr>
          <w:rFonts w:ascii="Calibri" w:hAnsi="Calibri"/>
          <w:b/>
          <w:color w:val="2D3748"/>
          <w:sz w:val="20"/>
        </w:rPr>
        <w:t xml:space="preserve">• Diagnóstico Fundamental: </w:t>
      </w:r>
      <w:r>
        <w:rPr>
          <w:rFonts w:ascii="Calibri" w:hAnsi="Calibri"/>
          <w:i w:val="0"/>
          <w:color w:val="2D3748"/>
          <w:sz w:val="20"/>
        </w:rPr>
        <w:t>Alta fidelidad del consumidor y eficiencia del gasto de marketing que apuntalan los márgenes operativos.</w:t>
      </w:r>
    </w:p>
    <w:p>
      <w:pPr>
        <w:keepNext/>
        <w:spacing w:before="200" w:after="80"/>
      </w:pPr>
      <w:r>
        <w:rPr>
          <w:rFonts w:ascii="Calibri" w:hAnsi="Calibri"/>
          <w:b/>
          <w:color w:val="4A5568"/>
          <w:sz w:val="22"/>
        </w:rPr>
        <w:t>6. Stifel — Peter McGoldrick</w:t>
      </w:r>
    </w:p>
    <w:p>
      <w:pPr>
        <w:spacing w:before="40" w:after="80" w:line="276" w:lineRule="auto"/>
      </w:pPr>
      <w:r>
        <w:rPr>
          <w:rFonts w:ascii="Calibri" w:hAnsi="Calibri"/>
          <w:b/>
          <w:color w:val="2D3748"/>
          <w:sz w:val="20"/>
        </w:rPr>
        <w:t xml:space="preserve">• Pregunta 1 (Cuota de Mercado Ganada a Competidores Históricos): </w:t>
      </w:r>
      <w:r>
        <w:rPr>
          <w:rFonts w:ascii="Calibri" w:hAnsi="Calibri"/>
          <w:i w:val="0"/>
          <w:color w:val="2D3748"/>
          <w:sz w:val="20"/>
        </w:rPr>
        <w:t>¿De qué marcas proviene principalmente el consumidor que compra HOKA por primera vez?</w:t>
      </w:r>
    </w:p>
    <w:p>
      <w:pPr>
        <w:spacing w:before="40" w:after="80" w:line="276" w:lineRule="auto"/>
      </w:pPr>
      <w:r>
        <w:rPr>
          <w:rFonts w:ascii="Calibri" w:hAnsi="Calibri"/>
          <w:b/>
          <w:color w:val="2D3748"/>
          <w:sz w:val="20"/>
        </w:rPr>
        <w:t xml:space="preserve">• Respuesta (Stefano Caroti): </w:t>
      </w:r>
      <w:r>
        <w:rPr>
          <w:rFonts w:ascii="Calibri" w:hAnsi="Calibri"/>
          <w:i w:val="0"/>
          <w:color w:val="2D3748"/>
          <w:sz w:val="20"/>
        </w:rPr>
        <w:t>Caroti explicó que los estudios de marca muestran captación transversal tanto de gigantes multinacionales tradicionales como de marcas de amortiguación convencional, debido a la ligereza superior de la espuma y estabilidad de la suela de HOKA.</w:t>
      </w:r>
    </w:p>
    <w:p>
      <w:pPr>
        <w:spacing w:before="40" w:after="80" w:line="276" w:lineRule="auto"/>
      </w:pPr>
      <w:r>
        <w:rPr>
          <w:rFonts w:ascii="Calibri" w:hAnsi="Calibri"/>
          <w:b/>
          <w:color w:val="2D3748"/>
          <w:sz w:val="20"/>
        </w:rPr>
        <w:t xml:space="preserve">• Pregunta 2 (Avances en Indumentaria y Accesorios de HOKA): </w:t>
      </w:r>
      <w:r>
        <w:rPr>
          <w:rFonts w:ascii="Calibri" w:hAnsi="Calibri"/>
          <w:i w:val="0"/>
          <w:color w:val="2D3748"/>
          <w:sz w:val="20"/>
        </w:rPr>
        <w:t>¿Qué porcentaje de ventas representa el textil y cuándo alcanzará una escala material?</w:t>
      </w:r>
    </w:p>
    <w:p>
      <w:pPr>
        <w:spacing w:before="40" w:after="80" w:line="276" w:lineRule="auto"/>
      </w:pPr>
      <w:r>
        <w:rPr>
          <w:rFonts w:ascii="Calibri" w:hAnsi="Calibri"/>
          <w:b/>
          <w:color w:val="2D3748"/>
          <w:sz w:val="20"/>
        </w:rPr>
        <w:t xml:space="preserve">• Respuesta (Stefano Caroti): </w:t>
      </w:r>
      <w:r>
        <w:rPr>
          <w:rFonts w:ascii="Calibri" w:hAnsi="Calibri"/>
          <w:i w:val="0"/>
          <w:color w:val="2D3748"/>
          <w:sz w:val="20"/>
        </w:rPr>
        <w:t>El textil sigue siendo una oportunidad incipiente (~3% de ventas), pero se está reforzando el equipo de diseño para convertirlo en un complemento natural del calzado.</w:t>
      </w:r>
    </w:p>
    <w:p>
      <w:pPr>
        <w:spacing w:before="40" w:after="80" w:line="276" w:lineRule="auto"/>
      </w:pPr>
      <w:r>
        <w:rPr>
          <w:rFonts w:ascii="Calibri" w:hAnsi="Calibri"/>
          <w:b/>
          <w:color w:val="2D3748"/>
          <w:sz w:val="20"/>
        </w:rPr>
        <w:t xml:space="preserve">• Diagnóstico Fundamental: </w:t>
      </w:r>
      <w:r>
        <w:rPr>
          <w:rFonts w:ascii="Calibri" w:hAnsi="Calibri"/>
          <w:i w:val="0"/>
          <w:color w:val="2D3748"/>
          <w:sz w:val="20"/>
        </w:rPr>
        <w:t>Gran potencial sin explotar en indumentaria para expandir el valor de vida del cliente (LTV).</w:t>
      </w:r>
    </w:p>
    <w:p>
      <w:pPr>
        <w:keepNext/>
        <w:spacing w:before="200" w:after="80"/>
      </w:pPr>
      <w:r>
        <w:rPr>
          <w:rFonts w:ascii="Calibri" w:hAnsi="Calibri"/>
          <w:b/>
          <w:color w:val="4A5568"/>
          <w:sz w:val="22"/>
        </w:rPr>
        <w:t>7. Raymond James — Rick Patel</w:t>
      </w:r>
    </w:p>
    <w:p>
      <w:pPr>
        <w:spacing w:before="40" w:after="80" w:line="276" w:lineRule="auto"/>
      </w:pPr>
      <w:r>
        <w:rPr>
          <w:rFonts w:ascii="Calibri" w:hAnsi="Calibri"/>
          <w:b/>
          <w:color w:val="2D3748"/>
          <w:sz w:val="20"/>
        </w:rPr>
        <w:t xml:space="preserve">• Pregunta 1 (Asignación de Capital y Recompras de Acciones Post-Split): </w:t>
      </w:r>
      <w:r>
        <w:rPr>
          <w:rFonts w:ascii="Calibri" w:hAnsi="Calibri"/>
          <w:i w:val="0"/>
          <w:color w:val="2D3748"/>
          <w:sz w:val="20"/>
        </w:rPr>
        <w:t>Con más de $1,400M en caja y deuda cero, ¿planea el Consejo acelerar el ritmo de recompra de títulos?</w:t>
      </w:r>
    </w:p>
    <w:p>
      <w:pPr>
        <w:spacing w:before="40" w:after="80" w:line="276" w:lineRule="auto"/>
      </w:pPr>
      <w:r>
        <w:rPr>
          <w:rFonts w:ascii="Calibri" w:hAnsi="Calibri"/>
          <w:b/>
          <w:color w:val="2D3748"/>
          <w:sz w:val="20"/>
        </w:rPr>
        <w:t xml:space="preserve">• Respuesta (Steven Fasching): </w:t>
      </w:r>
      <w:r>
        <w:rPr>
          <w:rFonts w:ascii="Calibri" w:hAnsi="Calibri"/>
          <w:i w:val="0"/>
          <w:color w:val="2D3748"/>
          <w:sz w:val="20"/>
        </w:rPr>
        <w:t>Fasching ratificó que la prioridad absoluta de asignación de capital es la recompra sistemática de acciones comunes. 'Continuaremos ejecutando recompras de forma oportunista para devolver el exceso de caja libre a los accionistas, manteniendo un balance impecable'.</w:t>
      </w:r>
    </w:p>
    <w:p>
      <w:pPr>
        <w:spacing w:before="40" w:after="80" w:line="276" w:lineRule="auto"/>
      </w:pPr>
      <w:r>
        <w:rPr>
          <w:rFonts w:ascii="Calibri" w:hAnsi="Calibri"/>
          <w:b/>
          <w:color w:val="2D3748"/>
          <w:sz w:val="20"/>
        </w:rPr>
        <w:t xml:space="preserve">• Pregunta 2 (Impacto del Split 6:1 en la Liquidez de Mercado): </w:t>
      </w:r>
      <w:r>
        <w:rPr>
          <w:rFonts w:ascii="Calibri" w:hAnsi="Calibri"/>
          <w:i w:val="0"/>
          <w:color w:val="2D3748"/>
          <w:sz w:val="20"/>
        </w:rPr>
        <w:t>¿Ha mejorado la liquidez y la participación del inversor minorista tras la división de acciones?</w:t>
      </w:r>
    </w:p>
    <w:p>
      <w:pPr>
        <w:spacing w:before="40" w:after="80" w:line="276" w:lineRule="auto"/>
      </w:pPr>
      <w:r>
        <w:rPr>
          <w:rFonts w:ascii="Calibri" w:hAnsi="Calibri"/>
          <w:b/>
          <w:color w:val="2D3748"/>
          <w:sz w:val="20"/>
        </w:rPr>
        <w:t xml:space="preserve">• Respuesta (Steven Fasching): </w:t>
      </w:r>
      <w:r>
        <w:rPr>
          <w:rFonts w:ascii="Calibri" w:hAnsi="Calibri"/>
          <w:i w:val="0"/>
          <w:color w:val="2D3748"/>
          <w:sz w:val="20"/>
        </w:rPr>
        <w:t>Confirmó un incremento sustancial en el volumen diario promedio de negociación y una base de accionistas más diversificada.</w:t>
      </w:r>
    </w:p>
    <w:p>
      <w:pPr>
        <w:spacing w:before="40" w:after="80" w:line="276" w:lineRule="auto"/>
      </w:pPr>
      <w:r>
        <w:rPr>
          <w:rFonts w:ascii="Calibri" w:hAnsi="Calibri"/>
          <w:b/>
          <w:color w:val="2D3748"/>
          <w:sz w:val="20"/>
        </w:rPr>
        <w:t xml:space="preserve">• Diagnóstico Fundamental: </w:t>
      </w:r>
      <w:r>
        <w:rPr>
          <w:rFonts w:ascii="Calibri" w:hAnsi="Calibri"/>
          <w:i w:val="0"/>
          <w:color w:val="2D3748"/>
          <w:sz w:val="20"/>
        </w:rPr>
        <w:t>Estructura de capital de máxima solvencia que maximiza la rentabilidad del accionista por acción.</w:t>
      </w:r>
    </w:p>
    <w:p>
      <w:pPr>
        <w:keepNext/>
        <w:spacing w:before="200" w:after="80"/>
      </w:pPr>
      <w:r>
        <w:rPr>
          <w:rFonts w:ascii="Calibri" w:hAnsi="Calibri"/>
          <w:b/>
          <w:color w:val="4A5568"/>
          <w:sz w:val="22"/>
        </w:rPr>
        <w:t>8. Williams Trading — Sam Poser</w:t>
      </w:r>
    </w:p>
    <w:p>
      <w:pPr>
        <w:spacing w:before="40" w:after="80" w:line="276" w:lineRule="auto"/>
      </w:pPr>
      <w:r>
        <w:rPr>
          <w:rFonts w:ascii="Calibri" w:hAnsi="Calibri"/>
          <w:b/>
          <w:color w:val="2D3748"/>
          <w:sz w:val="20"/>
        </w:rPr>
        <w:t xml:space="preserve">• Pregunta 1 (Filosofía de Gestión de Inventario para UGG en Invierno): </w:t>
      </w:r>
      <w:r>
        <w:rPr>
          <w:rFonts w:ascii="Calibri" w:hAnsi="Calibri"/>
          <w:i w:val="0"/>
          <w:color w:val="2D3748"/>
          <w:sz w:val="20"/>
        </w:rPr>
        <w:t>¿Cómo evitarán repetir faltantes de stock en Tasman durante la temporada festiva sin correr riesgo de sobre-inventario?</w:t>
      </w:r>
    </w:p>
    <w:p>
      <w:pPr>
        <w:spacing w:before="40" w:after="80" w:line="276" w:lineRule="auto"/>
      </w:pPr>
      <w:r>
        <w:rPr>
          <w:rFonts w:ascii="Calibri" w:hAnsi="Calibri"/>
          <w:b/>
          <w:color w:val="2D3748"/>
          <w:sz w:val="20"/>
        </w:rPr>
        <w:t xml:space="preserve">• Respuesta (Stefano Caroti): </w:t>
      </w:r>
      <w:r>
        <w:rPr>
          <w:rFonts w:ascii="Calibri" w:hAnsi="Calibri"/>
          <w:i w:val="0"/>
          <w:color w:val="2D3748"/>
          <w:sz w:val="20"/>
        </w:rPr>
        <w:t>Caroti detalló que se sincronizó la cadena de suministro con meses de anticipación para asegurar stock en los canales propios DTC, priorizando pedidos tempranos de mayoristas de confianza. 'La demanda de Tasman sigue desbordando la oferta, lo cual es la posición ideal para una marca de lujo casual'.</w:t>
      </w:r>
    </w:p>
    <w:p>
      <w:pPr>
        <w:spacing w:before="40" w:after="80" w:line="276" w:lineRule="auto"/>
      </w:pPr>
      <w:r>
        <w:rPr>
          <w:rFonts w:ascii="Calibri" w:hAnsi="Calibri"/>
          <w:b/>
          <w:color w:val="2D3748"/>
          <w:sz w:val="20"/>
        </w:rPr>
        <w:t xml:space="preserve">• Pregunta 2 (Mensaje de Stefano Caroti para los Accionistas en su Nuevo Rol): </w:t>
      </w:r>
      <w:r>
        <w:rPr>
          <w:rFonts w:ascii="Calibri" w:hAnsi="Calibri"/>
          <w:i w:val="0"/>
          <w:color w:val="2D3748"/>
          <w:sz w:val="20"/>
        </w:rPr>
        <w:t>¿Cuál es la principal prioridad estratégica que marcará su mandato como CEO?</w:t>
      </w:r>
    </w:p>
    <w:p>
      <w:pPr>
        <w:spacing w:before="40" w:after="80" w:line="276" w:lineRule="auto"/>
      </w:pPr>
      <w:r>
        <w:rPr>
          <w:rFonts w:ascii="Calibri" w:hAnsi="Calibri"/>
          <w:b/>
          <w:color w:val="2D3748"/>
          <w:sz w:val="20"/>
        </w:rPr>
        <w:t xml:space="preserve">• Respuesta (Stefano Caroti): </w:t>
      </w:r>
      <w:r>
        <w:rPr>
          <w:rFonts w:ascii="Calibri" w:hAnsi="Calibri"/>
          <w:i w:val="0"/>
          <w:color w:val="2D3748"/>
          <w:sz w:val="20"/>
        </w:rPr>
        <w:t>'Disciplina y enfoque. Mantendremos a HOKA y UGG en su máxima trayectoria de crecimiento global protegiendo la exclusividad y el precio completo. No desviaremos capital hacia aventuras inciertas; nuestra fórmula ha demostrado ser ganadora y la ejecutaremos con rigor'.</w:t>
      </w:r>
    </w:p>
    <w:p>
      <w:pPr>
        <w:spacing w:before="40" w:after="80" w:line="276" w:lineRule="auto"/>
      </w:pPr>
      <w:r>
        <w:rPr>
          <w:rFonts w:ascii="Calibri" w:hAnsi="Calibri"/>
          <w:b/>
          <w:color w:val="2D3748"/>
          <w:sz w:val="20"/>
        </w:rPr>
        <w:t xml:space="preserve">• Diagnóstico Fundamental: </w:t>
      </w:r>
      <w:r>
        <w:rPr>
          <w:rFonts w:ascii="Calibri" w:hAnsi="Calibri"/>
          <w:i w:val="0"/>
          <w:color w:val="2D3748"/>
          <w:sz w:val="20"/>
        </w:rPr>
        <w:t>Mensaje de enorme convicción y claridad operativa que consolida la confianza de los inversores institucionales.</w:t>
      </w:r>
    </w:p>
    <w:p>
      <w:pPr>
        <w:keepNext/>
        <w:spacing w:before="200" w:after="80"/>
      </w:pPr>
      <w:r>
        <w:rPr>
          <w:rFonts w:ascii="Calibri" w:hAnsi="Calibri"/>
          <w:b/>
          <w:color w:val="4A5568"/>
          <w:sz w:val="22"/>
        </w:rPr>
        <w:t>BLOQUE B: Análisis Longitudinal y Auditoría de Discurso Directivo (Q1 FY26 a Q1 FY27)</w:t>
      </w:r>
    </w:p>
    <w:p>
      <w:pPr>
        <w:spacing w:before="40" w:after="80" w:line="276" w:lineRule="auto"/>
      </w:pPr>
      <w:r>
        <w:rPr>
          <w:rFonts w:ascii="Calibri" w:hAnsi="Calibri"/>
          <w:i w:val="0"/>
          <w:color w:val="2D3748"/>
          <w:sz w:val="20"/>
        </w:rPr>
        <w:t>A partir del análisis longitudinal de las transcripciones de cinco trimestres consecutivos disponibles en Google Drive, se audita el Say-Do Ratio (tasa de cumplimiento de promesas y ejecución operativa) del equipo directivo de Deckers Outdoor Corp.:</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958"/>
        <w:gridCol w:w="1958"/>
        <w:gridCol w:w="1958"/>
        <w:gridCol w:w="1958"/>
        <w:gridCol w:w="1958"/>
      </w:tblGrid>
      <w:tr>
        <w:tc>
          <w:tcPr>
            <w:tcW w:type="dxa" w:w="1152"/>
            <w:shd w:fill="1B365D"/>
            <w:tcMar>
              <w:top w:w="100" w:type="dxa"/>
              <w:bottom w:w="100" w:type="dxa"/>
              <w:left w:w="120" w:type="dxa"/>
              <w:right w:w="120" w:type="dxa"/>
            </w:tcMar>
          </w:tcPr>
          <w:p>
            <w:pPr>
              <w:spacing w:before="0" w:after="0"/>
              <w:jc w:val="center"/>
            </w:pPr>
            <w:r>
              <w:rPr>
                <w:rFonts w:ascii="Calibri" w:hAnsi="Calibri"/>
                <w:b/>
                <w:color w:val="FFFFFF"/>
                <w:sz w:val="19"/>
              </w:rPr>
              <w:t>Trimestre</w:t>
            </w:r>
          </w:p>
        </w:tc>
        <w:tc>
          <w:tcPr>
            <w:tcW w:type="dxa" w:w="2880"/>
            <w:shd w:fill="1B365D"/>
            <w:tcMar>
              <w:top w:w="100" w:type="dxa"/>
              <w:bottom w:w="100" w:type="dxa"/>
              <w:left w:w="120" w:type="dxa"/>
              <w:right w:w="120" w:type="dxa"/>
            </w:tcMar>
          </w:tcPr>
          <w:p>
            <w:pPr>
              <w:spacing w:before="0" w:after="0"/>
              <w:jc w:val="left"/>
            </w:pPr>
            <w:r>
              <w:rPr>
                <w:rFonts w:ascii="Calibri" w:hAnsi="Calibri"/>
                <w:b/>
                <w:color w:val="FFFFFF"/>
                <w:sz w:val="19"/>
              </w:rPr>
              <w:t>Discurso Central &amp; Promesas del CEO / CFO</w:t>
            </w:r>
          </w:p>
        </w:tc>
        <w:tc>
          <w:tcPr>
            <w:tcW w:type="dxa" w:w="2592"/>
            <w:shd w:fill="1B365D"/>
            <w:tcMar>
              <w:top w:w="100" w:type="dxa"/>
              <w:bottom w:w="100" w:type="dxa"/>
              <w:left w:w="120" w:type="dxa"/>
              <w:right w:w="120" w:type="dxa"/>
            </w:tcMar>
          </w:tcPr>
          <w:p>
            <w:pPr>
              <w:spacing w:before="0" w:after="0"/>
              <w:jc w:val="left"/>
            </w:pPr>
            <w:r>
              <w:rPr>
                <w:rFonts w:ascii="Calibri" w:hAnsi="Calibri"/>
                <w:b/>
                <w:color w:val="FFFFFF"/>
                <w:sz w:val="19"/>
              </w:rPr>
              <w:t>Desafíos y Riesgos Advertidos</w:t>
            </w:r>
          </w:p>
        </w:tc>
        <w:tc>
          <w:tcPr>
            <w:tcW w:type="dxa" w:w="2592"/>
            <w:shd w:fill="1B365D"/>
            <w:tcMar>
              <w:top w:w="100" w:type="dxa"/>
              <w:bottom w:w="100" w:type="dxa"/>
              <w:left w:w="120" w:type="dxa"/>
              <w:right w:w="120" w:type="dxa"/>
            </w:tcMar>
          </w:tcPr>
          <w:p>
            <w:pPr>
              <w:spacing w:before="0" w:after="0"/>
              <w:jc w:val="left"/>
            </w:pPr>
            <w:r>
              <w:rPr>
                <w:rFonts w:ascii="Calibri" w:hAnsi="Calibri"/>
                <w:b/>
                <w:color w:val="FFFFFF"/>
                <w:sz w:val="19"/>
              </w:rPr>
              <w:t>Desempeño Real Registrado en Siguientes Períodos</w:t>
            </w:r>
          </w:p>
        </w:tc>
        <w:tc>
          <w:tcPr>
            <w:tcW w:type="dxa" w:w="2016"/>
            <w:shd w:fill="1B365D"/>
            <w:tcMar>
              <w:top w:w="100" w:type="dxa"/>
              <w:bottom w:w="100" w:type="dxa"/>
              <w:left w:w="120" w:type="dxa"/>
              <w:right w:w="120" w:type="dxa"/>
            </w:tcMar>
          </w:tcPr>
          <w:p>
            <w:pPr>
              <w:spacing w:before="0" w:after="0"/>
              <w:jc w:val="center"/>
            </w:pPr>
            <w:r>
              <w:rPr>
                <w:rFonts w:ascii="Calibri" w:hAnsi="Calibri"/>
                <w:b/>
                <w:color w:val="FFFFFF"/>
                <w:sz w:val="19"/>
              </w:rPr>
              <w:t>Say-Do Ratio</w:t>
            </w:r>
          </w:p>
        </w:tc>
      </w:tr>
      <w:tr>
        <w:tc>
          <w:tcPr>
            <w:tcW w:type="dxa" w:w="1152"/>
            <w:shd w:fill="FFFFFF"/>
            <w:tcMar>
              <w:top w:w="80" w:type="dxa"/>
              <w:bottom w:w="80" w:type="dxa"/>
              <w:left w:w="120" w:type="dxa"/>
              <w:right w:w="120" w:type="dxa"/>
            </w:tcMar>
          </w:tcPr>
          <w:p>
            <w:pPr>
              <w:spacing w:before="0" w:after="0"/>
              <w:jc w:val="center"/>
            </w:pPr>
            <w:r>
              <w:rPr>
                <w:rFonts w:ascii="Calibri" w:hAnsi="Calibri"/>
                <w:color w:val="2D3748"/>
                <w:sz w:val="18"/>
              </w:rPr>
              <w:t>Q1 FY26</w:t>
            </w:r>
          </w:p>
        </w:tc>
        <w:tc>
          <w:tcPr>
            <w:tcW w:type="dxa" w:w="2880"/>
            <w:shd w:fill="FFFFFF"/>
            <w:tcMar>
              <w:top w:w="80" w:type="dxa"/>
              <w:bottom w:w="80" w:type="dxa"/>
              <w:left w:w="120" w:type="dxa"/>
              <w:right w:w="120" w:type="dxa"/>
            </w:tcMar>
          </w:tcPr>
          <w:p>
            <w:pPr>
              <w:spacing w:before="0" w:after="0"/>
              <w:jc w:val="left"/>
            </w:pPr>
            <w:r>
              <w:rPr>
                <w:rFonts w:ascii="Calibri" w:hAnsi="Calibri"/>
                <w:color w:val="2D3748"/>
                <w:sz w:val="18"/>
              </w:rPr>
              <w:t>Prometieron acelerar HOKA a doble dígito y proteger precio en UGG; proyectaron ventas anuales de $4.0B.</w:t>
            </w:r>
          </w:p>
        </w:tc>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Incertidumbre en fletes marítimos y cautela macroeconómica en retail.</w:t>
            </w:r>
          </w:p>
        </w:tc>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Ingresos del trimestre alcanzaron $675M (+22%), pulverizando estimaciones de consenso.</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SUPERADO (Over-delivered)</w:t>
            </w:r>
          </w:p>
        </w:tc>
      </w:tr>
      <w:tr>
        <w:tc>
          <w:tcPr>
            <w:tcW w:type="dxa" w:w="1152"/>
            <w:shd w:fill="F7FAFC"/>
            <w:tcMar>
              <w:top w:w="80" w:type="dxa"/>
              <w:bottom w:w="80" w:type="dxa"/>
              <w:left w:w="120" w:type="dxa"/>
              <w:right w:w="120" w:type="dxa"/>
            </w:tcMar>
          </w:tcPr>
          <w:p>
            <w:pPr>
              <w:spacing w:before="0" w:after="0"/>
              <w:jc w:val="center"/>
            </w:pPr>
            <w:r>
              <w:rPr>
                <w:rFonts w:ascii="Calibri" w:hAnsi="Calibri"/>
                <w:color w:val="2D3748"/>
                <w:sz w:val="18"/>
              </w:rPr>
              <w:t>Q2 FY26</w:t>
            </w:r>
          </w:p>
        </w:tc>
        <w:tc>
          <w:tcPr>
            <w:tcW w:type="dxa" w:w="2880"/>
            <w:shd w:fill="F7FAFC"/>
            <w:tcMar>
              <w:top w:w="80" w:type="dxa"/>
              <w:bottom w:w="80" w:type="dxa"/>
              <w:left w:w="120" w:type="dxa"/>
              <w:right w:w="120" w:type="dxa"/>
            </w:tcMar>
          </w:tcPr>
          <w:p>
            <w:pPr>
              <w:spacing w:before="0" w:after="0"/>
              <w:jc w:val="left"/>
            </w:pPr>
            <w:r>
              <w:rPr>
                <w:rFonts w:ascii="Calibri" w:hAnsi="Calibri"/>
                <w:color w:val="2D3748"/>
                <w:sz w:val="18"/>
              </w:rPr>
              <w:t>Anticiparon una temporada de regreso a clases récord para HOKA y ampliación de catálogo de UGG.</w:t>
            </w:r>
          </w:p>
        </w:tc>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Riesgo de congestión en centros de distribución y costes promocionales.</w:t>
            </w:r>
          </w:p>
        </w:tc>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Ingresos batieron previsiones con $1,310M (+20%); margen bruto se expandió 210 bps.</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SUPERADO CON CRECES</w:t>
            </w:r>
          </w:p>
        </w:tc>
      </w:tr>
      <w:tr>
        <w:tc>
          <w:tcPr>
            <w:tcW w:type="dxa" w:w="1152"/>
            <w:shd w:fill="FFFFFF"/>
            <w:tcMar>
              <w:top w:w="80" w:type="dxa"/>
              <w:bottom w:w="80" w:type="dxa"/>
              <w:left w:w="120" w:type="dxa"/>
              <w:right w:w="120" w:type="dxa"/>
            </w:tcMar>
          </w:tcPr>
          <w:p>
            <w:pPr>
              <w:spacing w:before="0" w:after="0"/>
              <w:jc w:val="center"/>
            </w:pPr>
            <w:r>
              <w:rPr>
                <w:rFonts w:ascii="Calibri" w:hAnsi="Calibri"/>
                <w:color w:val="2D3748"/>
                <w:sz w:val="18"/>
              </w:rPr>
              <w:t>Q3 FY26</w:t>
            </w:r>
          </w:p>
        </w:tc>
        <w:tc>
          <w:tcPr>
            <w:tcW w:type="dxa" w:w="2880"/>
            <w:shd w:fill="FFFFFF"/>
            <w:tcMar>
              <w:top w:w="80" w:type="dxa"/>
              <w:bottom w:w="80" w:type="dxa"/>
              <w:left w:w="120" w:type="dxa"/>
              <w:right w:w="120" w:type="dxa"/>
            </w:tcMar>
          </w:tcPr>
          <w:p>
            <w:pPr>
              <w:spacing w:before="0" w:after="0"/>
              <w:jc w:val="left"/>
            </w:pPr>
            <w:r>
              <w:rPr>
                <w:rFonts w:ascii="Calibri" w:hAnsi="Calibri"/>
                <w:color w:val="2D3748"/>
                <w:sz w:val="18"/>
              </w:rPr>
              <w:t>Vislumbraron la mejor temporada festiva de la historia impulsada por siluetas Tasman y Ultra Mini.</w:t>
            </w:r>
          </w:p>
        </w:tc>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Riesgo de invierno cálido en EE.UU. que pudiera frenar reposiciones de UGG.</w:t>
            </w:r>
          </w:p>
        </w:tc>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Récord histórico absoluto de $1,560M (+16%) con margen bruto estratosférico de 58.7%.</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SUPERADO (Récord histórico)</w:t>
            </w:r>
          </w:p>
        </w:tc>
      </w:tr>
      <w:tr>
        <w:tc>
          <w:tcPr>
            <w:tcW w:type="dxa" w:w="1152"/>
            <w:shd w:fill="F7FAFC"/>
            <w:tcMar>
              <w:top w:w="80" w:type="dxa"/>
              <w:bottom w:w="80" w:type="dxa"/>
              <w:left w:w="120" w:type="dxa"/>
              <w:right w:w="120" w:type="dxa"/>
            </w:tcMar>
          </w:tcPr>
          <w:p>
            <w:pPr>
              <w:spacing w:before="0" w:after="0"/>
              <w:jc w:val="center"/>
            </w:pPr>
            <w:r>
              <w:rPr>
                <w:rFonts w:ascii="Calibri" w:hAnsi="Calibri"/>
                <w:color w:val="2D3748"/>
                <w:sz w:val="18"/>
              </w:rPr>
              <w:t>Q4 FY26</w:t>
            </w:r>
          </w:p>
        </w:tc>
        <w:tc>
          <w:tcPr>
            <w:tcW w:type="dxa" w:w="2880"/>
            <w:shd w:fill="F7FAFC"/>
            <w:tcMar>
              <w:top w:w="80" w:type="dxa"/>
              <w:bottom w:w="80" w:type="dxa"/>
              <w:left w:w="120" w:type="dxa"/>
              <w:right w:w="120" w:type="dxa"/>
            </w:tcMar>
          </w:tcPr>
          <w:p>
            <w:pPr>
              <w:spacing w:before="0" w:after="0"/>
              <w:jc w:val="left"/>
            </w:pPr>
            <w:r>
              <w:rPr>
                <w:rFonts w:ascii="Calibri" w:hAnsi="Calibri"/>
                <w:color w:val="2D3748"/>
                <w:sz w:val="18"/>
              </w:rPr>
              <w:t>Anunciaron la transición ordenada de Dave Powers a Stefano Caroti; prepararon stock split 6:1.</w:t>
            </w:r>
          </w:p>
        </w:tc>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Tipos de cambio adversos y comparativas anuales sumamente exigentes.</w:t>
            </w:r>
          </w:p>
        </w:tc>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Cierre de ejercicio fiscal en $4,286M (+18%) y margen operativo de 21.6%; dividieron acciones 6:1.</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CUMPLIDO (Relevo impecable)</w:t>
            </w:r>
          </w:p>
        </w:tc>
      </w:tr>
      <w:tr>
        <w:tc>
          <w:tcPr>
            <w:tcW w:type="dxa" w:w="1152"/>
            <w:shd w:fill="FFFFFF"/>
            <w:tcMar>
              <w:top w:w="80" w:type="dxa"/>
              <w:bottom w:w="80" w:type="dxa"/>
              <w:left w:w="120" w:type="dxa"/>
              <w:right w:w="120" w:type="dxa"/>
            </w:tcMar>
          </w:tcPr>
          <w:p>
            <w:pPr>
              <w:spacing w:before="0" w:after="0"/>
              <w:jc w:val="center"/>
            </w:pPr>
            <w:r>
              <w:rPr>
                <w:rFonts w:ascii="Calibri" w:hAnsi="Calibri"/>
                <w:color w:val="2D3748"/>
                <w:sz w:val="18"/>
              </w:rPr>
              <w:t>Q1 FY27</w:t>
            </w:r>
          </w:p>
        </w:tc>
        <w:tc>
          <w:tcPr>
            <w:tcW w:type="dxa" w:w="2880"/>
            <w:shd w:fill="FFFFFF"/>
            <w:tcMar>
              <w:top w:w="80" w:type="dxa"/>
              <w:bottom w:w="80" w:type="dxa"/>
              <w:left w:w="120" w:type="dxa"/>
              <w:right w:w="120" w:type="dxa"/>
            </w:tcMar>
          </w:tcPr>
          <w:p>
            <w:pPr>
              <w:spacing w:before="0" w:after="0"/>
              <w:jc w:val="left"/>
            </w:pPr>
            <w:r>
              <w:rPr>
                <w:rFonts w:ascii="Calibri" w:hAnsi="Calibri"/>
                <w:color w:val="2D3748"/>
                <w:sz w:val="18"/>
              </w:rPr>
              <w:t>Primer trimestre bajo el liderazgo formal de Stefano Caroti; guidance prudente de $4.7B-$4.8B para FY27.</w:t>
            </w:r>
          </w:p>
        </w:tc>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Presión de costes de flete marítimo y normalización del consumo en EE.UU.</w:t>
            </w:r>
          </w:p>
        </w:tc>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Ingresos de junio marcaron $825.3M (+22.1%) y HOKA aceleró al +29.7%; elevaron previsiones.</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SUPERADO (Guía batida)</w:t>
            </w:r>
          </w:p>
        </w:tc>
      </w:tr>
    </w:tbl>
    <w:p>
      <w:pPr>
        <w:spacing w:after="120"/>
      </w:pPr>
    </w:p>
    <w:p>
      <w:pPr>
        <w:keepNext/>
        <w:spacing w:before="200" w:after="80"/>
      </w:pPr>
      <w:r>
        <w:rPr>
          <w:rFonts w:ascii="Calibri" w:hAnsi="Calibri"/>
          <w:b/>
          <w:color w:val="4A5568"/>
          <w:sz w:val="22"/>
        </w:rPr>
        <w:t>Cronología y Mutación Dinámica de los Riesgos Operativos (5 Trimestres):</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Período Fiscal</w:t>
            </w:r>
          </w:p>
        </w:tc>
        <w:tc>
          <w:tcPr>
            <w:tcW w:type="dxa" w:w="3168"/>
            <w:shd w:fill="1B365D"/>
            <w:tcMar>
              <w:top w:w="100" w:type="dxa"/>
              <w:bottom w:w="100" w:type="dxa"/>
              <w:left w:w="120" w:type="dxa"/>
              <w:right w:w="120" w:type="dxa"/>
            </w:tcMar>
          </w:tcPr>
          <w:p>
            <w:pPr>
              <w:spacing w:before="0" w:after="0"/>
              <w:jc w:val="left"/>
            </w:pPr>
            <w:r>
              <w:rPr>
                <w:rFonts w:ascii="Calibri" w:hAnsi="Calibri"/>
                <w:b/>
                <w:color w:val="FFFFFF"/>
                <w:sz w:val="19"/>
              </w:rPr>
              <w:t>Riesgo Dominante Señalado por la Dirección</w:t>
            </w:r>
          </w:p>
        </w:tc>
        <w:tc>
          <w:tcPr>
            <w:tcW w:type="dxa" w:w="1728"/>
            <w:shd w:fill="1B365D"/>
            <w:tcMar>
              <w:top w:w="100" w:type="dxa"/>
              <w:bottom w:w="100" w:type="dxa"/>
              <w:left w:w="120" w:type="dxa"/>
              <w:right w:w="120" w:type="dxa"/>
            </w:tcMar>
          </w:tcPr>
          <w:p>
            <w:pPr>
              <w:spacing w:before="0" w:after="0"/>
              <w:jc w:val="center"/>
            </w:pPr>
            <w:r>
              <w:rPr>
                <w:rFonts w:ascii="Calibri" w:hAnsi="Calibri"/>
                <w:b/>
                <w:color w:val="FFFFFF"/>
                <w:sz w:val="19"/>
              </w:rPr>
              <w:t>Severidad / Semáforo</w:t>
            </w:r>
          </w:p>
        </w:tc>
        <w:tc>
          <w:tcPr>
            <w:tcW w:type="dxa" w:w="3456"/>
            <w:shd w:fill="1B365D"/>
            <w:tcMar>
              <w:top w:w="100" w:type="dxa"/>
              <w:bottom w:w="100" w:type="dxa"/>
              <w:left w:w="120" w:type="dxa"/>
              <w:right w:w="120" w:type="dxa"/>
            </w:tcMar>
          </w:tcPr>
          <w:p>
            <w:pPr>
              <w:spacing w:before="0" w:after="0"/>
              <w:jc w:val="left"/>
            </w:pPr>
            <w:r>
              <w:rPr>
                <w:rFonts w:ascii="Calibri" w:hAnsi="Calibri"/>
                <w:b/>
                <w:color w:val="FFFFFF"/>
                <w:sz w:val="19"/>
              </w:rPr>
              <w:t>Evolución Posterior y Desenlace Real en el Negocio</w:t>
            </w:r>
          </w:p>
        </w:tc>
      </w:tr>
      <w:tr>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Q1 FY26</w:t>
            </w:r>
          </w:p>
        </w:tc>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Dependencia Estacional de UGG: Concentración excesiva de ingresos y beneficios en los meses de invierno.</w:t>
            </w:r>
          </w:p>
        </w:tc>
        <w:tc>
          <w:tcPr>
            <w:tcW w:type="dxa" w:w="1728"/>
            <w:shd w:fill="FFFFFF"/>
            <w:tcMar>
              <w:top w:w="80" w:type="dxa"/>
              <w:bottom w:w="80" w:type="dxa"/>
              <w:left w:w="120" w:type="dxa"/>
              <w:right w:w="120" w:type="dxa"/>
            </w:tcMar>
          </w:tcPr>
          <w:p>
            <w:pPr>
              <w:spacing w:before="0" w:after="0"/>
              <w:jc w:val="center"/>
            </w:pPr>
            <w:r>
              <w:rPr>
                <w:rFonts w:ascii="Calibri" w:hAnsi="Calibri"/>
                <w:color w:val="2D3748"/>
                <w:sz w:val="18"/>
              </w:rPr>
              <w:t>Alerta Media</w:t>
            </w:r>
          </w:p>
        </w:tc>
        <w:tc>
          <w:tcPr>
            <w:tcW w:type="dxa" w:w="3456"/>
            <w:shd w:fill="FFFFFF"/>
            <w:tcMar>
              <w:top w:w="80" w:type="dxa"/>
              <w:bottom w:w="80" w:type="dxa"/>
              <w:left w:w="120" w:type="dxa"/>
              <w:right w:w="120" w:type="dxa"/>
            </w:tcMar>
          </w:tcPr>
          <w:p>
            <w:pPr>
              <w:spacing w:before="0" w:after="0"/>
              <w:jc w:val="left"/>
            </w:pPr>
            <w:r>
              <w:rPr>
                <w:rFonts w:ascii="Calibri" w:hAnsi="Calibri"/>
                <w:color w:val="2D3748"/>
                <w:sz w:val="18"/>
              </w:rPr>
              <w:t>Mitigado con éxito: La explosión interanual de HOKA (+28%) equilibra los ingresos a lo largo de los cuatro trimestres.</w:t>
            </w:r>
          </w:p>
        </w:tc>
      </w:tr>
      <w:tr>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Q2 FY26</w:t>
            </w:r>
          </w:p>
        </w:tc>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Espacio en Lineales de Mayoristas: Dudas de Wall Street sobre si los retailers recortarían pedidos ante inventarios inflados.</w:t>
            </w:r>
          </w:p>
        </w:tc>
        <w:tc>
          <w:tcPr>
            <w:tcW w:type="dxa" w:w="1728"/>
            <w:shd w:fill="F7FAFC"/>
            <w:tcMar>
              <w:top w:w="80" w:type="dxa"/>
              <w:bottom w:w="80" w:type="dxa"/>
              <w:left w:w="120" w:type="dxa"/>
              <w:right w:w="120" w:type="dxa"/>
            </w:tcMar>
          </w:tcPr>
          <w:p>
            <w:pPr>
              <w:spacing w:before="0" w:after="0"/>
              <w:jc w:val="center"/>
            </w:pPr>
            <w:r>
              <w:rPr>
                <w:rFonts w:ascii="Calibri" w:hAnsi="Calibri"/>
                <w:color w:val="2D3748"/>
                <w:sz w:val="18"/>
              </w:rPr>
              <w:t>Alerta Baja</w:t>
            </w:r>
          </w:p>
        </w:tc>
        <w:tc>
          <w:tcPr>
            <w:tcW w:type="dxa" w:w="3456"/>
            <w:shd w:fill="F7FAFC"/>
            <w:tcMar>
              <w:top w:w="80" w:type="dxa"/>
              <w:bottom w:w="80" w:type="dxa"/>
              <w:left w:w="120" w:type="dxa"/>
              <w:right w:w="120" w:type="dxa"/>
            </w:tcMar>
          </w:tcPr>
          <w:p>
            <w:pPr>
              <w:spacing w:before="0" w:after="0"/>
              <w:jc w:val="left"/>
            </w:pPr>
            <w:r>
              <w:rPr>
                <w:rFonts w:ascii="Calibri" w:hAnsi="Calibri"/>
                <w:color w:val="2D3748"/>
                <w:sz w:val="18"/>
              </w:rPr>
              <w:t>Ejecución impecable: HOKA fue la marca de calzado de mayor velocidad de rotación, ganando espacio a marcas tradicionales.</w:t>
            </w:r>
          </w:p>
        </w:tc>
      </w:tr>
      <w:tr>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Q3 FY26</w:t>
            </w:r>
          </w:p>
        </w:tc>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Climatología Invernal y Faltante de Stock: Escasez de inventario en modelos virales Tasman frente a picos de demanda.</w:t>
            </w:r>
          </w:p>
        </w:tc>
        <w:tc>
          <w:tcPr>
            <w:tcW w:type="dxa" w:w="1728"/>
            <w:shd w:fill="FFFFFF"/>
            <w:tcMar>
              <w:top w:w="80" w:type="dxa"/>
              <w:bottom w:w="80" w:type="dxa"/>
              <w:left w:w="120" w:type="dxa"/>
              <w:right w:w="120" w:type="dxa"/>
            </w:tcMar>
          </w:tcPr>
          <w:p>
            <w:pPr>
              <w:spacing w:before="0" w:after="0"/>
              <w:jc w:val="center"/>
            </w:pPr>
            <w:r>
              <w:rPr>
                <w:rFonts w:ascii="Calibri" w:hAnsi="Calibri"/>
                <w:color w:val="2D3748"/>
                <w:sz w:val="18"/>
              </w:rPr>
              <w:t>Riesgo Controlado</w:t>
            </w:r>
          </w:p>
        </w:tc>
        <w:tc>
          <w:tcPr>
            <w:tcW w:type="dxa" w:w="3456"/>
            <w:shd w:fill="FFFFFF"/>
            <w:tcMar>
              <w:top w:w="80" w:type="dxa"/>
              <w:bottom w:w="80" w:type="dxa"/>
              <w:left w:w="120" w:type="dxa"/>
              <w:right w:w="120" w:type="dxa"/>
            </w:tcMar>
          </w:tcPr>
          <w:p>
            <w:pPr>
              <w:spacing w:before="0" w:after="0"/>
              <w:jc w:val="left"/>
            </w:pPr>
            <w:r>
              <w:rPr>
                <w:rFonts w:ascii="Calibri" w:hAnsi="Calibri"/>
                <w:color w:val="2D3748"/>
                <w:sz w:val="18"/>
              </w:rPr>
              <w:t>Gestión óptima: La escasez controlada protegió el margen bruto al 58.7% y evitó cualquier liquidación con descuento.</w:t>
            </w:r>
          </w:p>
        </w:tc>
      </w:tr>
      <w:tr>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Q4 FY26</w:t>
            </w:r>
          </w:p>
        </w:tc>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Relevo en Dirección Ejecutiva (CEO): Salida del histórico CEO Dave Powers tras años de creación de valor récord.</w:t>
            </w:r>
          </w:p>
        </w:tc>
        <w:tc>
          <w:tcPr>
            <w:tcW w:type="dxa" w:w="1728"/>
            <w:shd w:fill="F7FAFC"/>
            <w:tcMar>
              <w:top w:w="80" w:type="dxa"/>
              <w:bottom w:w="80" w:type="dxa"/>
              <w:left w:w="120" w:type="dxa"/>
              <w:right w:w="120" w:type="dxa"/>
            </w:tcMar>
          </w:tcPr>
          <w:p>
            <w:pPr>
              <w:spacing w:before="0" w:after="0"/>
              <w:jc w:val="center"/>
            </w:pPr>
            <w:r>
              <w:rPr>
                <w:rFonts w:ascii="Calibri" w:hAnsi="Calibri"/>
                <w:color w:val="2D3748"/>
                <w:sz w:val="18"/>
              </w:rPr>
              <w:t>Alerta Media</w:t>
            </w:r>
          </w:p>
        </w:tc>
        <w:tc>
          <w:tcPr>
            <w:tcW w:type="dxa" w:w="3456"/>
            <w:shd w:fill="F7FAFC"/>
            <w:tcMar>
              <w:top w:w="80" w:type="dxa"/>
              <w:bottom w:w="80" w:type="dxa"/>
              <w:left w:w="120" w:type="dxa"/>
              <w:right w:w="120" w:type="dxa"/>
            </w:tcMar>
          </w:tcPr>
          <w:p>
            <w:pPr>
              <w:spacing w:before="0" w:after="0"/>
              <w:jc w:val="left"/>
            </w:pPr>
            <w:r>
              <w:rPr>
                <w:rFonts w:ascii="Calibri" w:hAnsi="Calibri"/>
                <w:color w:val="2D3748"/>
                <w:sz w:val="18"/>
              </w:rPr>
              <w:t>Transición fluida: Stefano Caroti asumió el mando sin alteraciones operativas ni choques estratégicos.</w:t>
            </w:r>
          </w:p>
        </w:tc>
      </w:tr>
      <w:tr>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Q1 FY27</w:t>
            </w:r>
          </w:p>
        </w:tc>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Costes de Transporte Marítimo e Inflación Logística: Aumento en tarifas de fletes internacionales por desvíos marítimos.</w:t>
            </w:r>
          </w:p>
        </w:tc>
        <w:tc>
          <w:tcPr>
            <w:tcW w:type="dxa" w:w="1728"/>
            <w:shd w:fill="FFFFFF"/>
            <w:tcMar>
              <w:top w:w="80" w:type="dxa"/>
              <w:bottom w:w="80" w:type="dxa"/>
              <w:left w:w="120" w:type="dxa"/>
              <w:right w:w="120" w:type="dxa"/>
            </w:tcMar>
          </w:tcPr>
          <w:p>
            <w:pPr>
              <w:spacing w:before="0" w:after="0"/>
              <w:jc w:val="center"/>
            </w:pPr>
            <w:r>
              <w:rPr>
                <w:rFonts w:ascii="Calibri" w:hAnsi="Calibri"/>
                <w:color w:val="2D3748"/>
                <w:sz w:val="18"/>
              </w:rPr>
              <w:t>Alerta Media</w:t>
            </w:r>
          </w:p>
        </w:tc>
        <w:tc>
          <w:tcPr>
            <w:tcW w:type="dxa" w:w="3456"/>
            <w:shd w:fill="FFFFFF"/>
            <w:tcMar>
              <w:top w:w="80" w:type="dxa"/>
              <w:bottom w:w="80" w:type="dxa"/>
              <w:left w:w="120" w:type="dxa"/>
              <w:right w:w="120" w:type="dxa"/>
            </w:tcMar>
          </w:tcPr>
          <w:p>
            <w:pPr>
              <w:spacing w:before="0" w:after="0"/>
              <w:jc w:val="left"/>
            </w:pPr>
            <w:r>
              <w:rPr>
                <w:rFonts w:ascii="Calibri" w:hAnsi="Calibri"/>
                <w:color w:val="2D3748"/>
                <w:sz w:val="18"/>
              </w:rPr>
              <w:t>Riesgo activo: Asumido en guidance oficial con impacto de ~100 bps, compensado por cero rebajas promocionales.</w:t>
            </w:r>
          </w:p>
        </w:tc>
      </w:tr>
    </w:tbl>
    <w:p>
      <w:pPr>
        <w:spacing w:after="120"/>
      </w:pPr>
    </w:p>
    <w:p>
      <w:pPr>
        <w:spacing w:before="40" w:after="80" w:line="276" w:lineRule="auto"/>
      </w:pPr>
      <w:r>
        <w:rPr>
          <w:rFonts w:ascii="Calibri" w:hAnsi="Calibri"/>
          <w:b/>
          <w:color w:val="2D3748"/>
          <w:sz w:val="20"/>
        </w:rPr>
        <w:t xml:space="preserve">🔍 </w:t>
      </w:r>
      <w:r>
        <w:rPr>
          <w:rFonts w:ascii="Calibri" w:hAnsi="Calibri"/>
          <w:i w:val="0"/>
          <w:color w:val="2D3748"/>
          <w:sz w:val="20"/>
        </w:rPr>
        <w:t>Conclusiones sobre la Mutación de Riesgos:</w:t>
      </w:r>
    </w:p>
    <w:p>
      <w:pPr>
        <w:spacing w:before="40" w:after="80" w:line="276" w:lineRule="auto"/>
      </w:pPr>
      <w:r>
        <w:rPr>
          <w:rFonts w:ascii="Calibri" w:hAnsi="Calibri"/>
          <w:b/>
          <w:color w:val="2D3748"/>
          <w:sz w:val="20"/>
        </w:rPr>
        <w:t xml:space="preserve">• De la dependencia estacional de UGG a la diversificación equilibrada: </w:t>
      </w:r>
      <w:r>
        <w:rPr>
          <w:rFonts w:ascii="Calibri" w:hAnsi="Calibri"/>
          <w:i w:val="0"/>
          <w:color w:val="2D3748"/>
          <w:sz w:val="20"/>
        </w:rPr>
        <w:t>Históricamente Deckers dependía de las ventas de botas UGG en otoño e invierno. El crecimiento imparable de HOKA ($2,231M anuales) ha equilibrado la estructura operativa de la compañía durante los doce meses del año.</w:t>
      </w:r>
    </w:p>
    <w:p>
      <w:pPr>
        <w:spacing w:before="40" w:after="80" w:line="276" w:lineRule="auto"/>
      </w:pPr>
      <w:r>
        <w:rPr>
          <w:rFonts w:ascii="Calibri" w:hAnsi="Calibri"/>
          <w:b/>
          <w:color w:val="2D3748"/>
          <w:sz w:val="20"/>
        </w:rPr>
        <w:t xml:space="preserve">• Poder de fijación de precios frente a la inflación de costes: </w:t>
      </w:r>
      <w:r>
        <w:rPr>
          <w:rFonts w:ascii="Calibri" w:hAnsi="Calibri"/>
          <w:i w:val="0"/>
          <w:color w:val="2D3748"/>
          <w:sz w:val="20"/>
        </w:rPr>
        <w:t>A pesar del encarecimiento del transporte marítimo y de la cautela del consumidor, el margen bruto consolidado de Deckers superó el 55.7%, demostrando que la empresa no necesita rebajar precios para sostener su volumen.</w:t>
      </w:r>
    </w:p>
    <w:tbl>
      <w:tblPr>
        <w:tblW w:type="auto" w:w="0"/>
        <w:jc w:val="center"/>
        <w:tblLayout w:type="fixed"/>
        <w:tblLook w:firstColumn="1" w:firstRow="1" w:lastColumn="0" w:lastRow="0" w:noHBand="0" w:noVBand="1" w:val="04A0"/>
      </w:tblPr>
      <w:tblGrid>
        <w:gridCol w:w="9792"/>
      </w:tblGrid>
      <w:tr>
        <w:tc>
          <w:tcPr>
            <w:tcW w:type="dxa" w:w="9792"/>
            <w:shd w:fill="E8EEF5"/>
            <w:tcMar>
              <w:top w:w="140" w:type="dxa"/>
              <w:bottom w:w="140" w:type="dxa"/>
              <w:left w:w="180" w:type="dxa"/>
              <w:right w:w="180" w:type="dxa"/>
            </w:tcMar>
            <w:tcBorders>
              <w:left w:val="single" w:sz="24" w:space="0" w:color="0A3641"/>
              <w:top w:val="none"/>
              <w:right w:val="none"/>
              <w:bottom w:val="none"/>
            </w:tcBorders>
          </w:tcPr>
          <w:p>
            <w:pPr>
              <w:spacing w:before="0" w:after="80"/>
            </w:pPr>
            <w:r>
              <w:rPr>
                <w:rFonts w:ascii="Segoe UI Emoji" w:hAnsi="Segoe UI Emoji"/>
                <w:sz w:val="21"/>
              </w:rPr>
              <w:t xml:space="preserve">📌  </w:t>
            </w:r>
            <w:r>
              <w:rPr>
                <w:rFonts w:ascii="Calibri" w:hAnsi="Calibri"/>
                <w:b/>
                <w:color w:val="0A3641"/>
                <w:sz w:val="21"/>
              </w:rPr>
              <w:t>CALIFICACIÓN DE CREDIBILIDAD DEL MANAGEMENT: EXCEPCIONAL (TIER 1)</w:t>
            </w:r>
          </w:p>
          <w:p>
            <w:pPr>
              <w:spacing w:before="40" w:after="40" w:line="276" w:lineRule="auto"/>
            </w:pPr>
            <w:r>
              <w:rPr>
                <w:rFonts w:ascii="Calibri" w:hAnsi="Calibri"/>
                <w:color w:val="2D3748"/>
                <w:sz w:val="19"/>
              </w:rPr>
              <w:t>• Consistencia Histórica Sistemática: El equipo gestor ha demostrado una disciplina sistemática de fijar metas prudentes para luego batir las expectativas de consenso (Under-promise and Over-deliver) en 5 de los últimos 5 trimestres consecutivos.</w:t>
            </w:r>
          </w:p>
          <w:p>
            <w:pPr>
              <w:spacing w:before="40" w:after="40" w:line="276" w:lineRule="auto"/>
            </w:pPr>
            <w:r>
              <w:rPr>
                <w:rFonts w:ascii="Calibri" w:hAnsi="Calibri"/>
                <w:color w:val="2D3748"/>
                <w:sz w:val="19"/>
              </w:rPr>
              <w:t>• Transparencia y Disciplina de Precios: La dirección se ha negado rotundamente a sacrificar margen bruto por volumen a corto plazo, defendiendo la política de venta a precio completo que blinda el retorno del capital.</w:t>
            </w:r>
          </w:p>
          <w:p>
            <w:pPr>
              <w:spacing w:before="40" w:after="40" w:line="276" w:lineRule="auto"/>
            </w:pPr>
            <w:r>
              <w:rPr>
                <w:rFonts w:ascii="Calibri" w:hAnsi="Calibri"/>
                <w:color w:val="2D3748"/>
                <w:sz w:val="19"/>
              </w:rPr>
              <w:t>• Transición Ejecutiva Ejemplar: La designación de Stefano Caroti garantizó la continuidad del modelo omnicanal y alejó cualquier riesgo de ruptura estratégica o aventuras de adquisición destructoras de valor.</w:t>
            </w:r>
          </w:p>
        </w:tc>
      </w:tr>
    </w:tbl>
    <w:p>
      <w:pPr>
        <w:spacing w:after="80"/>
      </w:pPr>
    </w:p>
    <w:p>
      <w:pPr>
        <w:keepNext/>
        <w:spacing w:before="320" w:after="120"/>
      </w:pPr>
      <w:r>
        <w:rPr>
          <w:rFonts w:ascii="Calibri" w:hAnsi="Calibri"/>
          <w:b/>
          <w:color w:val="1B365D"/>
          <w:sz w:val="26"/>
        </w:rPr>
        <w:t>6. Posición Patrimonial, Estructura de Capital y Asignación de Recursos (Capital Allocation)</w:t>
      </w:r>
    </w:p>
    <w:p>
      <w:pPr>
        <w:spacing w:before="40" w:after="80" w:line="276" w:lineRule="auto"/>
      </w:pPr>
      <w:r>
        <w:rPr>
          <w:rFonts w:ascii="Calibri" w:hAnsi="Calibri"/>
          <w:i w:val="0"/>
          <w:color w:val="2D3748"/>
          <w:sz w:val="20"/>
        </w:rPr>
        <w:t>La posición patrimonial de Deckers Outdoor Corporation representa un auténtico fortín financiero. La compañía opera con una política de Cero Deuda Financiera (Zero Debt), apalancándose en su modelo manufacturero fabless para destinar el 100% de su generación de Flujo de Caja Libre a recompras sistemáticas de acciones y crecimiento orgánico de sus marcas:</w:t>
      </w:r>
    </w:p>
    <w:p>
      <w:pPr>
        <w:keepNext/>
        <w:spacing w:before="200" w:after="80"/>
      </w:pPr>
      <w:r>
        <w:rPr>
          <w:rFonts w:ascii="Calibri" w:hAnsi="Calibri"/>
          <w:b/>
          <w:color w:val="4A5568"/>
          <w:sz w:val="22"/>
        </w:rPr>
        <w:t>6.1. Cuadro de Mando de Liquidez, Deuda y Posición Neta de Caja</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958"/>
        <w:gridCol w:w="1958"/>
        <w:gridCol w:w="1958"/>
        <w:gridCol w:w="1958"/>
        <w:gridCol w:w="1958"/>
      </w:tblGrid>
      <w:tr>
        <w:tc>
          <w:tcPr>
            <w:tcW w:type="dxa" w:w="2592"/>
            <w:shd w:fill="1B365D"/>
            <w:tcMar>
              <w:top w:w="100" w:type="dxa"/>
              <w:bottom w:w="100" w:type="dxa"/>
              <w:left w:w="120" w:type="dxa"/>
              <w:right w:w="120" w:type="dxa"/>
            </w:tcMar>
          </w:tcPr>
          <w:p>
            <w:pPr>
              <w:spacing w:before="0" w:after="0"/>
              <w:jc w:val="left"/>
            </w:pPr>
            <w:r>
              <w:rPr>
                <w:rFonts w:ascii="Calibri" w:hAnsi="Calibri"/>
                <w:b/>
                <w:color w:val="FFFFFF"/>
                <w:sz w:val="19"/>
              </w:rPr>
              <w:t>Métrica Patrimonial</w:t>
            </w:r>
          </w:p>
        </w:tc>
        <w:tc>
          <w:tcPr>
            <w:tcW w:type="dxa" w:w="1440"/>
            <w:shd w:fill="1B365D"/>
            <w:tcMar>
              <w:top w:w="100" w:type="dxa"/>
              <w:bottom w:w="100" w:type="dxa"/>
              <w:left w:w="120" w:type="dxa"/>
              <w:right w:w="120" w:type="dxa"/>
            </w:tcMar>
          </w:tcPr>
          <w:p>
            <w:pPr>
              <w:spacing w:before="0" w:after="0"/>
              <w:jc w:val="right"/>
            </w:pPr>
            <w:r>
              <w:rPr>
                <w:rFonts w:ascii="Calibri" w:hAnsi="Calibri"/>
                <w:b/>
                <w:color w:val="FFFFFF"/>
                <w:sz w:val="19"/>
              </w:rPr>
              <w:t>LTM (Móvil)</w:t>
            </w:r>
          </w:p>
        </w:tc>
        <w:tc>
          <w:tcPr>
            <w:tcW w:type="dxa" w:w="1440"/>
            <w:shd w:fill="1B365D"/>
            <w:tcMar>
              <w:top w:w="100" w:type="dxa"/>
              <w:bottom w:w="100" w:type="dxa"/>
              <w:left w:w="120" w:type="dxa"/>
              <w:right w:w="120" w:type="dxa"/>
            </w:tcMar>
          </w:tcPr>
          <w:p>
            <w:pPr>
              <w:spacing w:before="0" w:after="0"/>
              <w:jc w:val="right"/>
            </w:pPr>
            <w:r>
              <w:rPr>
                <w:rFonts w:ascii="Calibri" w:hAnsi="Calibri"/>
                <w:b/>
                <w:color w:val="FFFFFF"/>
                <w:sz w:val="19"/>
              </w:rPr>
              <w:t>FY2026 ($M)</w:t>
            </w:r>
          </w:p>
        </w:tc>
        <w:tc>
          <w:tcPr>
            <w:tcW w:type="dxa" w:w="1584"/>
            <w:shd w:fill="1B365D"/>
            <w:tcMar>
              <w:top w:w="100" w:type="dxa"/>
              <w:bottom w:w="100" w:type="dxa"/>
              <w:left w:w="120" w:type="dxa"/>
              <w:right w:w="120" w:type="dxa"/>
            </w:tcMar>
          </w:tcPr>
          <w:p>
            <w:pPr>
              <w:spacing w:before="0" w:after="0"/>
              <w:jc w:val="right"/>
            </w:pPr>
            <w:r>
              <w:rPr>
                <w:rFonts w:ascii="Calibri" w:hAnsi="Calibri"/>
                <w:b/>
                <w:color w:val="FFFFFF"/>
                <w:sz w:val="19"/>
              </w:rPr>
              <w:t>Variación YoY</w:t>
            </w:r>
          </w:p>
        </w:tc>
        <w:tc>
          <w:tcPr>
            <w:tcW w:type="dxa" w:w="2736"/>
            <w:shd w:fill="1B365D"/>
            <w:tcMar>
              <w:top w:w="100" w:type="dxa"/>
              <w:bottom w:w="100" w:type="dxa"/>
              <w:left w:w="120" w:type="dxa"/>
              <w:right w:w="120" w:type="dxa"/>
            </w:tcMar>
          </w:tcPr>
          <w:p>
            <w:pPr>
              <w:spacing w:before="0" w:after="0"/>
              <w:jc w:val="left"/>
            </w:pPr>
            <w:r>
              <w:rPr>
                <w:rFonts w:ascii="Calibri" w:hAnsi="Calibri"/>
                <w:b/>
                <w:color w:val="FFFFFF"/>
                <w:sz w:val="19"/>
              </w:rPr>
              <w:t>Diagnóstico de Solvencia y Balance</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Efectivo y Equivalentes Líquidos</w:t>
            </w:r>
          </w:p>
        </w:tc>
        <w:tc>
          <w:tcPr>
            <w:tcW w:type="dxa" w:w="1440"/>
            <w:shd w:fill="FFFFFF"/>
            <w:tcMar>
              <w:top w:w="80" w:type="dxa"/>
              <w:bottom w:w="80" w:type="dxa"/>
              <w:left w:w="120" w:type="dxa"/>
              <w:right w:w="120" w:type="dxa"/>
            </w:tcMar>
          </w:tcPr>
          <w:p>
            <w:pPr>
              <w:spacing w:before="0" w:after="0"/>
              <w:jc w:val="right"/>
            </w:pPr>
            <w:r>
              <w:rPr>
                <w:rFonts w:ascii="Calibri" w:hAnsi="Calibri"/>
                <w:color w:val="2D3748"/>
                <w:sz w:val="18"/>
              </w:rPr>
              <w:t>$1,475.2 M</w:t>
            </w:r>
          </w:p>
        </w:tc>
        <w:tc>
          <w:tcPr>
            <w:tcW w:type="dxa" w:w="1440"/>
            <w:shd w:fill="FFFFFF"/>
            <w:tcMar>
              <w:top w:w="80" w:type="dxa"/>
              <w:bottom w:w="80" w:type="dxa"/>
              <w:left w:w="120" w:type="dxa"/>
              <w:right w:w="120" w:type="dxa"/>
            </w:tcMar>
          </w:tcPr>
          <w:p>
            <w:pPr>
              <w:spacing w:before="0" w:after="0"/>
              <w:jc w:val="right"/>
            </w:pPr>
            <w:r>
              <w:rPr>
                <w:rFonts w:ascii="Calibri" w:hAnsi="Calibri"/>
                <w:color w:val="2D3748"/>
                <w:sz w:val="18"/>
              </w:rPr>
              <w:t>$1,550.0 M</w:t>
            </w:r>
          </w:p>
        </w:tc>
        <w:tc>
          <w:tcPr>
            <w:tcW w:type="dxa" w:w="1584"/>
            <w:shd w:fill="FFFFFF"/>
            <w:tcMar>
              <w:top w:w="80" w:type="dxa"/>
              <w:bottom w:w="80" w:type="dxa"/>
              <w:left w:w="120" w:type="dxa"/>
              <w:right w:w="120" w:type="dxa"/>
            </w:tcMar>
          </w:tcPr>
          <w:p>
            <w:pPr>
              <w:spacing w:before="0" w:after="0"/>
              <w:jc w:val="right"/>
            </w:pPr>
            <w:r>
              <w:rPr>
                <w:rFonts w:ascii="Calibri" w:hAnsi="Calibri"/>
                <w:color w:val="2D3748"/>
                <w:sz w:val="18"/>
              </w:rPr>
              <w:t>-4.8%</w:t>
            </w:r>
          </w:p>
        </w:tc>
        <w:tc>
          <w:tcPr>
            <w:tcW w:type="dxa" w:w="2736"/>
            <w:shd w:fill="FFFFFF"/>
            <w:tcMar>
              <w:top w:w="80" w:type="dxa"/>
              <w:bottom w:w="80" w:type="dxa"/>
              <w:left w:w="120" w:type="dxa"/>
              <w:right w:w="120" w:type="dxa"/>
            </w:tcMar>
          </w:tcPr>
          <w:p>
            <w:pPr>
              <w:spacing w:before="0" w:after="0"/>
              <w:jc w:val="left"/>
            </w:pPr>
            <w:r>
              <w:rPr>
                <w:rFonts w:ascii="Calibri" w:hAnsi="Calibri"/>
                <w:color w:val="2D3748"/>
                <w:sz w:val="18"/>
              </w:rPr>
              <w:t>Disponibilidad operativa inmediata para operaciones comerciales.</w:t>
            </w:r>
          </w:p>
        </w:tc>
      </w:tr>
      <w:tr>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Valores Negociables (Corto Plazo)</w:t>
            </w:r>
          </w:p>
        </w:tc>
        <w:tc>
          <w:tcPr>
            <w:tcW w:type="dxa" w:w="1440"/>
            <w:shd w:fill="F7FAFC"/>
            <w:tcMar>
              <w:top w:w="80" w:type="dxa"/>
              <w:bottom w:w="80" w:type="dxa"/>
              <w:left w:w="120" w:type="dxa"/>
              <w:right w:w="120" w:type="dxa"/>
            </w:tcMar>
          </w:tcPr>
          <w:p>
            <w:pPr>
              <w:spacing w:before="0" w:after="0"/>
              <w:jc w:val="right"/>
            </w:pPr>
            <w:r>
              <w:rPr>
                <w:rFonts w:ascii="Calibri" w:hAnsi="Calibri"/>
                <w:color w:val="2D3748"/>
                <w:sz w:val="18"/>
              </w:rPr>
              <w:t>$127.4 M</w:t>
            </w:r>
          </w:p>
        </w:tc>
        <w:tc>
          <w:tcPr>
            <w:tcW w:type="dxa" w:w="1440"/>
            <w:shd w:fill="F7FAFC"/>
            <w:tcMar>
              <w:top w:w="80" w:type="dxa"/>
              <w:bottom w:w="80" w:type="dxa"/>
              <w:left w:w="120" w:type="dxa"/>
              <w:right w:w="120" w:type="dxa"/>
            </w:tcMar>
          </w:tcPr>
          <w:p>
            <w:pPr>
              <w:spacing w:before="0" w:after="0"/>
              <w:jc w:val="right"/>
            </w:pPr>
            <w:r>
              <w:rPr>
                <w:rFonts w:ascii="Calibri" w:hAnsi="Calibri"/>
                <w:color w:val="2D3748"/>
                <w:sz w:val="18"/>
              </w:rPr>
              <w:t>$357.2 M</w:t>
            </w:r>
          </w:p>
        </w:tc>
        <w:tc>
          <w:tcPr>
            <w:tcW w:type="dxa" w:w="1584"/>
            <w:shd w:fill="F7FAFC"/>
            <w:tcMar>
              <w:top w:w="80" w:type="dxa"/>
              <w:bottom w:w="80" w:type="dxa"/>
              <w:left w:w="120" w:type="dxa"/>
              <w:right w:w="120" w:type="dxa"/>
            </w:tcMar>
          </w:tcPr>
          <w:p>
            <w:pPr>
              <w:spacing w:before="0" w:after="0"/>
              <w:jc w:val="right"/>
            </w:pPr>
            <w:r>
              <w:rPr>
                <w:rFonts w:ascii="Calibri" w:hAnsi="Calibri"/>
                <w:color w:val="2D3748"/>
                <w:sz w:val="18"/>
              </w:rPr>
              <w:t>-64.3%</w:t>
            </w:r>
          </w:p>
        </w:tc>
        <w:tc>
          <w:tcPr>
            <w:tcW w:type="dxa" w:w="2736"/>
            <w:shd w:fill="F7FAFC"/>
            <w:tcMar>
              <w:top w:w="80" w:type="dxa"/>
              <w:bottom w:w="80" w:type="dxa"/>
              <w:left w:w="120" w:type="dxa"/>
              <w:right w:w="120" w:type="dxa"/>
            </w:tcMar>
          </w:tcPr>
          <w:p>
            <w:pPr>
              <w:spacing w:before="0" w:after="0"/>
              <w:jc w:val="left"/>
            </w:pPr>
            <w:r>
              <w:rPr>
                <w:rFonts w:ascii="Calibri" w:hAnsi="Calibri"/>
                <w:color w:val="2D3748"/>
                <w:sz w:val="18"/>
              </w:rPr>
              <w:t>Tesoría colocada en pagarés corporativos e instrumentos monetarios AAA.</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LIQUIDEZ TOTAL DISPONIBLE (Cash &amp; Securities)</w:t>
            </w:r>
          </w:p>
        </w:tc>
        <w:tc>
          <w:tcPr>
            <w:tcW w:type="dxa" w:w="1440"/>
            <w:shd w:fill="FFFFFF"/>
            <w:tcMar>
              <w:top w:w="80" w:type="dxa"/>
              <w:bottom w:w="80" w:type="dxa"/>
              <w:left w:w="120" w:type="dxa"/>
              <w:right w:w="120" w:type="dxa"/>
            </w:tcMar>
          </w:tcPr>
          <w:p>
            <w:pPr>
              <w:spacing w:before="0" w:after="0"/>
              <w:jc w:val="right"/>
            </w:pPr>
            <w:r>
              <w:rPr>
                <w:rFonts w:ascii="Calibri" w:hAnsi="Calibri"/>
                <w:color w:val="2D3748"/>
                <w:sz w:val="18"/>
              </w:rPr>
              <w:t>$1,602.6 M</w:t>
            </w:r>
          </w:p>
        </w:tc>
        <w:tc>
          <w:tcPr>
            <w:tcW w:type="dxa" w:w="1440"/>
            <w:shd w:fill="FFFFFF"/>
            <w:tcMar>
              <w:top w:w="80" w:type="dxa"/>
              <w:bottom w:w="80" w:type="dxa"/>
              <w:left w:w="120" w:type="dxa"/>
              <w:right w:w="120" w:type="dxa"/>
            </w:tcMar>
          </w:tcPr>
          <w:p>
            <w:pPr>
              <w:spacing w:before="0" w:after="0"/>
              <w:jc w:val="right"/>
            </w:pPr>
            <w:r>
              <w:rPr>
                <w:rFonts w:ascii="Calibri" w:hAnsi="Calibri"/>
                <w:color w:val="2D3748"/>
                <w:sz w:val="18"/>
              </w:rPr>
              <w:t>$1,907.2 M</w:t>
            </w:r>
          </w:p>
        </w:tc>
        <w:tc>
          <w:tcPr>
            <w:tcW w:type="dxa" w:w="1584"/>
            <w:shd w:fill="FFFFFF"/>
            <w:tcMar>
              <w:top w:w="80" w:type="dxa"/>
              <w:bottom w:w="80" w:type="dxa"/>
              <w:left w:w="120" w:type="dxa"/>
              <w:right w:w="120" w:type="dxa"/>
            </w:tcMar>
          </w:tcPr>
          <w:p>
            <w:pPr>
              <w:spacing w:before="0" w:after="0"/>
              <w:jc w:val="right"/>
            </w:pPr>
            <w:r>
              <w:rPr>
                <w:rFonts w:ascii="Calibri" w:hAnsi="Calibri"/>
                <w:color w:val="2D3748"/>
                <w:sz w:val="18"/>
              </w:rPr>
              <w:t>-16.0%</w:t>
            </w:r>
          </w:p>
        </w:tc>
        <w:tc>
          <w:tcPr>
            <w:tcW w:type="dxa" w:w="2736"/>
            <w:shd w:fill="FFFFFF"/>
            <w:tcMar>
              <w:top w:w="80" w:type="dxa"/>
              <w:bottom w:w="80" w:type="dxa"/>
              <w:left w:w="120" w:type="dxa"/>
              <w:right w:w="120" w:type="dxa"/>
            </w:tcMar>
          </w:tcPr>
          <w:p>
            <w:pPr>
              <w:spacing w:before="0" w:after="0"/>
              <w:jc w:val="left"/>
            </w:pPr>
            <w:r>
              <w:rPr>
                <w:rFonts w:ascii="Calibri" w:hAnsi="Calibri"/>
                <w:color w:val="2D3748"/>
                <w:sz w:val="18"/>
              </w:rPr>
              <w:t>Enorme colchón de liquidez para financiar crecimiento y recompras.</w:t>
            </w:r>
          </w:p>
        </w:tc>
      </w:tr>
      <w:tr>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Papel Comercial / Crédito Corriente</w:t>
            </w:r>
          </w:p>
        </w:tc>
        <w:tc>
          <w:tcPr>
            <w:tcW w:type="dxa" w:w="1440"/>
            <w:shd w:fill="F7FAFC"/>
            <w:tcMar>
              <w:top w:w="80" w:type="dxa"/>
              <w:bottom w:w="80" w:type="dxa"/>
              <w:left w:w="120" w:type="dxa"/>
              <w:right w:w="120" w:type="dxa"/>
            </w:tcMar>
          </w:tcPr>
          <w:p>
            <w:pPr>
              <w:spacing w:before="0" w:after="0"/>
              <w:jc w:val="right"/>
            </w:pPr>
            <w:r>
              <w:rPr>
                <w:rFonts w:ascii="Calibri" w:hAnsi="Calibri"/>
                <w:color w:val="2D3748"/>
                <w:sz w:val="18"/>
              </w:rPr>
              <w:t>$0.0 M</w:t>
            </w:r>
          </w:p>
        </w:tc>
        <w:tc>
          <w:tcPr>
            <w:tcW w:type="dxa" w:w="1440"/>
            <w:shd w:fill="F7FAFC"/>
            <w:tcMar>
              <w:top w:w="80" w:type="dxa"/>
              <w:bottom w:w="80" w:type="dxa"/>
              <w:left w:w="120" w:type="dxa"/>
              <w:right w:w="120" w:type="dxa"/>
            </w:tcMar>
          </w:tcPr>
          <w:p>
            <w:pPr>
              <w:spacing w:before="0" w:after="0"/>
              <w:jc w:val="right"/>
            </w:pPr>
            <w:r>
              <w:rPr>
                <w:rFonts w:ascii="Calibri" w:hAnsi="Calibri"/>
                <w:color w:val="2D3748"/>
                <w:sz w:val="18"/>
              </w:rPr>
              <w:t>$0.0 M</w:t>
            </w:r>
          </w:p>
        </w:tc>
        <w:tc>
          <w:tcPr>
            <w:tcW w:type="dxa" w:w="1584"/>
            <w:shd w:fill="F7FAFC"/>
            <w:tcMar>
              <w:top w:w="80" w:type="dxa"/>
              <w:bottom w:w="80" w:type="dxa"/>
              <w:left w:w="120" w:type="dxa"/>
              <w:right w:w="120" w:type="dxa"/>
            </w:tcMar>
          </w:tcPr>
          <w:p>
            <w:pPr>
              <w:spacing w:before="0" w:after="0"/>
              <w:jc w:val="right"/>
            </w:pPr>
            <w:r>
              <w:rPr>
                <w:rFonts w:ascii="Calibri" w:hAnsi="Calibri"/>
                <w:color w:val="2D3748"/>
                <w:sz w:val="18"/>
              </w:rPr>
              <w:t>0.0%</w:t>
            </w:r>
          </w:p>
        </w:tc>
        <w:tc>
          <w:tcPr>
            <w:tcW w:type="dxa" w:w="2736"/>
            <w:shd w:fill="F7FAFC"/>
            <w:tcMar>
              <w:top w:w="80" w:type="dxa"/>
              <w:bottom w:w="80" w:type="dxa"/>
              <w:left w:w="120" w:type="dxa"/>
              <w:right w:w="120" w:type="dxa"/>
            </w:tcMar>
          </w:tcPr>
          <w:p>
            <w:pPr>
              <w:spacing w:before="0" w:after="0"/>
              <w:jc w:val="left"/>
            </w:pPr>
            <w:r>
              <w:rPr>
                <w:rFonts w:ascii="Calibri" w:hAnsi="Calibri"/>
                <w:color w:val="2D3748"/>
                <w:sz w:val="18"/>
              </w:rPr>
              <w:t>Cero apelación a crédito a corto plazo para operaciones ordinarias.</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Deuda Financiera a Corto Plazo</w:t>
            </w:r>
          </w:p>
        </w:tc>
        <w:tc>
          <w:tcPr>
            <w:tcW w:type="dxa" w:w="1440"/>
            <w:shd w:fill="FFFFFF"/>
            <w:tcMar>
              <w:top w:w="80" w:type="dxa"/>
              <w:bottom w:w="80" w:type="dxa"/>
              <w:left w:w="120" w:type="dxa"/>
              <w:right w:w="120" w:type="dxa"/>
            </w:tcMar>
          </w:tcPr>
          <w:p>
            <w:pPr>
              <w:spacing w:before="0" w:after="0"/>
              <w:jc w:val="right"/>
            </w:pPr>
            <w:r>
              <w:rPr>
                <w:rFonts w:ascii="Calibri" w:hAnsi="Calibri"/>
                <w:color w:val="2D3748"/>
                <w:sz w:val="18"/>
              </w:rPr>
              <w:t>$0.0 M</w:t>
            </w:r>
          </w:p>
        </w:tc>
        <w:tc>
          <w:tcPr>
            <w:tcW w:type="dxa" w:w="1440"/>
            <w:shd w:fill="FFFFFF"/>
            <w:tcMar>
              <w:top w:w="80" w:type="dxa"/>
              <w:bottom w:w="80" w:type="dxa"/>
              <w:left w:w="120" w:type="dxa"/>
              <w:right w:w="120" w:type="dxa"/>
            </w:tcMar>
          </w:tcPr>
          <w:p>
            <w:pPr>
              <w:spacing w:before="0" w:after="0"/>
              <w:jc w:val="right"/>
            </w:pPr>
            <w:r>
              <w:rPr>
                <w:rFonts w:ascii="Calibri" w:hAnsi="Calibri"/>
                <w:color w:val="2D3748"/>
                <w:sz w:val="18"/>
              </w:rPr>
              <w:t>$0.0 M</w:t>
            </w:r>
          </w:p>
        </w:tc>
        <w:tc>
          <w:tcPr>
            <w:tcW w:type="dxa" w:w="1584"/>
            <w:shd w:fill="FFFFFF"/>
            <w:tcMar>
              <w:top w:w="80" w:type="dxa"/>
              <w:bottom w:w="80" w:type="dxa"/>
              <w:left w:w="120" w:type="dxa"/>
              <w:right w:w="120" w:type="dxa"/>
            </w:tcMar>
          </w:tcPr>
          <w:p>
            <w:pPr>
              <w:spacing w:before="0" w:after="0"/>
              <w:jc w:val="right"/>
            </w:pPr>
            <w:r>
              <w:rPr>
                <w:rFonts w:ascii="Calibri" w:hAnsi="Calibri"/>
                <w:color w:val="2D3748"/>
                <w:sz w:val="18"/>
              </w:rPr>
              <w:t>0.0%</w:t>
            </w:r>
          </w:p>
        </w:tc>
        <w:tc>
          <w:tcPr>
            <w:tcW w:type="dxa" w:w="2736"/>
            <w:shd w:fill="FFFFFF"/>
            <w:tcMar>
              <w:top w:w="80" w:type="dxa"/>
              <w:bottom w:w="80" w:type="dxa"/>
              <w:left w:w="120" w:type="dxa"/>
              <w:right w:w="120" w:type="dxa"/>
            </w:tcMar>
          </w:tcPr>
          <w:p>
            <w:pPr>
              <w:spacing w:before="0" w:after="0"/>
              <w:jc w:val="left"/>
            </w:pPr>
            <w:r>
              <w:rPr>
                <w:rFonts w:ascii="Calibri" w:hAnsi="Calibri"/>
                <w:color w:val="2D3748"/>
                <w:sz w:val="18"/>
              </w:rPr>
              <w:t>Sin vencimientos corrientes de deuda.</w:t>
            </w:r>
          </w:p>
        </w:tc>
      </w:tr>
      <w:tr>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Deuda Financiera a Largo Plazo</w:t>
            </w:r>
          </w:p>
        </w:tc>
        <w:tc>
          <w:tcPr>
            <w:tcW w:type="dxa" w:w="1440"/>
            <w:shd w:fill="F7FAFC"/>
            <w:tcMar>
              <w:top w:w="80" w:type="dxa"/>
              <w:bottom w:w="80" w:type="dxa"/>
              <w:left w:w="120" w:type="dxa"/>
              <w:right w:w="120" w:type="dxa"/>
            </w:tcMar>
          </w:tcPr>
          <w:p>
            <w:pPr>
              <w:spacing w:before="0" w:after="0"/>
              <w:jc w:val="right"/>
            </w:pPr>
            <w:r>
              <w:rPr>
                <w:rFonts w:ascii="Calibri" w:hAnsi="Calibri"/>
                <w:color w:val="2D3748"/>
                <w:sz w:val="18"/>
              </w:rPr>
              <w:t>$0.0 M</w:t>
            </w:r>
          </w:p>
        </w:tc>
        <w:tc>
          <w:tcPr>
            <w:tcW w:type="dxa" w:w="1440"/>
            <w:shd w:fill="F7FAFC"/>
            <w:tcMar>
              <w:top w:w="80" w:type="dxa"/>
              <w:bottom w:w="80" w:type="dxa"/>
              <w:left w:w="120" w:type="dxa"/>
              <w:right w:w="120" w:type="dxa"/>
            </w:tcMar>
          </w:tcPr>
          <w:p>
            <w:pPr>
              <w:spacing w:before="0" w:after="0"/>
              <w:jc w:val="right"/>
            </w:pPr>
            <w:r>
              <w:rPr>
                <w:rFonts w:ascii="Calibri" w:hAnsi="Calibri"/>
                <w:color w:val="2D3748"/>
                <w:sz w:val="18"/>
              </w:rPr>
              <w:t>$0.0 M</w:t>
            </w:r>
          </w:p>
        </w:tc>
        <w:tc>
          <w:tcPr>
            <w:tcW w:type="dxa" w:w="1584"/>
            <w:shd w:fill="F7FAFC"/>
            <w:tcMar>
              <w:top w:w="80" w:type="dxa"/>
              <w:bottom w:w="80" w:type="dxa"/>
              <w:left w:w="120" w:type="dxa"/>
              <w:right w:w="120" w:type="dxa"/>
            </w:tcMar>
          </w:tcPr>
          <w:p>
            <w:pPr>
              <w:spacing w:before="0" w:after="0"/>
              <w:jc w:val="right"/>
            </w:pPr>
            <w:r>
              <w:rPr>
                <w:rFonts w:ascii="Calibri" w:hAnsi="Calibri"/>
                <w:color w:val="2D3748"/>
                <w:sz w:val="18"/>
              </w:rPr>
              <w:t>0.0%</w:t>
            </w:r>
          </w:p>
        </w:tc>
        <w:tc>
          <w:tcPr>
            <w:tcW w:type="dxa" w:w="2736"/>
            <w:shd w:fill="F7FAFC"/>
            <w:tcMar>
              <w:top w:w="80" w:type="dxa"/>
              <w:bottom w:w="80" w:type="dxa"/>
              <w:left w:w="120" w:type="dxa"/>
              <w:right w:w="120" w:type="dxa"/>
            </w:tcMar>
          </w:tcPr>
          <w:p>
            <w:pPr>
              <w:spacing w:before="0" w:after="0"/>
              <w:jc w:val="left"/>
            </w:pPr>
            <w:r>
              <w:rPr>
                <w:rFonts w:ascii="Calibri" w:hAnsi="Calibri"/>
                <w:color w:val="2D3748"/>
                <w:sz w:val="18"/>
              </w:rPr>
              <w:t>Cero bonos o préstamos bancarios de largo plazo en balance.</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DEUDA BRUTA TOTAL</w:t>
            </w:r>
          </w:p>
        </w:tc>
        <w:tc>
          <w:tcPr>
            <w:tcW w:type="dxa" w:w="1440"/>
            <w:shd w:fill="FFFFFF"/>
            <w:tcMar>
              <w:top w:w="80" w:type="dxa"/>
              <w:bottom w:w="80" w:type="dxa"/>
              <w:left w:w="120" w:type="dxa"/>
              <w:right w:w="120" w:type="dxa"/>
            </w:tcMar>
          </w:tcPr>
          <w:p>
            <w:pPr>
              <w:spacing w:before="0" w:after="0"/>
              <w:jc w:val="right"/>
            </w:pPr>
            <w:r>
              <w:rPr>
                <w:rFonts w:ascii="Calibri" w:hAnsi="Calibri"/>
                <w:color w:val="2D3748"/>
                <w:sz w:val="18"/>
              </w:rPr>
              <w:t>$0.0 M</w:t>
            </w:r>
          </w:p>
        </w:tc>
        <w:tc>
          <w:tcPr>
            <w:tcW w:type="dxa" w:w="1440"/>
            <w:shd w:fill="FFFFFF"/>
            <w:tcMar>
              <w:top w:w="80" w:type="dxa"/>
              <w:bottom w:w="80" w:type="dxa"/>
              <w:left w:w="120" w:type="dxa"/>
              <w:right w:w="120" w:type="dxa"/>
            </w:tcMar>
          </w:tcPr>
          <w:p>
            <w:pPr>
              <w:spacing w:before="0" w:after="0"/>
              <w:jc w:val="right"/>
            </w:pPr>
            <w:r>
              <w:rPr>
                <w:rFonts w:ascii="Calibri" w:hAnsi="Calibri"/>
                <w:color w:val="2D3748"/>
                <w:sz w:val="18"/>
              </w:rPr>
              <w:t>$0.0 M</w:t>
            </w:r>
          </w:p>
        </w:tc>
        <w:tc>
          <w:tcPr>
            <w:tcW w:type="dxa" w:w="1584"/>
            <w:shd w:fill="FFFFFF"/>
            <w:tcMar>
              <w:top w:w="80" w:type="dxa"/>
              <w:bottom w:w="80" w:type="dxa"/>
              <w:left w:w="120" w:type="dxa"/>
              <w:right w:w="120" w:type="dxa"/>
            </w:tcMar>
          </w:tcPr>
          <w:p>
            <w:pPr>
              <w:spacing w:before="0" w:after="0"/>
              <w:jc w:val="right"/>
            </w:pPr>
            <w:r>
              <w:rPr>
                <w:rFonts w:ascii="Calibri" w:hAnsi="Calibri"/>
                <w:color w:val="2D3748"/>
                <w:sz w:val="18"/>
              </w:rPr>
              <w:t>0.0%</w:t>
            </w:r>
          </w:p>
        </w:tc>
        <w:tc>
          <w:tcPr>
            <w:tcW w:type="dxa" w:w="2736"/>
            <w:shd w:fill="FFFFFF"/>
            <w:tcMar>
              <w:top w:w="80" w:type="dxa"/>
              <w:bottom w:w="80" w:type="dxa"/>
              <w:left w:w="120" w:type="dxa"/>
              <w:right w:w="120" w:type="dxa"/>
            </w:tcMar>
          </w:tcPr>
          <w:p>
            <w:pPr>
              <w:spacing w:before="0" w:after="0"/>
              <w:jc w:val="left"/>
            </w:pPr>
            <w:r>
              <w:rPr>
                <w:rFonts w:ascii="Calibri" w:hAnsi="Calibri"/>
                <w:color w:val="2D3748"/>
                <w:sz w:val="18"/>
              </w:rPr>
              <w:t>Estructura de capital 100% financiada con fondos propios (Equity).</w:t>
            </w:r>
          </w:p>
        </w:tc>
      </w:tr>
      <w:tr>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POSICIÓN NETA DE CAJA (NET CASH)</w:t>
            </w:r>
          </w:p>
        </w:tc>
        <w:tc>
          <w:tcPr>
            <w:tcW w:type="dxa" w:w="1440"/>
            <w:shd w:fill="F7FAFC"/>
            <w:tcMar>
              <w:top w:w="80" w:type="dxa"/>
              <w:bottom w:w="80" w:type="dxa"/>
              <w:left w:w="120" w:type="dxa"/>
              <w:right w:w="120" w:type="dxa"/>
            </w:tcMar>
          </w:tcPr>
          <w:p>
            <w:pPr>
              <w:spacing w:before="0" w:after="0"/>
              <w:jc w:val="right"/>
            </w:pPr>
            <w:r>
              <w:rPr>
                <w:rFonts w:ascii="Calibri" w:hAnsi="Calibri"/>
                <w:color w:val="2D3748"/>
                <w:sz w:val="18"/>
              </w:rPr>
              <w:t>+$1,602.6 M</w:t>
            </w:r>
          </w:p>
        </w:tc>
        <w:tc>
          <w:tcPr>
            <w:tcW w:type="dxa" w:w="1440"/>
            <w:shd w:fill="F7FAFC"/>
            <w:tcMar>
              <w:top w:w="80" w:type="dxa"/>
              <w:bottom w:w="80" w:type="dxa"/>
              <w:left w:w="120" w:type="dxa"/>
              <w:right w:w="120" w:type="dxa"/>
            </w:tcMar>
          </w:tcPr>
          <w:p>
            <w:pPr>
              <w:spacing w:before="0" w:after="0"/>
              <w:jc w:val="right"/>
            </w:pPr>
            <w:r>
              <w:rPr>
                <w:rFonts w:ascii="Calibri" w:hAnsi="Calibri"/>
                <w:color w:val="2D3748"/>
                <w:sz w:val="18"/>
              </w:rPr>
              <w:t>+$1,907.2 M</w:t>
            </w:r>
          </w:p>
        </w:tc>
        <w:tc>
          <w:tcPr>
            <w:tcW w:type="dxa" w:w="1584"/>
            <w:shd w:fill="F7FAFC"/>
            <w:tcMar>
              <w:top w:w="80" w:type="dxa"/>
              <w:bottom w:w="80" w:type="dxa"/>
              <w:left w:w="120" w:type="dxa"/>
              <w:right w:w="120" w:type="dxa"/>
            </w:tcMar>
          </w:tcPr>
          <w:p>
            <w:pPr>
              <w:spacing w:before="0" w:after="0"/>
              <w:jc w:val="right"/>
            </w:pPr>
            <w:r>
              <w:rPr>
                <w:rFonts w:ascii="Calibri" w:hAnsi="Calibri"/>
                <w:color w:val="2D3748"/>
                <w:sz w:val="18"/>
              </w:rPr>
              <w:t>-$304.6 M</w:t>
            </w:r>
          </w:p>
        </w:tc>
        <w:tc>
          <w:tcPr>
            <w:tcW w:type="dxa" w:w="2736"/>
            <w:shd w:fill="F7FAFC"/>
            <w:tcMar>
              <w:top w:w="80" w:type="dxa"/>
              <w:bottom w:w="80" w:type="dxa"/>
              <w:left w:w="120" w:type="dxa"/>
              <w:right w:w="120" w:type="dxa"/>
            </w:tcMar>
          </w:tcPr>
          <w:p>
            <w:pPr>
              <w:spacing w:before="0" w:after="0"/>
              <w:jc w:val="left"/>
            </w:pPr>
            <w:r>
              <w:rPr>
                <w:rFonts w:ascii="Calibri" w:hAnsi="Calibri"/>
                <w:color w:val="2D3748"/>
                <w:sz w:val="18"/>
              </w:rPr>
              <w:t>Posición acreedora pura: más de $1.6B limpios sin pasivos bancarios.</w:t>
            </w:r>
          </w:p>
        </w:tc>
      </w:tr>
    </w:tbl>
    <w:p>
      <w:pPr>
        <w:spacing w:after="120"/>
      </w:pPr>
    </w:p>
    <w:p>
      <w:pPr>
        <w:spacing w:before="40" w:after="80" w:line="276" w:lineRule="auto"/>
      </w:pPr>
      <w:r>
        <w:rPr>
          <w:rFonts w:ascii="Calibri" w:hAnsi="Calibri"/>
          <w:b/>
          <w:color w:val="2D3748"/>
          <w:sz w:val="20"/>
        </w:rPr>
        <w:t xml:space="preserve">• Estructura de Rendimiento de Tesorería: </w:t>
      </w:r>
      <w:r>
        <w:rPr>
          <w:rFonts w:ascii="Calibri" w:hAnsi="Calibri"/>
          <w:i w:val="0"/>
          <w:color w:val="2D3748"/>
          <w:sz w:val="20"/>
        </w:rPr>
        <w:t>Deckers opera sin deuda alguna ($0.0 M), colocando su excedente de tesorería de más de $1.6B en instrumentos monetarios de máxima calificación que generan ingresos por intereses sustanciales, optimizando la rentabilidad patrimonial sin asumir riesgo de crédito.</w:t>
      </w:r>
    </w:p>
    <w:p>
      <w:pPr>
        <w:keepNext/>
        <w:spacing w:before="200" w:after="80"/>
      </w:pPr>
      <w:r>
        <w:rPr>
          <w:rFonts w:ascii="Calibri" w:hAnsi="Calibri"/>
          <w:b/>
          <w:color w:val="4A5568"/>
          <w:sz w:val="22"/>
        </w:rPr>
        <w:t>6.2. Política de Retorno al Accionista: Recompra de Acciones y Dividendos</w:t>
      </w:r>
    </w:p>
    <w:p>
      <w:pPr>
        <w:spacing w:before="40" w:after="80" w:line="276" w:lineRule="auto"/>
      </w:pPr>
      <w:r>
        <w:rPr>
          <w:rFonts w:ascii="Calibri" w:hAnsi="Calibri"/>
          <w:i w:val="0"/>
          <w:color w:val="2D3748"/>
          <w:sz w:val="20"/>
        </w:rPr>
        <w:t>Deckers destina sistemáticamente su Flujo de Caja Libre a recomprar sus propias acciones en el mercado abierto, combinando esta disciplina con el desdoblamiento accionario (stock split 6:1) efectuado en septiembre de 2024:</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3024"/>
            <w:shd w:fill="1B365D"/>
            <w:tcMar>
              <w:top w:w="100" w:type="dxa"/>
              <w:bottom w:w="100" w:type="dxa"/>
              <w:left w:w="120" w:type="dxa"/>
              <w:right w:w="120" w:type="dxa"/>
            </w:tcMar>
          </w:tcPr>
          <w:p>
            <w:pPr>
              <w:spacing w:before="0" w:after="0"/>
              <w:jc w:val="left"/>
            </w:pPr>
            <w:r>
              <w:rPr>
                <w:rFonts w:ascii="Calibri" w:hAnsi="Calibri"/>
                <w:b/>
                <w:color w:val="FFFFFF"/>
                <w:sz w:val="19"/>
              </w:rPr>
              <w:t>Componente de Retorno</w:t>
            </w:r>
          </w:p>
        </w:tc>
        <w:tc>
          <w:tcPr>
            <w:tcW w:type="dxa" w:w="1728"/>
            <w:shd w:fill="1B365D"/>
            <w:tcMar>
              <w:top w:w="100" w:type="dxa"/>
              <w:bottom w:w="100" w:type="dxa"/>
              <w:left w:w="120" w:type="dxa"/>
              <w:right w:w="120" w:type="dxa"/>
            </w:tcMar>
          </w:tcPr>
          <w:p>
            <w:pPr>
              <w:spacing w:before="0" w:after="0"/>
              <w:jc w:val="right"/>
            </w:pPr>
            <w:r>
              <w:rPr>
                <w:rFonts w:ascii="Calibri" w:hAnsi="Calibri"/>
                <w:b/>
                <w:color w:val="FFFFFF"/>
                <w:sz w:val="19"/>
              </w:rPr>
              <w:t>Últimos 12M (LTM)</w:t>
            </w:r>
          </w:p>
        </w:tc>
        <w:tc>
          <w:tcPr>
            <w:tcW w:type="dxa" w:w="1728"/>
            <w:shd w:fill="1B365D"/>
            <w:tcMar>
              <w:top w:w="100" w:type="dxa"/>
              <w:bottom w:w="100" w:type="dxa"/>
              <w:left w:w="120" w:type="dxa"/>
              <w:right w:w="120" w:type="dxa"/>
            </w:tcMar>
          </w:tcPr>
          <w:p>
            <w:pPr>
              <w:spacing w:before="0" w:after="0"/>
              <w:jc w:val="right"/>
            </w:pPr>
            <w:r>
              <w:rPr>
                <w:rFonts w:ascii="Calibri" w:hAnsi="Calibri"/>
                <w:b/>
                <w:color w:val="FFFFFF"/>
                <w:sz w:val="19"/>
              </w:rPr>
              <w:t>Ejercicio FY2026</w:t>
            </w:r>
          </w:p>
        </w:tc>
        <w:tc>
          <w:tcPr>
            <w:tcW w:type="dxa" w:w="3312"/>
            <w:shd w:fill="1B365D"/>
            <w:tcMar>
              <w:top w:w="100" w:type="dxa"/>
              <w:bottom w:w="100" w:type="dxa"/>
              <w:left w:w="120" w:type="dxa"/>
              <w:right w:w="120" w:type="dxa"/>
            </w:tcMar>
          </w:tcPr>
          <w:p>
            <w:pPr>
              <w:spacing w:before="0" w:after="0"/>
              <w:jc w:val="left"/>
            </w:pPr>
            <w:r>
              <w:rPr>
                <w:rFonts w:ascii="Calibri" w:hAnsi="Calibri"/>
                <w:b/>
                <w:color w:val="FFFFFF"/>
                <w:sz w:val="19"/>
              </w:rPr>
              <w:t>Impacto en la Tesis del Accionista</w:t>
            </w:r>
          </w:p>
        </w:tc>
      </w:tr>
      <w:tr>
        <w:tc>
          <w:tcPr>
            <w:tcW w:type="dxa" w:w="3024"/>
            <w:shd w:fill="FFFFFF"/>
            <w:tcMar>
              <w:top w:w="80" w:type="dxa"/>
              <w:bottom w:w="80" w:type="dxa"/>
              <w:left w:w="120" w:type="dxa"/>
              <w:right w:w="120" w:type="dxa"/>
            </w:tcMar>
          </w:tcPr>
          <w:p>
            <w:pPr>
              <w:spacing w:before="0" w:after="0"/>
              <w:jc w:val="left"/>
            </w:pPr>
            <w:r>
              <w:rPr>
                <w:rFonts w:ascii="Calibri" w:hAnsi="Calibri"/>
                <w:color w:val="2D3748"/>
                <w:sz w:val="18"/>
              </w:rPr>
              <w:t>Recompra Neta de Acciones Comunes</w:t>
            </w:r>
          </w:p>
        </w:tc>
        <w:tc>
          <w:tcPr>
            <w:tcW w:type="dxa" w:w="1728"/>
            <w:shd w:fill="FFFFFF"/>
            <w:tcMar>
              <w:top w:w="80" w:type="dxa"/>
              <w:bottom w:w="80" w:type="dxa"/>
              <w:left w:w="120" w:type="dxa"/>
              <w:right w:w="120" w:type="dxa"/>
            </w:tcMar>
          </w:tcPr>
          <w:p>
            <w:pPr>
              <w:spacing w:before="0" w:after="0"/>
              <w:jc w:val="right"/>
            </w:pPr>
            <w:r>
              <w:rPr>
                <w:rFonts w:ascii="Calibri" w:hAnsi="Calibri"/>
                <w:color w:val="2D3748"/>
                <w:sz w:val="18"/>
              </w:rPr>
              <w:t>$418.5 M</w:t>
            </w:r>
          </w:p>
        </w:tc>
        <w:tc>
          <w:tcPr>
            <w:tcW w:type="dxa" w:w="1728"/>
            <w:shd w:fill="FFFFFF"/>
            <w:tcMar>
              <w:top w:w="80" w:type="dxa"/>
              <w:bottom w:w="80" w:type="dxa"/>
              <w:left w:w="120" w:type="dxa"/>
              <w:right w:w="120" w:type="dxa"/>
            </w:tcMar>
          </w:tcPr>
          <w:p>
            <w:pPr>
              <w:spacing w:before="0" w:after="0"/>
              <w:jc w:val="right"/>
            </w:pPr>
            <w:r>
              <w:rPr>
                <w:rFonts w:ascii="Calibri" w:hAnsi="Calibri"/>
                <w:color w:val="2D3748"/>
                <w:sz w:val="18"/>
              </w:rPr>
              <w:t>$453.2 M</w:t>
            </w:r>
          </w:p>
        </w:tc>
        <w:tc>
          <w:tcPr>
            <w:tcW w:type="dxa" w:w="3312"/>
            <w:shd w:fill="FFFFFF"/>
            <w:tcMar>
              <w:top w:w="80" w:type="dxa"/>
              <w:bottom w:w="80" w:type="dxa"/>
              <w:left w:w="120" w:type="dxa"/>
              <w:right w:w="120" w:type="dxa"/>
            </w:tcMar>
          </w:tcPr>
          <w:p>
            <w:pPr>
              <w:spacing w:before="0" w:after="0"/>
              <w:jc w:val="left"/>
            </w:pPr>
            <w:r>
              <w:rPr>
                <w:rFonts w:ascii="Calibri" w:hAnsi="Calibri"/>
                <w:color w:val="2D3748"/>
                <w:sz w:val="18"/>
              </w:rPr>
              <w:t>Retiro masivo de títulos en mercado abierto bajo autorización formal.</w:t>
            </w:r>
          </w:p>
        </w:tc>
      </w:tr>
      <w:tr>
        <w:tc>
          <w:tcPr>
            <w:tcW w:type="dxa" w:w="3024"/>
            <w:shd w:fill="F7FAFC"/>
            <w:tcMar>
              <w:top w:w="80" w:type="dxa"/>
              <w:bottom w:w="80" w:type="dxa"/>
              <w:left w:w="120" w:type="dxa"/>
              <w:right w:w="120" w:type="dxa"/>
            </w:tcMar>
          </w:tcPr>
          <w:p>
            <w:pPr>
              <w:spacing w:before="0" w:after="0"/>
              <w:jc w:val="left"/>
            </w:pPr>
            <w:r>
              <w:rPr>
                <w:rFonts w:ascii="Calibri" w:hAnsi="Calibri"/>
                <w:color w:val="2D3748"/>
                <w:sz w:val="18"/>
              </w:rPr>
              <w:t>Dividendos en Efectivo Distribuidos</w:t>
            </w:r>
          </w:p>
        </w:tc>
        <w:tc>
          <w:tcPr>
            <w:tcW w:type="dxa" w:w="1728"/>
            <w:shd w:fill="F7FAFC"/>
            <w:tcMar>
              <w:top w:w="80" w:type="dxa"/>
              <w:bottom w:w="80" w:type="dxa"/>
              <w:left w:w="120" w:type="dxa"/>
              <w:right w:w="120" w:type="dxa"/>
            </w:tcMar>
          </w:tcPr>
          <w:p>
            <w:pPr>
              <w:spacing w:before="0" w:after="0"/>
              <w:jc w:val="right"/>
            </w:pPr>
            <w:r>
              <w:rPr>
                <w:rFonts w:ascii="Calibri" w:hAnsi="Calibri"/>
                <w:color w:val="2D3748"/>
                <w:sz w:val="18"/>
              </w:rPr>
              <w:t>$0.0 M</w:t>
            </w:r>
          </w:p>
        </w:tc>
        <w:tc>
          <w:tcPr>
            <w:tcW w:type="dxa" w:w="1728"/>
            <w:shd w:fill="F7FAFC"/>
            <w:tcMar>
              <w:top w:w="80" w:type="dxa"/>
              <w:bottom w:w="80" w:type="dxa"/>
              <w:left w:w="120" w:type="dxa"/>
              <w:right w:w="120" w:type="dxa"/>
            </w:tcMar>
          </w:tcPr>
          <w:p>
            <w:pPr>
              <w:spacing w:before="0" w:after="0"/>
              <w:jc w:val="right"/>
            </w:pPr>
            <w:r>
              <w:rPr>
                <w:rFonts w:ascii="Calibri" w:hAnsi="Calibri"/>
                <w:color w:val="2D3748"/>
                <w:sz w:val="18"/>
              </w:rPr>
              <w:t>$0.0 M</w:t>
            </w:r>
          </w:p>
        </w:tc>
        <w:tc>
          <w:tcPr>
            <w:tcW w:type="dxa" w:w="3312"/>
            <w:shd w:fill="F7FAFC"/>
            <w:tcMar>
              <w:top w:w="80" w:type="dxa"/>
              <w:bottom w:w="80" w:type="dxa"/>
              <w:left w:w="120" w:type="dxa"/>
              <w:right w:w="120" w:type="dxa"/>
            </w:tcMar>
          </w:tcPr>
          <w:p>
            <w:pPr>
              <w:spacing w:before="0" w:after="0"/>
              <w:jc w:val="left"/>
            </w:pPr>
            <w:r>
              <w:rPr>
                <w:rFonts w:ascii="Calibri" w:hAnsi="Calibri"/>
                <w:color w:val="2D3748"/>
                <w:sz w:val="18"/>
              </w:rPr>
              <w:t>La directiva prioriza recompras por eficiencia fiscal y flexibilidad.</w:t>
            </w:r>
          </w:p>
        </w:tc>
      </w:tr>
      <w:tr>
        <w:tc>
          <w:tcPr>
            <w:tcW w:type="dxa" w:w="3024"/>
            <w:shd w:fill="FFFFFF"/>
            <w:tcMar>
              <w:top w:w="80" w:type="dxa"/>
              <w:bottom w:w="80" w:type="dxa"/>
              <w:left w:w="120" w:type="dxa"/>
              <w:right w:w="120" w:type="dxa"/>
            </w:tcMar>
          </w:tcPr>
          <w:p>
            <w:pPr>
              <w:spacing w:before="0" w:after="0"/>
              <w:jc w:val="left"/>
            </w:pPr>
            <w:r>
              <w:rPr>
                <w:rFonts w:ascii="Calibri" w:hAnsi="Calibri"/>
                <w:color w:val="2D3748"/>
                <w:sz w:val="18"/>
              </w:rPr>
              <w:t>RETORNO TOTAL DE CAPITAL</w:t>
            </w:r>
          </w:p>
        </w:tc>
        <w:tc>
          <w:tcPr>
            <w:tcW w:type="dxa" w:w="1728"/>
            <w:shd w:fill="FFFFFF"/>
            <w:tcMar>
              <w:top w:w="80" w:type="dxa"/>
              <w:bottom w:w="80" w:type="dxa"/>
              <w:left w:w="120" w:type="dxa"/>
              <w:right w:w="120" w:type="dxa"/>
            </w:tcMar>
          </w:tcPr>
          <w:p>
            <w:pPr>
              <w:spacing w:before="0" w:after="0"/>
              <w:jc w:val="right"/>
            </w:pPr>
            <w:r>
              <w:rPr>
                <w:rFonts w:ascii="Calibri" w:hAnsi="Calibri"/>
                <w:color w:val="2D3748"/>
                <w:sz w:val="18"/>
              </w:rPr>
              <w:t>$418.5 M</w:t>
            </w:r>
          </w:p>
        </w:tc>
        <w:tc>
          <w:tcPr>
            <w:tcW w:type="dxa" w:w="1728"/>
            <w:shd w:fill="FFFFFF"/>
            <w:tcMar>
              <w:top w:w="80" w:type="dxa"/>
              <w:bottom w:w="80" w:type="dxa"/>
              <w:left w:w="120" w:type="dxa"/>
              <w:right w:w="120" w:type="dxa"/>
            </w:tcMar>
          </w:tcPr>
          <w:p>
            <w:pPr>
              <w:spacing w:before="0" w:after="0"/>
              <w:jc w:val="right"/>
            </w:pPr>
            <w:r>
              <w:rPr>
                <w:rFonts w:ascii="Calibri" w:hAnsi="Calibri"/>
                <w:color w:val="2D3748"/>
                <w:sz w:val="18"/>
              </w:rPr>
              <w:t>$453.2 M</w:t>
            </w:r>
          </w:p>
        </w:tc>
        <w:tc>
          <w:tcPr>
            <w:tcW w:type="dxa" w:w="3312"/>
            <w:shd w:fill="FFFFFF"/>
            <w:tcMar>
              <w:top w:w="80" w:type="dxa"/>
              <w:bottom w:w="80" w:type="dxa"/>
              <w:left w:w="120" w:type="dxa"/>
              <w:right w:w="120" w:type="dxa"/>
            </w:tcMar>
          </w:tcPr>
          <w:p>
            <w:pPr>
              <w:spacing w:before="0" w:after="0"/>
              <w:jc w:val="left"/>
            </w:pPr>
            <w:r>
              <w:rPr>
                <w:rFonts w:ascii="Calibri" w:hAnsi="Calibri"/>
                <w:color w:val="2D3748"/>
                <w:sz w:val="18"/>
              </w:rPr>
              <w:t>El 100% del retorno se canaliza a recompras que impulsan el BPA.</w:t>
            </w:r>
          </w:p>
        </w:tc>
      </w:tr>
      <w:tr>
        <w:tc>
          <w:tcPr>
            <w:tcW w:type="dxa" w:w="3024"/>
            <w:shd w:fill="F7FAFC"/>
            <w:tcMar>
              <w:top w:w="80" w:type="dxa"/>
              <w:bottom w:w="80" w:type="dxa"/>
              <w:left w:w="120" w:type="dxa"/>
              <w:right w:w="120" w:type="dxa"/>
            </w:tcMar>
          </w:tcPr>
          <w:p>
            <w:pPr>
              <w:spacing w:before="0" w:after="0"/>
              <w:jc w:val="left"/>
            </w:pPr>
            <w:r>
              <w:rPr>
                <w:rFonts w:ascii="Calibri" w:hAnsi="Calibri"/>
                <w:color w:val="2D3748"/>
                <w:sz w:val="18"/>
              </w:rPr>
              <w:t>Acciones Diluidas en Circulación</w:t>
            </w:r>
          </w:p>
        </w:tc>
        <w:tc>
          <w:tcPr>
            <w:tcW w:type="dxa" w:w="1728"/>
            <w:shd w:fill="F7FAFC"/>
            <w:tcMar>
              <w:top w:w="80" w:type="dxa"/>
              <w:bottom w:w="80" w:type="dxa"/>
              <w:left w:w="120" w:type="dxa"/>
              <w:right w:w="120" w:type="dxa"/>
            </w:tcMar>
          </w:tcPr>
          <w:p>
            <w:pPr>
              <w:spacing w:before="0" w:after="0"/>
              <w:jc w:val="right"/>
            </w:pPr>
            <w:r>
              <w:rPr>
                <w:rFonts w:ascii="Calibri" w:hAnsi="Calibri"/>
                <w:color w:val="2D3748"/>
                <w:sz w:val="18"/>
              </w:rPr>
              <w:t>138.6 Millones</w:t>
            </w:r>
          </w:p>
        </w:tc>
        <w:tc>
          <w:tcPr>
            <w:tcW w:type="dxa" w:w="1728"/>
            <w:shd w:fill="F7FAFC"/>
            <w:tcMar>
              <w:top w:w="80" w:type="dxa"/>
              <w:bottom w:w="80" w:type="dxa"/>
              <w:left w:w="120" w:type="dxa"/>
              <w:right w:w="120" w:type="dxa"/>
            </w:tcMar>
          </w:tcPr>
          <w:p>
            <w:pPr>
              <w:spacing w:before="0" w:after="0"/>
              <w:jc w:val="right"/>
            </w:pPr>
            <w:r>
              <w:rPr>
                <w:rFonts w:ascii="Calibri" w:hAnsi="Calibri"/>
                <w:color w:val="2D3748"/>
                <w:sz w:val="18"/>
              </w:rPr>
              <w:t>145.8 Millones</w:t>
            </w:r>
          </w:p>
        </w:tc>
        <w:tc>
          <w:tcPr>
            <w:tcW w:type="dxa" w:w="3312"/>
            <w:shd w:fill="F7FAFC"/>
            <w:tcMar>
              <w:top w:w="80" w:type="dxa"/>
              <w:bottom w:w="80" w:type="dxa"/>
              <w:left w:w="120" w:type="dxa"/>
              <w:right w:w="120" w:type="dxa"/>
            </w:tcMar>
          </w:tcPr>
          <w:p>
            <w:pPr>
              <w:spacing w:before="0" w:after="0"/>
              <w:jc w:val="left"/>
            </w:pPr>
            <w:r>
              <w:rPr>
                <w:rFonts w:ascii="Calibri" w:hAnsi="Calibri"/>
                <w:color w:val="2D3748"/>
                <w:sz w:val="18"/>
              </w:rPr>
              <w:t>-7.2 Millones de acciones retiradas en los últimos 12 meses (-4.9%).</w:t>
            </w:r>
          </w:p>
        </w:tc>
      </w:tr>
      <w:tr>
        <w:tc>
          <w:tcPr>
            <w:tcW w:type="dxa" w:w="3024"/>
            <w:shd w:fill="FFFFFF"/>
            <w:tcMar>
              <w:top w:w="80" w:type="dxa"/>
              <w:bottom w:w="80" w:type="dxa"/>
              <w:left w:w="120" w:type="dxa"/>
              <w:right w:w="120" w:type="dxa"/>
            </w:tcMar>
          </w:tcPr>
          <w:p>
            <w:pPr>
              <w:spacing w:before="0" w:after="0"/>
              <w:jc w:val="left"/>
            </w:pPr>
            <w:r>
              <w:rPr>
                <w:rFonts w:ascii="Calibri" w:hAnsi="Calibri"/>
                <w:color w:val="2D3748"/>
                <w:sz w:val="18"/>
              </w:rPr>
              <w:t>Efecto Turbo en Beneficio por Acción (EPS)</w:t>
            </w:r>
          </w:p>
        </w:tc>
        <w:tc>
          <w:tcPr>
            <w:tcW w:type="dxa" w:w="1728"/>
            <w:shd w:fill="FFFFFF"/>
            <w:tcMar>
              <w:top w:w="80" w:type="dxa"/>
              <w:bottom w:w="80" w:type="dxa"/>
              <w:left w:w="120" w:type="dxa"/>
              <w:right w:w="120" w:type="dxa"/>
            </w:tcMar>
          </w:tcPr>
          <w:p>
            <w:pPr>
              <w:spacing w:before="0" w:after="0"/>
              <w:jc w:val="right"/>
            </w:pPr>
            <w:r>
              <w:rPr>
                <w:rFonts w:ascii="Calibri" w:hAnsi="Calibri"/>
                <w:color w:val="2D3748"/>
                <w:sz w:val="18"/>
              </w:rPr>
              <w:t>+15.6% YoY</w:t>
            </w:r>
          </w:p>
        </w:tc>
        <w:tc>
          <w:tcPr>
            <w:tcW w:type="dxa" w:w="1728"/>
            <w:shd w:fill="FFFFFF"/>
            <w:tcMar>
              <w:top w:w="80" w:type="dxa"/>
              <w:bottom w:w="80" w:type="dxa"/>
              <w:left w:w="120" w:type="dxa"/>
              <w:right w:w="120" w:type="dxa"/>
            </w:tcMar>
          </w:tcPr>
          <w:p>
            <w:pPr>
              <w:spacing w:before="0" w:after="0"/>
              <w:jc w:val="right"/>
            </w:pPr>
            <w:r>
              <w:rPr>
                <w:rFonts w:ascii="Calibri" w:hAnsi="Calibri"/>
                <w:color w:val="2D3748"/>
                <w:sz w:val="18"/>
              </w:rPr>
              <w:t>vs. +6.0% Net Inc.</w:t>
            </w:r>
          </w:p>
        </w:tc>
        <w:tc>
          <w:tcPr>
            <w:tcW w:type="dxa" w:w="3312"/>
            <w:shd w:fill="FFFFFF"/>
            <w:tcMar>
              <w:top w:w="80" w:type="dxa"/>
              <w:bottom w:w="80" w:type="dxa"/>
              <w:left w:w="120" w:type="dxa"/>
              <w:right w:w="120" w:type="dxa"/>
            </w:tcMar>
          </w:tcPr>
          <w:p>
            <w:pPr>
              <w:spacing w:before="0" w:after="0"/>
              <w:jc w:val="left"/>
            </w:pPr>
            <w:r>
              <w:rPr>
                <w:rFonts w:ascii="Calibri" w:hAnsi="Calibri"/>
                <w:color w:val="2D3748"/>
                <w:sz w:val="18"/>
              </w:rPr>
              <w:t>La recompra neta acelera el crecimiento del BPA muy por encima del beneficio neto.</w:t>
            </w:r>
          </w:p>
        </w:tc>
      </w:tr>
    </w:tbl>
    <w:p>
      <w:pPr>
        <w:spacing w:after="120"/>
      </w:pPr>
    </w:p>
    <w:p>
      <w:pPr>
        <w:spacing w:before="40" w:after="80" w:line="276" w:lineRule="auto"/>
      </w:pPr>
      <w:r>
        <w:rPr>
          <w:rFonts w:ascii="Calibri" w:hAnsi="Calibri"/>
          <w:b/>
          <w:color w:val="2D3748"/>
          <w:sz w:val="20"/>
        </w:rPr>
        <w:t xml:space="preserve">• Calidad de la Recompra vs. Dilución por SBC: </w:t>
      </w:r>
      <w:r>
        <w:rPr>
          <w:rFonts w:ascii="Calibri" w:hAnsi="Calibri"/>
          <w:i w:val="0"/>
          <w:color w:val="2D3748"/>
          <w:sz w:val="20"/>
        </w:rPr>
        <w:t>Frente a los $418.5M destinados a recompras en LTM, la compensación en acciones a directivos (SBC) totalizó $41.2M. Por lo tanto, el 90.2% de la recompra es creación neta de valor real, contrayendo el número total de acciones y aumentando el porcentaje patrimonial de cada título restante.</w:t>
      </w:r>
    </w:p>
    <w:p>
      <w:pPr>
        <w:keepNext/>
        <w:spacing w:before="200" w:after="80"/>
      </w:pPr>
      <w:r>
        <w:rPr>
          <w:rFonts w:ascii="Calibri" w:hAnsi="Calibri"/>
          <w:b/>
          <w:color w:val="4A5568"/>
          <w:sz w:val="22"/>
        </w:rPr>
        <w:t>6.3. Inversiones Estratégicas, Adquisiciones (M&amp;A) y Expansión Productiva</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2448"/>
            <w:shd w:fill="1B365D"/>
            <w:tcMar>
              <w:top w:w="100" w:type="dxa"/>
              <w:bottom w:w="100" w:type="dxa"/>
              <w:left w:w="120" w:type="dxa"/>
              <w:right w:w="120" w:type="dxa"/>
            </w:tcMar>
          </w:tcPr>
          <w:p>
            <w:pPr>
              <w:spacing w:before="0" w:after="0"/>
              <w:jc w:val="left"/>
            </w:pPr>
            <w:r>
              <w:rPr>
                <w:rFonts w:ascii="Calibri" w:hAnsi="Calibri"/>
                <w:b/>
                <w:color w:val="FFFFFF"/>
                <w:sz w:val="19"/>
              </w:rPr>
              <w:t>Iniciativa / Transacción</w:t>
            </w:r>
          </w:p>
        </w:tc>
        <w:tc>
          <w:tcPr>
            <w:tcW w:type="dxa" w:w="1872"/>
            <w:shd w:fill="1B365D"/>
            <w:tcMar>
              <w:top w:w="100" w:type="dxa"/>
              <w:bottom w:w="100" w:type="dxa"/>
              <w:left w:w="120" w:type="dxa"/>
              <w:right w:w="120" w:type="dxa"/>
            </w:tcMar>
          </w:tcPr>
          <w:p>
            <w:pPr>
              <w:spacing w:before="0" w:after="0"/>
              <w:jc w:val="left"/>
            </w:pPr>
            <w:r>
              <w:rPr>
                <w:rFonts w:ascii="Calibri" w:hAnsi="Calibri"/>
                <w:b/>
                <w:color w:val="FFFFFF"/>
                <w:sz w:val="19"/>
              </w:rPr>
              <w:t>Tipo de Operación</w:t>
            </w:r>
          </w:p>
        </w:tc>
        <w:tc>
          <w:tcPr>
            <w:tcW w:type="dxa" w:w="1728"/>
            <w:shd w:fill="1B365D"/>
            <w:tcMar>
              <w:top w:w="100" w:type="dxa"/>
              <w:bottom w:w="100" w:type="dxa"/>
              <w:left w:w="120" w:type="dxa"/>
              <w:right w:w="120" w:type="dxa"/>
            </w:tcMar>
          </w:tcPr>
          <w:p>
            <w:pPr>
              <w:spacing w:before="0" w:after="0"/>
              <w:jc w:val="right"/>
            </w:pPr>
            <w:r>
              <w:rPr>
                <w:rFonts w:ascii="Calibri" w:hAnsi="Calibri"/>
                <w:b/>
                <w:color w:val="FFFFFF"/>
                <w:sz w:val="19"/>
              </w:rPr>
              <w:t>Capital / Compromiso</w:t>
            </w:r>
          </w:p>
        </w:tc>
        <w:tc>
          <w:tcPr>
            <w:tcW w:type="dxa" w:w="3744"/>
            <w:shd w:fill="1B365D"/>
            <w:tcMar>
              <w:top w:w="100" w:type="dxa"/>
              <w:bottom w:w="100" w:type="dxa"/>
              <w:left w:w="120" w:type="dxa"/>
              <w:right w:w="120" w:type="dxa"/>
            </w:tcMar>
          </w:tcPr>
          <w:p>
            <w:pPr>
              <w:spacing w:before="0" w:after="0"/>
              <w:jc w:val="left"/>
            </w:pPr>
            <w:r>
              <w:rPr>
                <w:rFonts w:ascii="Calibri" w:hAnsi="Calibri"/>
                <w:b/>
                <w:color w:val="FFFFFF"/>
                <w:sz w:val="19"/>
              </w:rPr>
              <w:t>¿Qué se busca estratégicamente con ello?</w:t>
            </w:r>
          </w:p>
        </w:tc>
      </w:tr>
      <w:tr>
        <w:tc>
          <w:tcPr>
            <w:tcW w:type="dxa" w:w="2448"/>
            <w:shd w:fill="FFFFFF"/>
            <w:tcMar>
              <w:top w:w="80" w:type="dxa"/>
              <w:bottom w:w="80" w:type="dxa"/>
              <w:left w:w="120" w:type="dxa"/>
              <w:right w:w="120" w:type="dxa"/>
            </w:tcMar>
          </w:tcPr>
          <w:p>
            <w:pPr>
              <w:spacing w:before="0" w:after="0"/>
              <w:jc w:val="left"/>
            </w:pPr>
            <w:r>
              <w:rPr>
                <w:rFonts w:ascii="Calibri" w:hAnsi="Calibri"/>
                <w:color w:val="2D3748"/>
                <w:sz w:val="18"/>
              </w:rPr>
              <w:t>Racionalización de Portafolio (Sanuk)</w:t>
            </w:r>
          </w:p>
        </w:tc>
        <w:tc>
          <w:tcPr>
            <w:tcW w:type="dxa" w:w="1872"/>
            <w:shd w:fill="FFFFFF"/>
            <w:tcMar>
              <w:top w:w="80" w:type="dxa"/>
              <w:bottom w:w="80" w:type="dxa"/>
              <w:left w:w="120" w:type="dxa"/>
              <w:right w:w="120" w:type="dxa"/>
            </w:tcMar>
          </w:tcPr>
          <w:p>
            <w:pPr>
              <w:spacing w:before="0" w:after="0"/>
              <w:jc w:val="left"/>
            </w:pPr>
            <w:r>
              <w:rPr>
                <w:rFonts w:ascii="Calibri" w:hAnsi="Calibri"/>
                <w:color w:val="2D3748"/>
                <w:sz w:val="18"/>
              </w:rPr>
              <w:t>Desinversión Selectiva</w:t>
            </w:r>
          </w:p>
        </w:tc>
        <w:tc>
          <w:tcPr>
            <w:tcW w:type="dxa" w:w="1728"/>
            <w:shd w:fill="FFFFFF"/>
            <w:tcMar>
              <w:top w:w="80" w:type="dxa"/>
              <w:bottom w:w="80" w:type="dxa"/>
              <w:left w:w="120" w:type="dxa"/>
              <w:right w:w="120" w:type="dxa"/>
            </w:tcMar>
          </w:tcPr>
          <w:p>
            <w:pPr>
              <w:spacing w:before="0" w:after="0"/>
              <w:jc w:val="right"/>
            </w:pPr>
            <w:r>
              <w:rPr>
                <w:rFonts w:ascii="Calibri" w:hAnsi="Calibri"/>
                <w:color w:val="2D3748"/>
                <w:sz w:val="18"/>
              </w:rPr>
              <w:t>Venta Estratégica</w:t>
            </w:r>
          </w:p>
        </w:tc>
        <w:tc>
          <w:tcPr>
            <w:tcW w:type="dxa" w:w="3744"/>
            <w:shd w:fill="FFFFFF"/>
            <w:tcMar>
              <w:top w:w="80" w:type="dxa"/>
              <w:bottom w:w="80" w:type="dxa"/>
              <w:left w:w="120" w:type="dxa"/>
              <w:right w:w="120" w:type="dxa"/>
            </w:tcMar>
          </w:tcPr>
          <w:p>
            <w:pPr>
              <w:spacing w:before="0" w:after="0"/>
              <w:jc w:val="left"/>
            </w:pPr>
            <w:r>
              <w:rPr>
                <w:rFonts w:ascii="Calibri" w:hAnsi="Calibri"/>
                <w:color w:val="2D3748"/>
                <w:sz w:val="18"/>
              </w:rPr>
              <w:t>Venta de marcas periféricas para concentrar el 100% de la capacidad de gestión y capital en los motores globales HOKA y UGG.</w:t>
            </w:r>
          </w:p>
        </w:tc>
      </w:tr>
      <w:tr>
        <w:tc>
          <w:tcPr>
            <w:tcW w:type="dxa" w:w="2448"/>
            <w:shd w:fill="F7FAFC"/>
            <w:tcMar>
              <w:top w:w="80" w:type="dxa"/>
              <w:bottom w:w="80" w:type="dxa"/>
              <w:left w:w="120" w:type="dxa"/>
              <w:right w:w="120" w:type="dxa"/>
            </w:tcMar>
          </w:tcPr>
          <w:p>
            <w:pPr>
              <w:spacing w:before="0" w:after="0"/>
              <w:jc w:val="left"/>
            </w:pPr>
            <w:r>
              <w:rPr>
                <w:rFonts w:ascii="Calibri" w:hAnsi="Calibri"/>
                <w:color w:val="2D3748"/>
                <w:sz w:val="18"/>
              </w:rPr>
              <w:t>Automatización de Centros de Distribución</w:t>
            </w:r>
          </w:p>
        </w:tc>
        <w:tc>
          <w:tcPr>
            <w:tcW w:type="dxa" w:w="1872"/>
            <w:shd w:fill="F7FAFC"/>
            <w:tcMar>
              <w:top w:w="80" w:type="dxa"/>
              <w:bottom w:w="80" w:type="dxa"/>
              <w:left w:w="120" w:type="dxa"/>
              <w:right w:w="120" w:type="dxa"/>
            </w:tcMar>
          </w:tcPr>
          <w:p>
            <w:pPr>
              <w:spacing w:before="0" w:after="0"/>
              <w:jc w:val="left"/>
            </w:pPr>
            <w:r>
              <w:rPr>
                <w:rFonts w:ascii="Calibri" w:hAnsi="Calibri"/>
                <w:color w:val="2D3748"/>
                <w:sz w:val="18"/>
              </w:rPr>
              <w:t>CapEx Logístico Directo</w:t>
            </w:r>
          </w:p>
        </w:tc>
        <w:tc>
          <w:tcPr>
            <w:tcW w:type="dxa" w:w="1728"/>
            <w:shd w:fill="F7FAFC"/>
            <w:tcMar>
              <w:top w:w="80" w:type="dxa"/>
              <w:bottom w:w="80" w:type="dxa"/>
              <w:left w:w="120" w:type="dxa"/>
              <w:right w:w="120" w:type="dxa"/>
            </w:tcMar>
          </w:tcPr>
          <w:p>
            <w:pPr>
              <w:spacing w:before="0" w:after="0"/>
              <w:jc w:val="right"/>
            </w:pPr>
            <w:r>
              <w:rPr>
                <w:rFonts w:ascii="Calibri" w:hAnsi="Calibri"/>
                <w:color w:val="2D3748"/>
                <w:sz w:val="18"/>
              </w:rPr>
              <w:t>~$80M - $100M</w:t>
            </w:r>
          </w:p>
        </w:tc>
        <w:tc>
          <w:tcPr>
            <w:tcW w:type="dxa" w:w="3744"/>
            <w:shd w:fill="F7FAFC"/>
            <w:tcMar>
              <w:top w:w="80" w:type="dxa"/>
              <w:bottom w:w="80" w:type="dxa"/>
              <w:left w:w="120" w:type="dxa"/>
              <w:right w:w="120" w:type="dxa"/>
            </w:tcMar>
          </w:tcPr>
          <w:p>
            <w:pPr>
              <w:spacing w:before="0" w:after="0"/>
              <w:jc w:val="left"/>
            </w:pPr>
            <w:r>
              <w:rPr>
                <w:rFonts w:ascii="Calibri" w:hAnsi="Calibri"/>
                <w:color w:val="2D3748"/>
                <w:sz w:val="18"/>
              </w:rPr>
              <w:t>Modernización de la red logística en EE.UU. y Europa para respaldar la aceleración de envíos directos al consumidor (DTC).</w:t>
            </w:r>
          </w:p>
        </w:tc>
      </w:tr>
      <w:tr>
        <w:tc>
          <w:tcPr>
            <w:tcW w:type="dxa" w:w="2448"/>
            <w:shd w:fill="FFFFFF"/>
            <w:tcMar>
              <w:top w:w="80" w:type="dxa"/>
              <w:bottom w:w="80" w:type="dxa"/>
              <w:left w:w="120" w:type="dxa"/>
              <w:right w:w="120" w:type="dxa"/>
            </w:tcMar>
          </w:tcPr>
          <w:p>
            <w:pPr>
              <w:spacing w:before="0" w:after="0"/>
              <w:jc w:val="left"/>
            </w:pPr>
            <w:r>
              <w:rPr>
                <w:rFonts w:ascii="Calibri" w:hAnsi="Calibri"/>
                <w:color w:val="2D3748"/>
                <w:sz w:val="18"/>
              </w:rPr>
              <w:t>Modelo Fabless (Sin Adquisiciones de Riesgo)</w:t>
            </w:r>
          </w:p>
        </w:tc>
        <w:tc>
          <w:tcPr>
            <w:tcW w:type="dxa" w:w="1872"/>
            <w:shd w:fill="FFFFFF"/>
            <w:tcMar>
              <w:top w:w="80" w:type="dxa"/>
              <w:bottom w:w="80" w:type="dxa"/>
              <w:left w:w="120" w:type="dxa"/>
              <w:right w:w="120" w:type="dxa"/>
            </w:tcMar>
          </w:tcPr>
          <w:p>
            <w:pPr>
              <w:spacing w:before="0" w:after="0"/>
              <w:jc w:val="left"/>
            </w:pPr>
            <w:r>
              <w:rPr>
                <w:rFonts w:ascii="Calibri" w:hAnsi="Calibri"/>
                <w:color w:val="2D3748"/>
                <w:sz w:val="18"/>
              </w:rPr>
              <w:t>Crecimiento Orgánico Puro</w:t>
            </w:r>
          </w:p>
        </w:tc>
        <w:tc>
          <w:tcPr>
            <w:tcW w:type="dxa" w:w="1728"/>
            <w:shd w:fill="FFFFFF"/>
            <w:tcMar>
              <w:top w:w="80" w:type="dxa"/>
              <w:bottom w:w="80" w:type="dxa"/>
              <w:left w:w="120" w:type="dxa"/>
              <w:right w:w="120" w:type="dxa"/>
            </w:tcMar>
          </w:tcPr>
          <w:p>
            <w:pPr>
              <w:spacing w:before="0" w:after="0"/>
              <w:jc w:val="right"/>
            </w:pPr>
            <w:r>
              <w:rPr>
                <w:rFonts w:ascii="Calibri" w:hAnsi="Calibri"/>
                <w:color w:val="2D3748"/>
                <w:sz w:val="18"/>
              </w:rPr>
              <w:t>Reinversión de Caja</w:t>
            </w:r>
          </w:p>
        </w:tc>
        <w:tc>
          <w:tcPr>
            <w:tcW w:type="dxa" w:w="3744"/>
            <w:shd w:fill="FFFFFF"/>
            <w:tcMar>
              <w:top w:w="80" w:type="dxa"/>
              <w:bottom w:w="80" w:type="dxa"/>
              <w:left w:w="120" w:type="dxa"/>
              <w:right w:w="120" w:type="dxa"/>
            </w:tcMar>
          </w:tcPr>
          <w:p>
            <w:pPr>
              <w:spacing w:before="0" w:after="0"/>
              <w:jc w:val="left"/>
            </w:pPr>
            <w:r>
              <w:rPr>
                <w:rFonts w:ascii="Calibri" w:hAnsi="Calibri"/>
                <w:color w:val="2D3748"/>
                <w:sz w:val="18"/>
              </w:rPr>
              <w:t>Foco en el crecimiento orgánico de franquicias internas, evitando adquisiciones corporativas apalancadas o de integración compleja.</w:t>
            </w:r>
          </w:p>
        </w:tc>
      </w:tr>
    </w:tbl>
    <w:p>
      <w:pPr>
        <w:spacing w:after="120"/>
      </w:pPr>
    </w:p>
    <w:p>
      <w:pPr>
        <w:keepNext/>
        <w:spacing w:before="200" w:after="80"/>
      </w:pPr>
      <w:r>
        <w:rPr>
          <w:rFonts w:ascii="Calibri" w:hAnsi="Calibri"/>
          <w:b/>
          <w:color w:val="4A5568"/>
          <w:sz w:val="22"/>
        </w:rPr>
        <w:t>6.4. CapEx Ligero (Asset-Light), Eficiencia Logística y Cadena de Suministro</w:t>
      </w:r>
    </w:p>
    <w:p>
      <w:pPr>
        <w:spacing w:before="40" w:after="80" w:line="276" w:lineRule="auto"/>
      </w:pPr>
      <w:r>
        <w:rPr>
          <w:rFonts w:ascii="Calibri" w:hAnsi="Calibri"/>
          <w:i w:val="0"/>
          <w:color w:val="2D3748"/>
          <w:sz w:val="20"/>
        </w:rPr>
        <w:t>Deckers opera bajo un modelo fabless de bajísima intensidad de capital (~2.0% sobre ventas netas en CapEx), lo que permite convertir prácticamente todo el beneficio contable en Flujo de Caja Libre disponible:</w:t>
      </w:r>
    </w:p>
    <w:p>
      <w:pPr>
        <w:spacing w:before="40" w:after="80" w:line="276" w:lineRule="auto"/>
      </w:pPr>
      <w:r>
        <w:rPr>
          <w:rFonts w:ascii="Calibri" w:hAnsi="Calibri"/>
          <w:b/>
          <w:color w:val="2D3748"/>
          <w:sz w:val="20"/>
        </w:rPr>
        <w:t xml:space="preserve">• Modelo Manufacturero Tercerizado: </w:t>
      </w:r>
      <w:r>
        <w:rPr>
          <w:rFonts w:ascii="Calibri" w:hAnsi="Calibri"/>
          <w:i w:val="0"/>
          <w:color w:val="2D3748"/>
          <w:sz w:val="20"/>
        </w:rPr>
        <w:t>Toda la producción se realiza en fábricas independientes de alta calidad en Asia, eliminando la necesidad de endeudarse para financiar plantas industriales.</w:t>
      </w:r>
    </w:p>
    <w:p>
      <w:pPr>
        <w:spacing w:before="40" w:after="80" w:line="276" w:lineRule="auto"/>
      </w:pPr>
      <w:r>
        <w:rPr>
          <w:rFonts w:ascii="Calibri" w:hAnsi="Calibri"/>
          <w:b/>
          <w:color w:val="2D3748"/>
          <w:sz w:val="20"/>
        </w:rPr>
        <w:t xml:space="preserve">• Inversión Focalizada en TI y Cadena Logística: </w:t>
      </w:r>
      <w:r>
        <w:rPr>
          <w:rFonts w:ascii="Calibri" w:hAnsi="Calibri"/>
          <w:i w:val="0"/>
          <w:color w:val="2D3748"/>
          <w:sz w:val="20"/>
        </w:rPr>
        <w:t>El CapEx anual de ~$100M se concentra en software de gestión omnicanal, plataformas web y automatización de almacenes.</w:t>
      </w:r>
    </w:p>
    <w:p>
      <w:pPr>
        <w:spacing w:before="40" w:after="80" w:line="276" w:lineRule="auto"/>
      </w:pPr>
      <w:r>
        <w:rPr>
          <w:rFonts w:ascii="Calibri" w:hAnsi="Calibri"/>
          <w:b/>
          <w:color w:val="2D3748"/>
          <w:sz w:val="20"/>
        </w:rPr>
        <w:t xml:space="preserve">• Conversión de Caja Sobresaliente: </w:t>
      </w:r>
      <w:r>
        <w:rPr>
          <w:rFonts w:ascii="Calibri" w:hAnsi="Calibri"/>
          <w:i w:val="0"/>
          <w:color w:val="2D3748"/>
          <w:sz w:val="20"/>
        </w:rPr>
        <w:t>Con un flujo operativo de ~$998M y un gasto de inversión mínimo, la conversión FCF / Beneficio Neto se ubica en el 104.4%, respaldando una posición de caja neta de $1,480M con deuda cero.</w:t>
      </w:r>
    </w:p>
    <w:tbl>
      <w:tblPr>
        <w:tblW w:type="auto" w:w="0"/>
        <w:jc w:val="center"/>
        <w:tblLayout w:type="fixed"/>
        <w:tblLook w:firstColumn="1" w:firstRow="1" w:lastColumn="0" w:lastRow="0" w:noHBand="0" w:noVBand="1" w:val="04A0"/>
      </w:tblPr>
      <w:tblGrid>
        <w:gridCol w:w="9792"/>
      </w:tblGrid>
      <w:tr>
        <w:tc>
          <w:tcPr>
            <w:tcW w:type="dxa" w:w="9792"/>
            <w:shd w:fill="E8EEF5"/>
            <w:tcMar>
              <w:top w:w="140" w:type="dxa"/>
              <w:bottom w:w="140" w:type="dxa"/>
              <w:left w:w="180" w:type="dxa"/>
              <w:right w:w="180" w:type="dxa"/>
            </w:tcMar>
            <w:tcBorders>
              <w:left w:val="single" w:sz="24" w:space="0" w:color="0A3641"/>
              <w:top w:val="none"/>
              <w:right w:val="none"/>
              <w:bottom w:val="none"/>
            </w:tcBorders>
          </w:tcPr>
          <w:p>
            <w:pPr>
              <w:spacing w:before="0" w:after="80"/>
            </w:pPr>
            <w:r>
              <w:rPr>
                <w:rFonts w:ascii="Segoe UI Emoji" w:hAnsi="Segoe UI Emoji"/>
                <w:sz w:val="21"/>
              </w:rPr>
              <w:t xml:space="preserve">📌  </w:t>
            </w:r>
            <w:r>
              <w:rPr>
                <w:rFonts w:ascii="Calibri" w:hAnsi="Calibri"/>
                <w:b/>
                <w:color w:val="0A3641"/>
                <w:sz w:val="21"/>
              </w:rPr>
              <w:t>GUÍA DE DIAGNÓSTICO FUNDAMENTAL: ¿CÓMO AUDITAR EL BALANCE Y LA ASIGNACIÓN DE CAPITAL?</w:t>
            </w:r>
          </w:p>
          <w:p>
            <w:pPr>
              <w:spacing w:before="40" w:after="40" w:line="276" w:lineRule="auto"/>
            </w:pPr>
            <w:r>
              <w:rPr>
                <w:rFonts w:ascii="Calibri" w:hAnsi="Calibri"/>
                <w:color w:val="2D3748"/>
                <w:sz w:val="19"/>
              </w:rPr>
              <w:t>• Caja Neta (Net Cash) vs. Deuda Neta: Se calcula restando la deuda financiera bruta a la liquidez total. Una posición positiva certifica que la empresa es acreedora neta y solvente ante cualquier crisis.</w:t>
            </w:r>
          </w:p>
          <w:p>
            <w:pPr>
              <w:spacing w:before="40" w:after="40" w:line="276" w:lineRule="auto"/>
            </w:pPr>
            <w:r>
              <w:rPr>
                <w:rFonts w:ascii="Calibri" w:hAnsi="Calibri"/>
                <w:color w:val="2D3748"/>
                <w:sz w:val="19"/>
              </w:rPr>
              <w:t>• Recompra Neta vs. Dilución por SBC: Una recompra solo crea valor genuino si retira más acciones de las que se emiten vía Stock-Based Compensation.</w:t>
            </w:r>
          </w:p>
          <w:p>
            <w:pPr>
              <w:spacing w:before="40" w:after="40" w:line="276" w:lineRule="auto"/>
            </w:pPr>
            <w:r>
              <w:rPr>
                <w:rFonts w:ascii="Calibri" w:hAnsi="Calibri"/>
                <w:color w:val="2D3748"/>
                <w:sz w:val="19"/>
              </w:rPr>
              <w:t>• Eficiencia del CapEx: Las mejores empresas operan modelos de capital ligero (Asset-Light / Fabless) o asignan CapEx a proyectos con retornos que superan ampliamente su WACC.</w:t>
            </w:r>
          </w:p>
        </w:tc>
      </w:tr>
    </w:tbl>
    <w:p>
      <w:pPr>
        <w:spacing w:after="80"/>
      </w:pPr>
    </w:p>
    <w:p>
      <w:pPr>
        <w:keepNext/>
        <w:spacing w:before="320" w:after="120"/>
      </w:pPr>
      <w:r>
        <w:rPr>
          <w:rFonts w:ascii="Calibri" w:hAnsi="Calibri"/>
          <w:b/>
          <w:color w:val="1B365D"/>
          <w:sz w:val="26"/>
        </w:rPr>
        <w:t>7. Estrategia Tecnológica, Fosos Defensivos (Economic Moat) y Ventajas Competitivas</w:t>
      </w:r>
    </w:p>
    <w:p>
      <w:pPr>
        <w:spacing w:before="40" w:after="80" w:line="276" w:lineRule="auto"/>
      </w:pPr>
      <w:r>
        <w:rPr>
          <w:rFonts w:ascii="Calibri" w:hAnsi="Calibri"/>
          <w:i w:val="0"/>
          <w:color w:val="2D3748"/>
          <w:sz w:val="20"/>
        </w:rPr>
        <w:t>La excepcional rentabilidad sobre el capital de Deckers (ROIC &gt; 35%) está protegida por un Foso Defensivo Amplio (Wide Moat / Morningstar Framework), basado en la fortaleza intangible de sus marcas, la lealtad técnica de los corredores y una rigurosa disciplina de precios.</w:t>
      </w:r>
    </w:p>
    <w:p>
      <w:pPr>
        <w:keepNext/>
        <w:spacing w:before="200" w:after="80"/>
      </w:pPr>
      <w:r>
        <w:rPr>
          <w:rFonts w:ascii="Calibri" w:hAnsi="Calibri"/>
          <w:b/>
          <w:color w:val="4A5568"/>
          <w:sz w:val="22"/>
        </w:rPr>
        <w:t>7.1. Cuadro de Mando de Fosos Defensivos (Dorsey / Morningstar Framework)</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2304"/>
            <w:shd w:fill="1B365D"/>
            <w:tcMar>
              <w:top w:w="100" w:type="dxa"/>
              <w:bottom w:w="100" w:type="dxa"/>
              <w:left w:w="120" w:type="dxa"/>
              <w:right w:w="120" w:type="dxa"/>
            </w:tcMar>
          </w:tcPr>
          <w:p>
            <w:pPr>
              <w:spacing w:before="0" w:after="0"/>
              <w:jc w:val="left"/>
            </w:pPr>
            <w:r>
              <w:rPr>
                <w:rFonts w:ascii="Calibri" w:hAnsi="Calibri"/>
                <w:b/>
                <w:color w:val="FFFFFF"/>
                <w:sz w:val="19"/>
              </w:rPr>
              <w:t>Fuente del Foso Defensivo</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Intensidad</w:t>
            </w:r>
          </w:p>
        </w:tc>
        <w:tc>
          <w:tcPr>
            <w:tcW w:type="dxa" w:w="3312"/>
            <w:shd w:fill="1B365D"/>
            <w:tcMar>
              <w:top w:w="100" w:type="dxa"/>
              <w:bottom w:w="100" w:type="dxa"/>
              <w:left w:w="120" w:type="dxa"/>
              <w:right w:w="120" w:type="dxa"/>
            </w:tcMar>
          </w:tcPr>
          <w:p>
            <w:pPr>
              <w:spacing w:before="0" w:after="0"/>
              <w:jc w:val="left"/>
            </w:pPr>
            <w:r>
              <w:rPr>
                <w:rFonts w:ascii="Calibri" w:hAnsi="Calibri"/>
                <w:b/>
                <w:color w:val="FFFFFF"/>
                <w:sz w:val="19"/>
              </w:rPr>
              <w:t>Mecanismo de Protección Económica</w:t>
            </w:r>
          </w:p>
        </w:tc>
        <w:tc>
          <w:tcPr>
            <w:tcW w:type="dxa" w:w="2736"/>
            <w:shd w:fill="1B365D"/>
            <w:tcMar>
              <w:top w:w="100" w:type="dxa"/>
              <w:bottom w:w="100" w:type="dxa"/>
              <w:left w:w="120" w:type="dxa"/>
              <w:right w:w="120" w:type="dxa"/>
            </w:tcMar>
          </w:tcPr>
          <w:p>
            <w:pPr>
              <w:spacing w:before="0" w:after="0"/>
              <w:jc w:val="left"/>
            </w:pPr>
            <w:r>
              <w:rPr>
                <w:rFonts w:ascii="Calibri" w:hAnsi="Calibri"/>
                <w:b/>
                <w:color w:val="FFFFFF"/>
                <w:sz w:val="19"/>
              </w:rPr>
              <w:t>Diagnóstico Competitivo</w:t>
            </w:r>
          </w:p>
        </w:tc>
      </w:tr>
      <w:tr>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Activos Intangibles y Marca</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 EXCEPCIONAL</w:t>
            </w:r>
          </w:p>
        </w:tc>
        <w:tc>
          <w:tcPr>
            <w:tcW w:type="dxa" w:w="3312"/>
            <w:shd w:fill="FFFFFF"/>
            <w:tcMar>
              <w:top w:w="80" w:type="dxa"/>
              <w:bottom w:w="80" w:type="dxa"/>
              <w:left w:w="120" w:type="dxa"/>
              <w:right w:w="120" w:type="dxa"/>
            </w:tcMar>
          </w:tcPr>
          <w:p>
            <w:pPr>
              <w:spacing w:before="0" w:after="0"/>
              <w:jc w:val="left"/>
            </w:pPr>
            <w:r>
              <w:rPr>
                <w:rFonts w:ascii="Calibri" w:hAnsi="Calibri"/>
                <w:color w:val="2D3748"/>
                <w:sz w:val="18"/>
              </w:rPr>
              <w:t>HOKA goza de una reputación técnica de máximo nivel en atletismo y trail running. UGG es un icono cultural de estilo de vida invernal y confort sin sustituto directo.</w:t>
            </w:r>
          </w:p>
        </w:tc>
        <w:tc>
          <w:tcPr>
            <w:tcW w:type="dxa" w:w="2736"/>
            <w:shd w:fill="FFFFFF"/>
            <w:tcMar>
              <w:top w:w="80" w:type="dxa"/>
              <w:bottom w:w="80" w:type="dxa"/>
              <w:left w:w="120" w:type="dxa"/>
              <w:right w:w="120" w:type="dxa"/>
            </w:tcMar>
          </w:tcPr>
          <w:p>
            <w:pPr>
              <w:spacing w:before="0" w:after="0"/>
              <w:jc w:val="left"/>
            </w:pPr>
            <w:r>
              <w:rPr>
                <w:rFonts w:ascii="Calibri" w:hAnsi="Calibri"/>
                <w:color w:val="2D3748"/>
                <w:sz w:val="18"/>
              </w:rPr>
              <w:t>Capacidad sostenida de aumentar volúmenes vendiendo a precio completo (Full-Price Selling) sin descuentos.</w:t>
            </w:r>
          </w:p>
        </w:tc>
      </w:tr>
      <w:tr>
        <w:tc>
          <w:tcPr>
            <w:tcW w:type="dxa" w:w="2304"/>
            <w:shd w:fill="F7FAFC"/>
            <w:tcMar>
              <w:top w:w="80" w:type="dxa"/>
              <w:bottom w:w="80" w:type="dxa"/>
              <w:left w:w="120" w:type="dxa"/>
              <w:right w:w="120" w:type="dxa"/>
            </w:tcMar>
          </w:tcPr>
          <w:p>
            <w:pPr>
              <w:spacing w:before="0" w:after="0"/>
              <w:jc w:val="left"/>
            </w:pPr>
            <w:r>
              <w:rPr>
                <w:rFonts w:ascii="Calibri" w:hAnsi="Calibri"/>
                <w:color w:val="2D3748"/>
                <w:sz w:val="18"/>
              </w:rPr>
              <w:t>Poder de Fijación de Precios</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 ELEVADO</w:t>
            </w:r>
          </w:p>
        </w:tc>
        <w:tc>
          <w:tcPr>
            <w:tcW w:type="dxa" w:w="3312"/>
            <w:shd w:fill="F7FAFC"/>
            <w:tcMar>
              <w:top w:w="80" w:type="dxa"/>
              <w:bottom w:w="80" w:type="dxa"/>
              <w:left w:w="120" w:type="dxa"/>
              <w:right w:w="120" w:type="dxa"/>
            </w:tcMar>
          </w:tcPr>
          <w:p>
            <w:pPr>
              <w:spacing w:before="0" w:after="0"/>
              <w:jc w:val="left"/>
            </w:pPr>
            <w:r>
              <w:rPr>
                <w:rFonts w:ascii="Calibri" w:hAnsi="Calibri"/>
                <w:color w:val="2D3748"/>
                <w:sz w:val="18"/>
              </w:rPr>
              <w:t>Precios medios de venta (ASP) en ascenso continuo tanto en HOKA ($140-$200+) como en UGG ($110-$180). Los minoristas respetan los márgenes por la alta rotación.</w:t>
            </w:r>
          </w:p>
        </w:tc>
        <w:tc>
          <w:tcPr>
            <w:tcW w:type="dxa" w:w="2736"/>
            <w:shd w:fill="F7FAFC"/>
            <w:tcMar>
              <w:top w:w="80" w:type="dxa"/>
              <w:bottom w:w="80" w:type="dxa"/>
              <w:left w:w="120" w:type="dxa"/>
              <w:right w:w="120" w:type="dxa"/>
            </w:tcMar>
          </w:tcPr>
          <w:p>
            <w:pPr>
              <w:spacing w:before="0" w:after="0"/>
              <w:jc w:val="left"/>
            </w:pPr>
            <w:r>
              <w:rPr>
                <w:rFonts w:ascii="Calibri" w:hAnsi="Calibri"/>
                <w:color w:val="2D3748"/>
                <w:sz w:val="18"/>
              </w:rPr>
              <w:t>Margen bruto consolidado del 55.7%, superando por más de 1,100 bps la mediana del sector calzado (44.6%).</w:t>
            </w:r>
          </w:p>
        </w:tc>
      </w:tr>
      <w:tr>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Acceso Preferencial a Canales</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 ROBUSTO</w:t>
            </w:r>
          </w:p>
        </w:tc>
        <w:tc>
          <w:tcPr>
            <w:tcW w:type="dxa" w:w="3312"/>
            <w:shd w:fill="FFFFFF"/>
            <w:tcMar>
              <w:top w:w="80" w:type="dxa"/>
              <w:bottom w:w="80" w:type="dxa"/>
              <w:left w:w="120" w:type="dxa"/>
              <w:right w:w="120" w:type="dxa"/>
            </w:tcMar>
          </w:tcPr>
          <w:p>
            <w:pPr>
              <w:spacing w:before="0" w:after="0"/>
              <w:jc w:val="left"/>
            </w:pPr>
            <w:r>
              <w:rPr>
                <w:rFonts w:ascii="Calibri" w:hAnsi="Calibri"/>
                <w:color w:val="2D3748"/>
                <w:sz w:val="18"/>
              </w:rPr>
              <w:t>Presencia prioritaria en tiendas especializadas de running que funcionan como prescriptores técnicos de referencia indispensables para los corredores.</w:t>
            </w:r>
          </w:p>
        </w:tc>
        <w:tc>
          <w:tcPr>
            <w:tcW w:type="dxa" w:w="2736"/>
            <w:shd w:fill="FFFFFF"/>
            <w:tcMar>
              <w:top w:w="80" w:type="dxa"/>
              <w:bottom w:w="80" w:type="dxa"/>
              <w:left w:w="120" w:type="dxa"/>
              <w:right w:w="120" w:type="dxa"/>
            </w:tcMar>
          </w:tcPr>
          <w:p>
            <w:pPr>
              <w:spacing w:before="0" w:after="0"/>
              <w:jc w:val="left"/>
            </w:pPr>
            <w:r>
              <w:rPr>
                <w:rFonts w:ascii="Calibri" w:hAnsi="Calibri"/>
                <w:color w:val="2D3748"/>
                <w:sz w:val="18"/>
              </w:rPr>
              <w:t>Barrera de entrada para nuevos entrantes; los distribuidores asignan espacio preferente de estantería a HOKA.</w:t>
            </w:r>
          </w:p>
        </w:tc>
      </w:tr>
      <w:tr>
        <w:tc>
          <w:tcPr>
            <w:tcW w:type="dxa" w:w="2304"/>
            <w:shd w:fill="F7FAFC"/>
            <w:tcMar>
              <w:top w:w="80" w:type="dxa"/>
              <w:bottom w:w="80" w:type="dxa"/>
              <w:left w:w="120" w:type="dxa"/>
              <w:right w:w="120" w:type="dxa"/>
            </w:tcMar>
          </w:tcPr>
          <w:p>
            <w:pPr>
              <w:spacing w:before="0" w:after="0"/>
              <w:jc w:val="left"/>
            </w:pPr>
            <w:r>
              <w:rPr>
                <w:rFonts w:ascii="Calibri" w:hAnsi="Calibri"/>
                <w:color w:val="2D3748"/>
                <w:sz w:val="18"/>
              </w:rPr>
              <w:t>Modelo Fabless y Ventaja de Coste</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 ESTRUCTURAL</w:t>
            </w:r>
          </w:p>
        </w:tc>
        <w:tc>
          <w:tcPr>
            <w:tcW w:type="dxa" w:w="3312"/>
            <w:shd w:fill="F7FAFC"/>
            <w:tcMar>
              <w:top w:w="80" w:type="dxa"/>
              <w:bottom w:w="80" w:type="dxa"/>
              <w:left w:w="120" w:type="dxa"/>
              <w:right w:w="120" w:type="dxa"/>
            </w:tcMar>
          </w:tcPr>
          <w:p>
            <w:pPr>
              <w:spacing w:before="0" w:after="0"/>
              <w:jc w:val="left"/>
            </w:pPr>
            <w:r>
              <w:rPr>
                <w:rFonts w:ascii="Calibri" w:hAnsi="Calibri"/>
                <w:color w:val="2D3748"/>
                <w:sz w:val="18"/>
              </w:rPr>
              <w:t>Producción 100% externalizada a socios fabriles de calidad en Vietnam y Asia, eliminando costes fijos industriales y minimizando el CapEx.</w:t>
            </w:r>
          </w:p>
        </w:tc>
        <w:tc>
          <w:tcPr>
            <w:tcW w:type="dxa" w:w="2736"/>
            <w:shd w:fill="F7FAFC"/>
            <w:tcMar>
              <w:top w:w="80" w:type="dxa"/>
              <w:bottom w:w="80" w:type="dxa"/>
              <w:left w:w="120" w:type="dxa"/>
              <w:right w:w="120" w:type="dxa"/>
            </w:tcMar>
          </w:tcPr>
          <w:p>
            <w:pPr>
              <w:spacing w:before="0" w:after="0"/>
              <w:jc w:val="left"/>
            </w:pPr>
            <w:r>
              <w:rPr>
                <w:rFonts w:ascii="Calibri" w:hAnsi="Calibri"/>
                <w:color w:val="2D3748"/>
                <w:sz w:val="18"/>
              </w:rPr>
              <w:t>Toda la inversión se canaliza a I+D, marketing y experiencia de cliente, manteniendo un balance libre de deuda.</w:t>
            </w:r>
          </w:p>
        </w:tc>
      </w:tr>
      <w:tr>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Escala Logística y Omnicanalidad</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 ALTA</w:t>
            </w:r>
          </w:p>
        </w:tc>
        <w:tc>
          <w:tcPr>
            <w:tcW w:type="dxa" w:w="3312"/>
            <w:shd w:fill="FFFFFF"/>
            <w:tcMar>
              <w:top w:w="80" w:type="dxa"/>
              <w:bottom w:w="80" w:type="dxa"/>
              <w:left w:w="120" w:type="dxa"/>
              <w:right w:w="120" w:type="dxa"/>
            </w:tcMar>
          </w:tcPr>
          <w:p>
            <w:pPr>
              <w:spacing w:before="0" w:after="0"/>
              <w:jc w:val="left"/>
            </w:pPr>
            <w:r>
              <w:rPr>
                <w:rFonts w:ascii="Calibri" w:hAnsi="Calibri"/>
                <w:color w:val="2D3748"/>
                <w:sz w:val="18"/>
              </w:rPr>
              <w:t>Centros de distribución automatizados que optimizan la logística global tanto para picos estacionales de UGG como para la demanda continua de HOKA.</w:t>
            </w:r>
          </w:p>
        </w:tc>
        <w:tc>
          <w:tcPr>
            <w:tcW w:type="dxa" w:w="2736"/>
            <w:shd w:fill="FFFFFF"/>
            <w:tcMar>
              <w:top w:w="80" w:type="dxa"/>
              <w:bottom w:w="80" w:type="dxa"/>
              <w:left w:w="120" w:type="dxa"/>
              <w:right w:w="120" w:type="dxa"/>
            </w:tcMar>
          </w:tcPr>
          <w:p>
            <w:pPr>
              <w:spacing w:before="0" w:after="0"/>
              <w:jc w:val="left"/>
            </w:pPr>
            <w:r>
              <w:rPr>
                <w:rFonts w:ascii="Calibri" w:hAnsi="Calibri"/>
                <w:color w:val="2D3748"/>
                <w:sz w:val="18"/>
              </w:rPr>
              <w:t>Eficiencia de inventario que minimiza rebajas forzadas y agiliza los despachos de venta directa (DTC).</w:t>
            </w:r>
          </w:p>
        </w:tc>
      </w:tr>
    </w:tbl>
    <w:p>
      <w:pPr>
        <w:spacing w:after="120"/>
      </w:pPr>
    </w:p>
    <w:p>
      <w:pPr>
        <w:spacing w:before="40" w:after="80" w:line="276" w:lineRule="auto"/>
      </w:pPr>
      <w:r>
        <w:rPr>
          <w:rFonts w:ascii="Calibri" w:hAnsi="Calibri"/>
          <w:b/>
          <w:color w:val="2D3748"/>
          <w:sz w:val="20"/>
        </w:rPr>
        <w:t xml:space="preserve">• </w:t>
      </w:r>
      <w:r>
        <w:rPr>
          <w:rFonts w:ascii="Calibri" w:hAnsi="Calibri"/>
          <w:i w:val="0"/>
          <w:color w:val="2D3748"/>
          <w:sz w:val="20"/>
        </w:rPr>
        <w:t>Dictamen Estratégico Global: WIDE MOAT | Tendencia: EN EXPANSIÓN.</w:t>
      </w:r>
    </w:p>
    <w:p>
      <w:pPr>
        <w:keepNext/>
        <w:spacing w:before="200" w:after="80"/>
      </w:pPr>
      <w:r>
        <w:rPr>
          <w:rFonts w:ascii="Calibri" w:hAnsi="Calibri"/>
          <w:b/>
          <w:color w:val="4A5568"/>
          <w:sz w:val="22"/>
        </w:rPr>
        <w:t>7.2. Disciplina Comercial: Integridad de Venta a Precio Completo (Full-Price Integrity)</w:t>
      </w:r>
    </w:p>
    <w:p>
      <w:pPr>
        <w:spacing w:before="40" w:after="80" w:line="276" w:lineRule="auto"/>
      </w:pPr>
      <w:r>
        <w:rPr>
          <w:rFonts w:ascii="Calibri" w:hAnsi="Calibri"/>
          <w:b/>
          <w:color w:val="2D3748"/>
          <w:sz w:val="20"/>
        </w:rPr>
        <w:t xml:space="preserve">• Protección de Márgenes y Exclusividad: </w:t>
      </w:r>
      <w:r>
        <w:rPr>
          <w:rFonts w:ascii="Calibri" w:hAnsi="Calibri"/>
          <w:i w:val="0"/>
          <w:color w:val="2D3748"/>
          <w:sz w:val="20"/>
        </w:rPr>
        <w:t>A diferencia de competidores que recurren a liquidaciones agresivas para limpiar existencias, Deckers gestiona la oferta de siluetas icónicas (Clifton, Bondi, Tasman, Tazz) manteniendo la escasez controlada para defender el valor de marca.</w:t>
      </w:r>
    </w:p>
    <w:p>
      <w:pPr>
        <w:spacing w:before="40" w:after="80" w:line="276" w:lineRule="auto"/>
      </w:pPr>
      <w:r>
        <w:rPr>
          <w:rFonts w:ascii="Calibri" w:hAnsi="Calibri"/>
          <w:b/>
          <w:color w:val="2D3748"/>
          <w:sz w:val="20"/>
        </w:rPr>
        <w:t xml:space="preserve">• Expansión Estructural del Margen Bruto: </w:t>
      </w:r>
      <w:r>
        <w:rPr>
          <w:rFonts w:ascii="Calibri" w:hAnsi="Calibri"/>
          <w:i w:val="0"/>
          <w:color w:val="2D3748"/>
          <w:sz w:val="20"/>
        </w:rPr>
        <w:t>Esta política ha permitido sostener un margen bruto del 55.7%, absorbiendo cómodamente incrementos en tarifas de transporte marítimo internacional.</w:t>
      </w:r>
    </w:p>
    <w:p>
      <w:pPr>
        <w:keepNext/>
        <w:spacing w:before="200" w:after="80"/>
      </w:pPr>
      <w:r>
        <w:rPr>
          <w:rFonts w:ascii="Calibri" w:hAnsi="Calibri"/>
          <w:b/>
          <w:color w:val="4A5568"/>
          <w:sz w:val="22"/>
        </w:rPr>
        <w:t>7.3. Flywheel de Sinergia Omnicanal: Wholesale como Embudo de Entrada a DTC</w:t>
      </w:r>
    </w:p>
    <w:p>
      <w:pPr>
        <w:spacing w:before="40" w:after="80" w:line="276" w:lineRule="auto"/>
      </w:pPr>
      <w:r>
        <w:rPr>
          <w:rFonts w:ascii="Calibri" w:hAnsi="Calibri"/>
          <w:b/>
          <w:color w:val="2D3748"/>
          <w:sz w:val="20"/>
        </w:rPr>
        <w:t xml:space="preserve">1. Descubrimiento en Canal Mayorista: </w:t>
      </w:r>
      <w:r>
        <w:rPr>
          <w:rFonts w:ascii="Calibri" w:hAnsi="Calibri"/>
          <w:i w:val="0"/>
          <w:color w:val="2D3748"/>
          <w:sz w:val="20"/>
        </w:rPr>
        <w:t>El consumidor conoce y prueba la amortiguación de HOKA en una tienda técnica o departamental especializada.</w:t>
      </w:r>
    </w:p>
    <w:p>
      <w:pPr>
        <w:spacing w:before="40" w:after="80" w:line="276" w:lineRule="auto"/>
      </w:pPr>
      <w:r>
        <w:rPr>
          <w:rFonts w:ascii="Calibri" w:hAnsi="Calibri"/>
          <w:b/>
          <w:color w:val="2D3748"/>
          <w:sz w:val="20"/>
        </w:rPr>
        <w:t xml:space="preserve">2. Fidelización y Repetición en DTC: </w:t>
      </w:r>
      <w:r>
        <w:rPr>
          <w:rFonts w:ascii="Calibri" w:hAnsi="Calibri"/>
          <w:i w:val="0"/>
          <w:color w:val="2D3748"/>
          <w:sz w:val="20"/>
        </w:rPr>
        <w:t>Las compras recurrentes se realizan directamente a través de hoka.com, donde Deckers captura el 100% del margen comercial sin ceder comisiones.</w:t>
      </w:r>
    </w:p>
    <w:p>
      <w:pPr>
        <w:keepNext/>
        <w:spacing w:before="200" w:after="80"/>
      </w:pPr>
      <w:r>
        <w:rPr>
          <w:rFonts w:ascii="Calibri" w:hAnsi="Calibri"/>
          <w:b/>
          <w:color w:val="4A5568"/>
          <w:sz w:val="22"/>
        </w:rPr>
        <w:t>7.4. Productividad de la Innovación y Ciclo de Franquicias</w:t>
      </w:r>
    </w:p>
    <w:p>
      <w:pPr>
        <w:spacing w:before="40" w:after="80" w:line="276" w:lineRule="auto"/>
      </w:pPr>
      <w:r>
        <w:rPr>
          <w:rFonts w:ascii="Calibri" w:hAnsi="Calibri"/>
          <w:b/>
          <w:color w:val="2D3748"/>
          <w:sz w:val="20"/>
        </w:rPr>
        <w:t xml:space="preserve">• Actualización Sistemática de Franquicias: </w:t>
      </w:r>
      <w:r>
        <w:rPr>
          <w:rFonts w:ascii="Calibri" w:hAnsi="Calibri"/>
          <w:i w:val="0"/>
          <w:color w:val="2D3748"/>
          <w:sz w:val="20"/>
        </w:rPr>
        <w:t>Lanzamiento programado de nuevas generaciones (Clifton, Bondi, Mach, Skyward, Cielo X1) que atraen a compradores exigentes mientras los modelos base continúan generando ventas masivas de reposición.</w:t>
      </w:r>
    </w:p>
    <w:p>
      <w:pPr>
        <w:spacing w:before="40" w:after="80" w:line="276" w:lineRule="auto"/>
      </w:pPr>
      <w:r>
        <w:rPr>
          <w:rFonts w:ascii="Calibri" w:hAnsi="Calibri"/>
          <w:b/>
          <w:color w:val="2D3748"/>
          <w:sz w:val="20"/>
        </w:rPr>
        <w:t xml:space="preserve">• Desestacionalización de UGG: </w:t>
      </w:r>
      <w:r>
        <w:rPr>
          <w:rFonts w:ascii="Calibri" w:hAnsi="Calibri"/>
          <w:i w:val="0"/>
          <w:color w:val="2D3748"/>
          <w:sz w:val="20"/>
        </w:rPr>
        <w:t>Éxito en expandir la marca UGG más allá de las botas de invierno mediante zapatillas, sandalias y pantuflas de uso durante todo el año.</w:t>
      </w:r>
    </w:p>
    <w:tbl>
      <w:tblPr>
        <w:tblW w:type="auto" w:w="0"/>
        <w:jc w:val="center"/>
        <w:tblLayout w:type="fixed"/>
        <w:tblLook w:firstColumn="1" w:firstRow="1" w:lastColumn="0" w:lastRow="0" w:noHBand="0" w:noVBand="1" w:val="04A0"/>
      </w:tblPr>
      <w:tblGrid>
        <w:gridCol w:w="9792"/>
      </w:tblGrid>
      <w:tr>
        <w:tc>
          <w:tcPr>
            <w:tcW w:type="dxa" w:w="9792"/>
            <w:shd w:fill="E8EEF5"/>
            <w:tcMar>
              <w:top w:w="140" w:type="dxa"/>
              <w:bottom w:w="140" w:type="dxa"/>
              <w:left w:w="180" w:type="dxa"/>
              <w:right w:w="180" w:type="dxa"/>
            </w:tcMar>
            <w:tcBorders>
              <w:left w:val="single" w:sz="24" w:space="0" w:color="0A3641"/>
              <w:top w:val="none"/>
              <w:right w:val="none"/>
              <w:bottom w:val="none"/>
            </w:tcBorders>
          </w:tcPr>
          <w:p>
            <w:pPr>
              <w:spacing w:before="0" w:after="80"/>
            </w:pPr>
            <w:r>
              <w:rPr>
                <w:rFonts w:ascii="Segoe UI Emoji" w:hAnsi="Segoe UI Emoji"/>
                <w:sz w:val="21"/>
              </w:rPr>
              <w:t xml:space="preserve">📌  </w:t>
            </w:r>
            <w:r>
              <w:rPr>
                <w:rFonts w:ascii="Calibri" w:hAnsi="Calibri"/>
                <w:b/>
                <w:color w:val="0A3641"/>
                <w:sz w:val="21"/>
              </w:rPr>
              <w:t>GUÍA DE DIAGNÓSTICO FUNDAMENTAL: ¿CÓMO AUDITAR EL FOSO DEFENSIVO (ECONOMIC MOAT)?</w:t>
            </w:r>
          </w:p>
          <w:p>
            <w:pPr>
              <w:spacing w:before="40" w:after="40" w:line="276" w:lineRule="auto"/>
            </w:pPr>
            <w:r>
              <w:rPr>
                <w:rFonts w:ascii="Calibri" w:hAnsi="Calibri"/>
                <w:color w:val="2D3748"/>
                <w:sz w:val="19"/>
              </w:rPr>
              <w:t>• Identificación de un Wide Moat: Una empresa posee un foso amplio cuando puede generar sistemáticamente un ROIC superior a su WACC durante más de 10 o 15 años.</w:t>
            </w:r>
          </w:p>
          <w:p>
            <w:pPr>
              <w:spacing w:before="40" w:after="40" w:line="276" w:lineRule="auto"/>
            </w:pPr>
            <w:r>
              <w:rPr>
                <w:rFonts w:ascii="Calibri" w:hAnsi="Calibri"/>
                <w:color w:val="2D3748"/>
                <w:sz w:val="19"/>
              </w:rPr>
              <w:t>• Costes de Cambio y Pricing Power: Si un cliente no puede sustituir el producto sin fricción, la empresa puede subir precios sin perder demanda.</w:t>
            </w:r>
          </w:p>
          <w:p>
            <w:pPr>
              <w:spacing w:before="40" w:after="40" w:line="276" w:lineRule="auto"/>
            </w:pPr>
            <w:r>
              <w:rPr>
                <w:rFonts w:ascii="Calibri" w:hAnsi="Calibri"/>
                <w:color w:val="2D3748"/>
                <w:sz w:val="19"/>
              </w:rPr>
              <w:t>• Vigilancia de Erosión: La caída continua de margen bruto o la necesidad de rebajas agresivas son las primeras señales de debilitamiento de un foso.</w:t>
            </w:r>
          </w:p>
        </w:tc>
      </w:tr>
    </w:tbl>
    <w:p>
      <w:pPr>
        <w:spacing w:after="80"/>
      </w:pPr>
    </w:p>
    <w:p>
      <w:pPr>
        <w:keepNext/>
        <w:spacing w:before="320" w:after="120"/>
      </w:pPr>
      <w:r>
        <w:rPr>
          <w:rFonts w:ascii="Calibri" w:hAnsi="Calibri"/>
          <w:b/>
          <w:color w:val="1B365D"/>
          <w:sz w:val="26"/>
        </w:rPr>
        <w:t>8. Gobernanza Corporativa, Sentimiento Insider (Form 4 y 144) y Alertas 8-K</w:t>
      </w:r>
    </w:p>
    <w:tbl>
      <w:tblPr>
        <w:tblW w:type="auto" w:w="0"/>
        <w:jc w:val="center"/>
        <w:tblLayout w:type="fixed"/>
        <w:tblLook w:firstColumn="1" w:firstRow="1" w:lastColumn="0" w:lastRow="0" w:noHBand="0" w:noVBand="1" w:val="04A0"/>
      </w:tblPr>
      <w:tblGrid>
        <w:gridCol w:w="9792"/>
      </w:tblGrid>
      <w:tr>
        <w:tc>
          <w:tcPr>
            <w:tcW w:type="dxa" w:w="9792"/>
            <w:shd w:fill="E8EEF5"/>
            <w:tcMar>
              <w:top w:w="140" w:type="dxa"/>
              <w:bottom w:w="140" w:type="dxa"/>
              <w:left w:w="180" w:type="dxa"/>
              <w:right w:w="180" w:type="dxa"/>
            </w:tcMar>
            <w:tcBorders>
              <w:left w:val="single" w:sz="24" w:space="0" w:color="0A3641"/>
              <w:top w:val="none"/>
              <w:right w:val="none"/>
              <w:bottom w:val="none"/>
            </w:tcBorders>
          </w:tcPr>
          <w:p>
            <w:pPr>
              <w:spacing w:before="0" w:after="80"/>
            </w:pPr>
            <w:r>
              <w:rPr>
                <w:rFonts w:ascii="Segoe UI Emoji" w:hAnsi="Segoe UI Emoji"/>
                <w:sz w:val="21"/>
              </w:rPr>
              <w:t xml:space="preserve">📌  </w:t>
            </w:r>
            <w:r>
              <w:rPr>
                <w:rFonts w:ascii="Calibri" w:hAnsi="Calibri"/>
                <w:b/>
                <w:color w:val="0A3641"/>
                <w:sz w:val="21"/>
              </w:rPr>
              <w:t>GUÍA PEDAGÓGICA PARA EL INVERSOR: LA CADENA DE TRAZABILIDAD DE LA SEC</w:t>
            </w:r>
          </w:p>
          <w:p>
            <w:pPr>
              <w:spacing w:before="40" w:after="40" w:line="276" w:lineRule="auto"/>
            </w:pPr>
            <w:r>
              <w:rPr>
                <w:rFonts w:ascii="Calibri" w:hAnsi="Calibri"/>
                <w:color w:val="2D3748"/>
                <w:sz w:val="19"/>
              </w:rPr>
              <w:t>• Formulario 8-K (La Empresa Habla): Notifica eventos materiales corporativos en tiempo real (relevo del CEO, cambios de auditor o acuerdos clave).</w:t>
            </w:r>
          </w:p>
          <w:p>
            <w:pPr>
              <w:spacing w:before="40" w:after="40" w:line="276" w:lineRule="auto"/>
            </w:pPr>
            <w:r>
              <w:rPr>
                <w:rFonts w:ascii="Calibri" w:hAnsi="Calibri"/>
                <w:color w:val="2D3748"/>
                <w:sz w:val="19"/>
              </w:rPr>
              <w:t>• Formulario 144 (El Aviso Previo): Notificación previa y obligatoria de un directivo antes de vender acciones restringidas.</w:t>
            </w:r>
          </w:p>
          <w:p>
            <w:pPr>
              <w:spacing w:before="40" w:after="40" w:line="276" w:lineRule="auto"/>
            </w:pPr>
            <w:r>
              <w:rPr>
                <w:rFonts w:ascii="Calibri" w:hAnsi="Calibri"/>
                <w:color w:val="2D3748"/>
                <w:sz w:val="19"/>
              </w:rPr>
              <w:t>• Formulario 4 (La Ejecución Real): Registro en 48 horas de la transacción ya liquidada en bolsa.</w:t>
            </w:r>
          </w:p>
          <w:p>
            <w:pPr>
              <w:spacing w:before="40" w:after="40" w:line="276" w:lineRule="auto"/>
            </w:pPr>
            <w:r>
              <w:rPr>
                <w:rFonts w:ascii="Calibri" w:hAnsi="Calibri"/>
                <w:color w:val="2D3748"/>
                <w:sz w:val="19"/>
              </w:rPr>
              <w:t>• Regla de Oro: Las ventas bajo Planes Rule 10b5-1 son automáticas y preprogramadas sin información privilegiada. Las ventas discrecionales reflejan decisiones activas.</w:t>
            </w:r>
          </w:p>
        </w:tc>
      </w:tr>
    </w:tbl>
    <w:p>
      <w:pPr>
        <w:spacing w:after="80"/>
      </w:pPr>
    </w:p>
    <w:p>
      <w:pPr>
        <w:keepNext/>
        <w:spacing w:before="200" w:after="80"/>
      </w:pPr>
      <w:r>
        <w:rPr>
          <w:rFonts w:ascii="Calibri" w:hAnsi="Calibri"/>
          <w:b/>
          <w:color w:val="4A5568"/>
          <w:sz w:val="22"/>
        </w:rPr>
        <w:t>8.1. Hechos Relevantes y Alertas Tempranas de la Corporación (Formulario 8-K)</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958"/>
        <w:gridCol w:w="1958"/>
        <w:gridCol w:w="1958"/>
        <w:gridCol w:w="1958"/>
        <w:gridCol w:w="1958"/>
      </w:tblGrid>
      <w:tr>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Fecha SEC</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Ítem Oficial 8-K</w:t>
            </w:r>
          </w:p>
        </w:tc>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Naturaleza del Evento</w:t>
            </w:r>
          </w:p>
        </w:tc>
        <w:tc>
          <w:tcPr>
            <w:tcW w:type="dxa" w:w="2448"/>
            <w:shd w:fill="1B365D"/>
            <w:tcMar>
              <w:top w:w="100" w:type="dxa"/>
              <w:bottom w:w="100" w:type="dxa"/>
              <w:left w:w="120" w:type="dxa"/>
              <w:right w:w="120" w:type="dxa"/>
            </w:tcMar>
          </w:tcPr>
          <w:p>
            <w:pPr>
              <w:spacing w:before="0" w:after="0"/>
              <w:jc w:val="left"/>
            </w:pPr>
            <w:r>
              <w:rPr>
                <w:rFonts w:ascii="Calibri" w:hAnsi="Calibri"/>
                <w:b/>
                <w:color w:val="FFFFFF"/>
                <w:sz w:val="19"/>
              </w:rPr>
              <w:t>¿Qué significa para la Empresa?</w:t>
            </w:r>
          </w:p>
        </w:tc>
        <w:tc>
          <w:tcPr>
            <w:tcW w:type="dxa" w:w="2304"/>
            <w:shd w:fill="1B365D"/>
            <w:tcMar>
              <w:top w:w="100" w:type="dxa"/>
              <w:bottom w:w="100" w:type="dxa"/>
              <w:left w:w="120" w:type="dxa"/>
              <w:right w:w="120" w:type="dxa"/>
            </w:tcMar>
          </w:tcPr>
          <w:p>
            <w:pPr>
              <w:spacing w:before="0" w:after="0"/>
              <w:jc w:val="left"/>
            </w:pPr>
            <w:r>
              <w:rPr>
                <w:rFonts w:ascii="Calibri" w:hAnsi="Calibri"/>
                <w:b/>
                <w:color w:val="FFFFFF"/>
                <w:sz w:val="19"/>
              </w:rPr>
              <w:t>Diagnóstico para el Inversor</w:t>
            </w:r>
          </w:p>
        </w:tc>
      </w:tr>
      <w:tr>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2026-08-31</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Item 1.01 / 2.03</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Enmienda de Línea de Crédito Rotativa</w:t>
            </w:r>
          </w:p>
        </w:tc>
        <w:tc>
          <w:tcPr>
            <w:tcW w:type="dxa" w:w="2448"/>
            <w:shd w:fill="FFFFFF"/>
            <w:tcMar>
              <w:top w:w="80" w:type="dxa"/>
              <w:bottom w:w="80" w:type="dxa"/>
              <w:left w:w="120" w:type="dxa"/>
              <w:right w:w="120" w:type="dxa"/>
            </w:tcMar>
          </w:tcPr>
          <w:p>
            <w:pPr>
              <w:spacing w:before="0" w:after="0"/>
              <w:jc w:val="left"/>
            </w:pPr>
            <w:r>
              <w:rPr>
                <w:rFonts w:ascii="Calibri" w:hAnsi="Calibri"/>
                <w:color w:val="2D3748"/>
                <w:sz w:val="18"/>
              </w:rPr>
              <w:t>Renovación preventiva de línea sindicada no dispuesta por $400M para contingencias.</w:t>
            </w:r>
          </w:p>
        </w:tc>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 SOLVENCIA: Flexibilidad operativa contingente sin asumir apalancamiento real.</w:t>
            </w:r>
          </w:p>
        </w:tc>
      </w:tr>
      <w:tr>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2026-07-23</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Item 2.02</w:t>
            </w:r>
          </w:p>
        </w:tc>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Resultados Financieros Trimestrales</w:t>
            </w:r>
          </w:p>
        </w:tc>
        <w:tc>
          <w:tcPr>
            <w:tcW w:type="dxa" w:w="2448"/>
            <w:shd w:fill="F7FAFC"/>
            <w:tcMar>
              <w:top w:w="80" w:type="dxa"/>
              <w:bottom w:w="80" w:type="dxa"/>
              <w:left w:w="120" w:type="dxa"/>
              <w:right w:w="120" w:type="dxa"/>
            </w:tcMar>
          </w:tcPr>
          <w:p>
            <w:pPr>
              <w:spacing w:before="0" w:after="0"/>
              <w:jc w:val="left"/>
            </w:pPr>
            <w:r>
              <w:rPr>
                <w:rFonts w:ascii="Calibri" w:hAnsi="Calibri"/>
                <w:color w:val="2D3748"/>
                <w:sz w:val="18"/>
              </w:rPr>
              <w:t>Avance oficial de resultados récord del Q1 FY27 y elevación de guidance para FY27.</w:t>
            </w:r>
          </w:p>
        </w:tc>
        <w:tc>
          <w:tcPr>
            <w:tcW w:type="dxa" w:w="2304"/>
            <w:shd w:fill="F7FAFC"/>
            <w:tcMar>
              <w:top w:w="80" w:type="dxa"/>
              <w:bottom w:w="80" w:type="dxa"/>
              <w:left w:w="120" w:type="dxa"/>
              <w:right w:w="120" w:type="dxa"/>
            </w:tcMar>
          </w:tcPr>
          <w:p>
            <w:pPr>
              <w:spacing w:before="0" w:after="0"/>
              <w:jc w:val="left"/>
            </w:pPr>
            <w:r>
              <w:rPr>
                <w:rFonts w:ascii="Calibri" w:hAnsi="Calibri"/>
                <w:color w:val="2D3748"/>
                <w:sz w:val="18"/>
              </w:rPr>
              <w:t>🟢 TRÁMITE ORDINARIO: Cumplimiento regular del calendario de reporte ante la SEC.</w:t>
            </w:r>
          </w:p>
        </w:tc>
      </w:tr>
      <w:tr>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2026-05-21</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Item 5.02</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Sucesión Ejecutiva en la Dirección (CEO)</w:t>
            </w:r>
          </w:p>
        </w:tc>
        <w:tc>
          <w:tcPr>
            <w:tcW w:type="dxa" w:w="2448"/>
            <w:shd w:fill="FFFFFF"/>
            <w:tcMar>
              <w:top w:w="80" w:type="dxa"/>
              <w:bottom w:w="80" w:type="dxa"/>
              <w:left w:w="120" w:type="dxa"/>
              <w:right w:w="120" w:type="dxa"/>
            </w:tcMar>
          </w:tcPr>
          <w:p>
            <w:pPr>
              <w:spacing w:before="0" w:after="0"/>
              <w:jc w:val="left"/>
            </w:pPr>
            <w:r>
              <w:rPr>
                <w:rFonts w:ascii="Calibri" w:hAnsi="Calibri"/>
                <w:color w:val="2D3748"/>
                <w:sz w:val="18"/>
              </w:rPr>
              <w:t>Designación formal de Stefano Caroti como CEO tras el retiro planificado de Dave Powers.</w:t>
            </w:r>
          </w:p>
        </w:tc>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 RELEVO PLANIFICADO: Transición interna ordenada; Caroti lideró la expansión omnicanal.</w:t>
            </w:r>
          </w:p>
        </w:tc>
      </w:tr>
      <w:tr>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2026-07-15</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Item 5.03</w:t>
            </w:r>
          </w:p>
        </w:tc>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Aprobación de Stock Split 6:1</w:t>
            </w:r>
          </w:p>
        </w:tc>
        <w:tc>
          <w:tcPr>
            <w:tcW w:type="dxa" w:w="2448"/>
            <w:shd w:fill="F7FAFC"/>
            <w:tcMar>
              <w:top w:w="80" w:type="dxa"/>
              <w:bottom w:w="80" w:type="dxa"/>
              <w:left w:w="120" w:type="dxa"/>
              <w:right w:w="120" w:type="dxa"/>
            </w:tcMar>
          </w:tcPr>
          <w:p>
            <w:pPr>
              <w:spacing w:before="0" w:after="0"/>
              <w:jc w:val="left"/>
            </w:pPr>
            <w:r>
              <w:rPr>
                <w:rFonts w:ascii="Calibri" w:hAnsi="Calibri"/>
                <w:color w:val="2D3748"/>
                <w:sz w:val="18"/>
              </w:rPr>
              <w:t>Modificación del acta constitutiva para formalizar el desdoblamiento de acciones de 6 por 1.</w:t>
            </w:r>
          </w:p>
        </w:tc>
        <w:tc>
          <w:tcPr>
            <w:tcW w:type="dxa" w:w="2304"/>
            <w:shd w:fill="F7FAFC"/>
            <w:tcMar>
              <w:top w:w="80" w:type="dxa"/>
              <w:bottom w:w="80" w:type="dxa"/>
              <w:left w:w="120" w:type="dxa"/>
              <w:right w:w="120" w:type="dxa"/>
            </w:tcMar>
          </w:tcPr>
          <w:p>
            <w:pPr>
              <w:spacing w:before="0" w:after="0"/>
              <w:jc w:val="left"/>
            </w:pPr>
            <w:r>
              <w:rPr>
                <w:rFonts w:ascii="Calibri" w:hAnsi="Calibri"/>
                <w:color w:val="2D3748"/>
                <w:sz w:val="18"/>
              </w:rPr>
              <w:t>🟢 ACCIÓN CORPORATIVA: Aumento de la liquidez y accesibilidad para inversores retail.</w:t>
            </w:r>
          </w:p>
        </w:tc>
      </w:tr>
      <w:tr>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Últimos 12M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Item 4.01</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Auditoría Externa Independiente</w:t>
            </w:r>
          </w:p>
        </w:tc>
        <w:tc>
          <w:tcPr>
            <w:tcW w:type="dxa" w:w="2448"/>
            <w:shd w:fill="FFFFFF"/>
            <w:tcMar>
              <w:top w:w="80" w:type="dxa"/>
              <w:bottom w:w="80" w:type="dxa"/>
              <w:left w:w="120" w:type="dxa"/>
              <w:right w:w="120" w:type="dxa"/>
            </w:tcMar>
          </w:tcPr>
          <w:p>
            <w:pPr>
              <w:spacing w:before="0" w:after="0"/>
              <w:jc w:val="left"/>
            </w:pPr>
            <w:r>
              <w:rPr>
                <w:rFonts w:ascii="Calibri" w:hAnsi="Calibri"/>
                <w:color w:val="2D3748"/>
                <w:sz w:val="18"/>
              </w:rPr>
              <w:t>Sin registros. KPMG LLP continúa como firma auditora principal sin disputas contables.</w:t>
            </w:r>
          </w:p>
        </w:tc>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 MÁXIMA ESTABILIDAD: Cero banderas rojas contables o discrepancias con auditores.</w:t>
            </w:r>
          </w:p>
        </w:tc>
      </w:tr>
    </w:tbl>
    <w:p>
      <w:pPr>
        <w:spacing w:after="120"/>
      </w:pPr>
    </w:p>
    <w:p>
      <w:pPr>
        <w:keepNext/>
        <w:spacing w:before="200" w:after="80"/>
      </w:pPr>
      <w:r>
        <w:rPr>
          <w:rFonts w:ascii="Calibri" w:hAnsi="Calibri"/>
          <w:b/>
          <w:color w:val="4A5568"/>
          <w:sz w:val="22"/>
        </w:rPr>
        <w:t>8.2. Monitor Unificado de Insiders: Del Aviso (Form 144) a la Ejecución (Form 4)</w:t>
      </w:r>
    </w:p>
    <w:p>
      <w:pPr>
        <w:spacing w:before="40" w:after="80" w:line="276" w:lineRule="auto"/>
      </w:pPr>
      <w:r>
        <w:rPr>
          <w:rFonts w:ascii="Calibri" w:hAnsi="Calibri"/>
          <w:i w:val="0"/>
          <w:color w:val="2D3748"/>
          <w:sz w:val="20"/>
        </w:rPr>
        <w:t>Consolidación de transacciones de directivos clave cruzando intención (Form 144) con ejecución efectiva (Form 4):</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632"/>
        <w:gridCol w:w="1632"/>
        <w:gridCol w:w="1632"/>
        <w:gridCol w:w="1632"/>
        <w:gridCol w:w="1632"/>
        <w:gridCol w:w="1632"/>
      </w:tblGrid>
      <w:tr>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Directivo / Cargo Clave</w:t>
            </w:r>
          </w:p>
        </w:tc>
        <w:tc>
          <w:tcPr>
            <w:tcW w:type="dxa" w:w="2016"/>
            <w:shd w:fill="1B365D"/>
            <w:tcMar>
              <w:top w:w="100" w:type="dxa"/>
              <w:bottom w:w="100" w:type="dxa"/>
              <w:left w:w="120" w:type="dxa"/>
              <w:right w:w="120" w:type="dxa"/>
            </w:tcMar>
          </w:tcPr>
          <w:p>
            <w:pPr>
              <w:spacing w:before="0" w:after="0"/>
              <w:jc w:val="center"/>
            </w:pPr>
            <w:r>
              <w:rPr>
                <w:rFonts w:ascii="Calibri" w:hAnsi="Calibri"/>
                <w:b/>
                <w:color w:val="FFFFFF"/>
                <w:sz w:val="19"/>
              </w:rPr>
              <w:t>Tipo de Operación y Modalidad SEC</w:t>
            </w:r>
          </w:p>
        </w:tc>
        <w:tc>
          <w:tcPr>
            <w:tcW w:type="dxa" w:w="1296"/>
            <w:shd w:fill="1B365D"/>
            <w:tcMar>
              <w:top w:w="100" w:type="dxa"/>
              <w:bottom w:w="100" w:type="dxa"/>
              <w:left w:w="120" w:type="dxa"/>
              <w:right w:w="120" w:type="dxa"/>
            </w:tcMar>
          </w:tcPr>
          <w:p>
            <w:pPr>
              <w:spacing w:before="0" w:after="0"/>
              <w:jc w:val="right"/>
            </w:pPr>
            <w:r>
              <w:rPr>
                <w:rFonts w:ascii="Calibri" w:hAnsi="Calibri"/>
                <w:b/>
                <w:color w:val="FFFFFF"/>
                <w:sz w:val="19"/>
              </w:rPr>
              <w:t>Volumen de Acciones</w:t>
            </w:r>
          </w:p>
        </w:tc>
        <w:tc>
          <w:tcPr>
            <w:tcW w:type="dxa" w:w="1440"/>
            <w:shd w:fill="1B365D"/>
            <w:tcMar>
              <w:top w:w="100" w:type="dxa"/>
              <w:bottom w:w="100" w:type="dxa"/>
              <w:left w:w="120" w:type="dxa"/>
              <w:right w:w="120" w:type="dxa"/>
            </w:tcMar>
          </w:tcPr>
          <w:p>
            <w:pPr>
              <w:spacing w:before="0" w:after="0"/>
              <w:jc w:val="right"/>
            </w:pPr>
            <w:r>
              <w:rPr>
                <w:rFonts w:ascii="Calibri" w:hAnsi="Calibri"/>
                <w:b/>
                <w:color w:val="FFFFFF"/>
                <w:sz w:val="19"/>
              </w:rPr>
              <w:t>Importe Efectivo ($)</w:t>
            </w:r>
          </w:p>
        </w:tc>
        <w:tc>
          <w:tcPr>
            <w:tcW w:type="dxa" w:w="1296"/>
            <w:shd w:fill="1B365D"/>
            <w:tcMar>
              <w:top w:w="100" w:type="dxa"/>
              <w:bottom w:w="100" w:type="dxa"/>
              <w:left w:w="120" w:type="dxa"/>
              <w:right w:w="120" w:type="dxa"/>
            </w:tcMar>
          </w:tcPr>
          <w:p>
            <w:pPr>
              <w:spacing w:before="0" w:after="0"/>
              <w:jc w:val="center"/>
            </w:pPr>
            <w:r>
              <w:rPr>
                <w:rFonts w:ascii="Calibri" w:hAnsi="Calibri"/>
                <w:b/>
                <w:color w:val="FFFFFF"/>
                <w:sz w:val="19"/>
              </w:rPr>
              <w:t>Trazabilidad SEC (144 ➔ 4)</w:t>
            </w:r>
          </w:p>
        </w:tc>
        <w:tc>
          <w:tcPr>
            <w:tcW w:type="dxa" w:w="1584"/>
            <w:shd w:fill="1B365D"/>
            <w:tcMar>
              <w:top w:w="100" w:type="dxa"/>
              <w:bottom w:w="100" w:type="dxa"/>
              <w:left w:w="120" w:type="dxa"/>
              <w:right w:w="120" w:type="dxa"/>
            </w:tcMar>
          </w:tcPr>
          <w:p>
            <w:pPr>
              <w:spacing w:before="0" w:after="0"/>
              <w:jc w:val="left"/>
            </w:pPr>
            <w:r>
              <w:rPr>
                <w:rFonts w:ascii="Calibri" w:hAnsi="Calibri"/>
                <w:b/>
                <w:color w:val="FFFFFF"/>
                <w:sz w:val="19"/>
              </w:rPr>
              <w:t>Diagnóstico de Convicción</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Stefano Caroti</w:t>
              <w:br/>
              <w:t>(President &amp; CEO)</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 Asignación y Retención (RSUs)</w:t>
            </w:r>
          </w:p>
        </w:tc>
        <w:tc>
          <w:tcPr>
            <w:tcW w:type="dxa" w:w="1296"/>
            <w:shd w:fill="FFFFFF"/>
            <w:tcMar>
              <w:top w:w="80" w:type="dxa"/>
              <w:bottom w:w="80" w:type="dxa"/>
              <w:left w:w="120" w:type="dxa"/>
              <w:right w:w="120" w:type="dxa"/>
            </w:tcMar>
          </w:tcPr>
          <w:p>
            <w:pPr>
              <w:spacing w:before="0" w:after="0"/>
              <w:jc w:val="right"/>
            </w:pPr>
            <w:r>
              <w:rPr>
                <w:rFonts w:ascii="Calibri" w:hAnsi="Calibri"/>
                <w:color w:val="2D3748"/>
                <w:sz w:val="18"/>
              </w:rPr>
              <w:t>+147,643</w:t>
            </w:r>
          </w:p>
        </w:tc>
        <w:tc>
          <w:tcPr>
            <w:tcW w:type="dxa" w:w="1440"/>
            <w:shd w:fill="FFFFFF"/>
            <w:tcMar>
              <w:top w:w="80" w:type="dxa"/>
              <w:bottom w:w="80" w:type="dxa"/>
              <w:left w:w="120" w:type="dxa"/>
              <w:right w:w="120" w:type="dxa"/>
            </w:tcMar>
          </w:tcPr>
          <w:p>
            <w:pPr>
              <w:spacing w:before="0" w:after="0"/>
              <w:jc w:val="right"/>
            </w:pPr>
            <w:r>
              <w:rPr>
                <w:rFonts w:ascii="Calibri" w:hAnsi="Calibri"/>
                <w:color w:val="2D3748"/>
                <w:sz w:val="18"/>
              </w:rPr>
              <w:t>$0 ventas</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Form 4 Registrado</w:t>
            </w:r>
          </w:p>
        </w:tc>
        <w:tc>
          <w:tcPr>
            <w:tcW w:type="dxa" w:w="1584"/>
            <w:shd w:fill="FFFFFF"/>
            <w:tcMar>
              <w:top w:w="80" w:type="dxa"/>
              <w:bottom w:w="80" w:type="dxa"/>
              <w:left w:w="120" w:type="dxa"/>
              <w:right w:w="120" w:type="dxa"/>
            </w:tcMar>
          </w:tcPr>
          <w:p>
            <w:pPr>
              <w:spacing w:before="0" w:after="0"/>
              <w:jc w:val="left"/>
            </w:pPr>
            <w:r>
              <w:rPr>
                <w:rFonts w:ascii="Calibri" w:hAnsi="Calibri"/>
                <w:color w:val="2D3748"/>
                <w:sz w:val="18"/>
              </w:rPr>
              <w:t>Retención total; convicción patrimonial plena en su nombramiento como CEO.</w:t>
            </w:r>
          </w:p>
        </w:tc>
      </w:tr>
      <w:tr>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Steven J. Fasching</w:t>
              <w:br/>
              <w:t>(Chief Financial Officer)</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 Asignación y Retención (RSUs)</w:t>
            </w:r>
          </w:p>
        </w:tc>
        <w:tc>
          <w:tcPr>
            <w:tcW w:type="dxa" w:w="1296"/>
            <w:shd w:fill="F7FAFC"/>
            <w:tcMar>
              <w:top w:w="80" w:type="dxa"/>
              <w:bottom w:w="80" w:type="dxa"/>
              <w:left w:w="120" w:type="dxa"/>
              <w:right w:w="120" w:type="dxa"/>
            </w:tcMar>
          </w:tcPr>
          <w:p>
            <w:pPr>
              <w:spacing w:before="0" w:after="0"/>
              <w:jc w:val="right"/>
            </w:pPr>
            <w:r>
              <w:rPr>
                <w:rFonts w:ascii="Calibri" w:hAnsi="Calibri"/>
                <w:color w:val="2D3748"/>
                <w:sz w:val="18"/>
              </w:rPr>
              <w:t>+39,949</w:t>
            </w:r>
          </w:p>
        </w:tc>
        <w:tc>
          <w:tcPr>
            <w:tcW w:type="dxa" w:w="1440"/>
            <w:shd w:fill="F7FAFC"/>
            <w:tcMar>
              <w:top w:w="80" w:type="dxa"/>
              <w:bottom w:w="80" w:type="dxa"/>
              <w:left w:w="120" w:type="dxa"/>
              <w:right w:w="120" w:type="dxa"/>
            </w:tcMar>
          </w:tcPr>
          <w:p>
            <w:pPr>
              <w:spacing w:before="0" w:after="0"/>
              <w:jc w:val="right"/>
            </w:pPr>
            <w:r>
              <w:rPr>
                <w:rFonts w:ascii="Calibri" w:hAnsi="Calibri"/>
                <w:color w:val="2D3748"/>
                <w:sz w:val="18"/>
              </w:rPr>
              <w:t>$0 ventas</w:t>
            </w:r>
          </w:p>
        </w:tc>
        <w:tc>
          <w:tcPr>
            <w:tcW w:type="dxa" w:w="1296"/>
            <w:shd w:fill="F7FAFC"/>
            <w:tcMar>
              <w:top w:w="80" w:type="dxa"/>
              <w:bottom w:w="80" w:type="dxa"/>
              <w:left w:w="120" w:type="dxa"/>
              <w:right w:w="120" w:type="dxa"/>
            </w:tcMar>
          </w:tcPr>
          <w:p>
            <w:pPr>
              <w:spacing w:before="0" w:after="0"/>
              <w:jc w:val="center"/>
            </w:pPr>
            <w:r>
              <w:rPr>
                <w:rFonts w:ascii="Calibri" w:hAnsi="Calibri"/>
                <w:color w:val="2D3748"/>
                <w:sz w:val="18"/>
              </w:rPr>
              <w:t>Form 4 Registrado</w:t>
            </w:r>
          </w:p>
        </w:tc>
        <w:tc>
          <w:tcPr>
            <w:tcW w:type="dxa" w:w="1584"/>
            <w:shd w:fill="F7FAFC"/>
            <w:tcMar>
              <w:top w:w="80" w:type="dxa"/>
              <w:bottom w:w="80" w:type="dxa"/>
              <w:left w:w="120" w:type="dxa"/>
              <w:right w:w="120" w:type="dxa"/>
            </w:tcMar>
          </w:tcPr>
          <w:p>
            <w:pPr>
              <w:spacing w:before="0" w:after="0"/>
              <w:jc w:val="left"/>
            </w:pPr>
            <w:r>
              <w:rPr>
                <w:rFonts w:ascii="Calibri" w:hAnsi="Calibri"/>
                <w:color w:val="2D3748"/>
                <w:sz w:val="18"/>
              </w:rPr>
              <w:t>Retención patrimonial del director financiero; disciplina contable intachable.</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Dave Powers</w:t>
              <w:br/>
              <w:t>(Ex-CEO y Consejero)</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 Venta Programada (Plan 10b5-1)</w:t>
            </w:r>
          </w:p>
        </w:tc>
        <w:tc>
          <w:tcPr>
            <w:tcW w:type="dxa" w:w="1296"/>
            <w:shd w:fill="FFFFFF"/>
            <w:tcMar>
              <w:top w:w="80" w:type="dxa"/>
              <w:bottom w:w="80" w:type="dxa"/>
              <w:left w:w="120" w:type="dxa"/>
              <w:right w:w="120" w:type="dxa"/>
            </w:tcMar>
          </w:tcPr>
          <w:p>
            <w:pPr>
              <w:spacing w:before="0" w:after="0"/>
              <w:jc w:val="right"/>
            </w:pPr>
            <w:r>
              <w:rPr>
                <w:rFonts w:ascii="Calibri" w:hAnsi="Calibri"/>
                <w:color w:val="2D3748"/>
                <w:sz w:val="18"/>
              </w:rPr>
              <w:t>-45,000</w:t>
            </w:r>
          </w:p>
        </w:tc>
        <w:tc>
          <w:tcPr>
            <w:tcW w:type="dxa" w:w="1440"/>
            <w:shd w:fill="FFFFFF"/>
            <w:tcMar>
              <w:top w:w="80" w:type="dxa"/>
              <w:bottom w:w="80" w:type="dxa"/>
              <w:left w:w="120" w:type="dxa"/>
              <w:right w:w="120" w:type="dxa"/>
            </w:tcMar>
          </w:tcPr>
          <w:p>
            <w:pPr>
              <w:spacing w:before="0" w:after="0"/>
              <w:jc w:val="right"/>
            </w:pPr>
            <w:r>
              <w:rPr>
                <w:rFonts w:ascii="Calibri" w:hAnsi="Calibri"/>
                <w:color w:val="2D3748"/>
                <w:sz w:val="18"/>
              </w:rPr>
              <w:t>-$6,840,000</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Form 144 ➔ Form 4</w:t>
            </w:r>
          </w:p>
        </w:tc>
        <w:tc>
          <w:tcPr>
            <w:tcW w:type="dxa" w:w="1584"/>
            <w:shd w:fill="FFFFFF"/>
            <w:tcMar>
              <w:top w:w="80" w:type="dxa"/>
              <w:bottom w:w="80" w:type="dxa"/>
              <w:left w:w="120" w:type="dxa"/>
              <w:right w:w="120" w:type="dxa"/>
            </w:tcMar>
          </w:tcPr>
          <w:p>
            <w:pPr>
              <w:spacing w:before="0" w:after="0"/>
              <w:jc w:val="left"/>
            </w:pPr>
            <w:r>
              <w:rPr>
                <w:rFonts w:ascii="Calibri" w:hAnsi="Calibri"/>
                <w:color w:val="2D3748"/>
                <w:sz w:val="18"/>
              </w:rPr>
              <w:t>Venta rutinaria pre-programada con 12 meses de anticipación tras su retiro.</w:t>
            </w:r>
          </w:p>
        </w:tc>
      </w:tr>
      <w:tr>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Robin Spring-Green</w:t>
              <w:br/>
              <w:t>(President, Hoka)</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 Asignación de Desempeño</w:t>
            </w:r>
          </w:p>
        </w:tc>
        <w:tc>
          <w:tcPr>
            <w:tcW w:type="dxa" w:w="1296"/>
            <w:shd w:fill="F7FAFC"/>
            <w:tcMar>
              <w:top w:w="80" w:type="dxa"/>
              <w:bottom w:w="80" w:type="dxa"/>
              <w:left w:w="120" w:type="dxa"/>
              <w:right w:w="120" w:type="dxa"/>
            </w:tcMar>
          </w:tcPr>
          <w:p>
            <w:pPr>
              <w:spacing w:before="0" w:after="0"/>
              <w:jc w:val="right"/>
            </w:pPr>
            <w:r>
              <w:rPr>
                <w:rFonts w:ascii="Calibri" w:hAnsi="Calibri"/>
                <w:color w:val="2D3748"/>
                <w:sz w:val="18"/>
              </w:rPr>
              <w:t>+28,660</w:t>
            </w:r>
          </w:p>
        </w:tc>
        <w:tc>
          <w:tcPr>
            <w:tcW w:type="dxa" w:w="1440"/>
            <w:shd w:fill="F7FAFC"/>
            <w:tcMar>
              <w:top w:w="80" w:type="dxa"/>
              <w:bottom w:w="80" w:type="dxa"/>
              <w:left w:w="120" w:type="dxa"/>
              <w:right w:w="120" w:type="dxa"/>
            </w:tcMar>
          </w:tcPr>
          <w:p>
            <w:pPr>
              <w:spacing w:before="0" w:after="0"/>
              <w:jc w:val="right"/>
            </w:pPr>
            <w:r>
              <w:rPr>
                <w:rFonts w:ascii="Calibri" w:hAnsi="Calibri"/>
                <w:color w:val="2D3748"/>
                <w:sz w:val="18"/>
              </w:rPr>
              <w:t>$0 ventas</w:t>
            </w:r>
          </w:p>
        </w:tc>
        <w:tc>
          <w:tcPr>
            <w:tcW w:type="dxa" w:w="1296"/>
            <w:shd w:fill="F7FAFC"/>
            <w:tcMar>
              <w:top w:w="80" w:type="dxa"/>
              <w:bottom w:w="80" w:type="dxa"/>
              <w:left w:w="120" w:type="dxa"/>
              <w:right w:w="120" w:type="dxa"/>
            </w:tcMar>
          </w:tcPr>
          <w:p>
            <w:pPr>
              <w:spacing w:before="0" w:after="0"/>
              <w:jc w:val="center"/>
            </w:pPr>
            <w:r>
              <w:rPr>
                <w:rFonts w:ascii="Calibri" w:hAnsi="Calibri"/>
                <w:color w:val="2D3748"/>
                <w:sz w:val="18"/>
              </w:rPr>
              <w:t>Form 4 Registrado</w:t>
            </w:r>
          </w:p>
        </w:tc>
        <w:tc>
          <w:tcPr>
            <w:tcW w:type="dxa" w:w="1584"/>
            <w:shd w:fill="F7FAFC"/>
            <w:tcMar>
              <w:top w:w="80" w:type="dxa"/>
              <w:bottom w:w="80" w:type="dxa"/>
              <w:left w:w="120" w:type="dxa"/>
              <w:right w:w="120" w:type="dxa"/>
            </w:tcMar>
          </w:tcPr>
          <w:p>
            <w:pPr>
              <w:spacing w:before="0" w:after="0"/>
              <w:jc w:val="left"/>
            </w:pPr>
            <w:r>
              <w:rPr>
                <w:rFonts w:ascii="Calibri" w:hAnsi="Calibri"/>
                <w:color w:val="2D3748"/>
                <w:sz w:val="18"/>
              </w:rPr>
              <w:t>Alineación total con el superciclo y la expansión internacional de HOKA.</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Anne Spangenberg</w:t>
              <w:br/>
              <w:t>(President, Lifestyle / UGG)</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 Asignación de Desempeño</w:t>
            </w:r>
          </w:p>
        </w:tc>
        <w:tc>
          <w:tcPr>
            <w:tcW w:type="dxa" w:w="1296"/>
            <w:shd w:fill="FFFFFF"/>
            <w:tcMar>
              <w:top w:w="80" w:type="dxa"/>
              <w:bottom w:w="80" w:type="dxa"/>
              <w:left w:w="120" w:type="dxa"/>
              <w:right w:w="120" w:type="dxa"/>
            </w:tcMar>
          </w:tcPr>
          <w:p>
            <w:pPr>
              <w:spacing w:before="0" w:after="0"/>
              <w:jc w:val="right"/>
            </w:pPr>
            <w:r>
              <w:rPr>
                <w:rFonts w:ascii="Calibri" w:hAnsi="Calibri"/>
                <w:color w:val="2D3748"/>
                <w:sz w:val="18"/>
              </w:rPr>
              <w:t>+34,740</w:t>
            </w:r>
          </w:p>
        </w:tc>
        <w:tc>
          <w:tcPr>
            <w:tcW w:type="dxa" w:w="1440"/>
            <w:shd w:fill="FFFFFF"/>
            <w:tcMar>
              <w:top w:w="80" w:type="dxa"/>
              <w:bottom w:w="80" w:type="dxa"/>
              <w:left w:w="120" w:type="dxa"/>
              <w:right w:w="120" w:type="dxa"/>
            </w:tcMar>
          </w:tcPr>
          <w:p>
            <w:pPr>
              <w:spacing w:before="0" w:after="0"/>
              <w:jc w:val="right"/>
            </w:pPr>
            <w:r>
              <w:rPr>
                <w:rFonts w:ascii="Calibri" w:hAnsi="Calibri"/>
                <w:color w:val="2D3748"/>
                <w:sz w:val="18"/>
              </w:rPr>
              <w:t>$0 ventas</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Form 4 Registrado</w:t>
            </w:r>
          </w:p>
        </w:tc>
        <w:tc>
          <w:tcPr>
            <w:tcW w:type="dxa" w:w="1584"/>
            <w:shd w:fill="FFFFFF"/>
            <w:tcMar>
              <w:top w:w="80" w:type="dxa"/>
              <w:bottom w:w="80" w:type="dxa"/>
              <w:left w:w="120" w:type="dxa"/>
              <w:right w:w="120" w:type="dxa"/>
            </w:tcMar>
          </w:tcPr>
          <w:p>
            <w:pPr>
              <w:spacing w:before="0" w:after="0"/>
              <w:jc w:val="left"/>
            </w:pPr>
            <w:r>
              <w:rPr>
                <w:rFonts w:ascii="Calibri" w:hAnsi="Calibri"/>
                <w:color w:val="2D3748"/>
                <w:sz w:val="18"/>
              </w:rPr>
              <w:t>Incentivo a largo plazo para la desestacionalización de la franquicia UGG.</w:t>
            </w:r>
          </w:p>
        </w:tc>
      </w:tr>
      <w:tr>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Consejo de Administración</w:t>
              <w:br/>
              <w:t>(10 Directores Independientes)</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 Retención Institucional</w:t>
            </w:r>
          </w:p>
        </w:tc>
        <w:tc>
          <w:tcPr>
            <w:tcW w:type="dxa" w:w="1296"/>
            <w:shd w:fill="F7FAFC"/>
            <w:tcMar>
              <w:top w:w="80" w:type="dxa"/>
              <w:bottom w:w="80" w:type="dxa"/>
              <w:left w:w="120" w:type="dxa"/>
              <w:right w:w="120" w:type="dxa"/>
            </w:tcMar>
          </w:tcPr>
          <w:p>
            <w:pPr>
              <w:spacing w:before="0" w:after="0"/>
              <w:jc w:val="right"/>
            </w:pPr>
            <w:r>
              <w:rPr>
                <w:rFonts w:ascii="Calibri" w:hAnsi="Calibri"/>
                <w:color w:val="2D3748"/>
                <w:sz w:val="18"/>
              </w:rPr>
              <w:t>Concesiones RSU</w:t>
            </w:r>
          </w:p>
        </w:tc>
        <w:tc>
          <w:tcPr>
            <w:tcW w:type="dxa" w:w="1440"/>
            <w:shd w:fill="F7FAFC"/>
            <w:tcMar>
              <w:top w:w="80" w:type="dxa"/>
              <w:bottom w:w="80" w:type="dxa"/>
              <w:left w:w="120" w:type="dxa"/>
              <w:right w:w="120" w:type="dxa"/>
            </w:tcMar>
          </w:tcPr>
          <w:p>
            <w:pPr>
              <w:spacing w:before="0" w:after="0"/>
              <w:jc w:val="right"/>
            </w:pPr>
            <w:r>
              <w:rPr>
                <w:rFonts w:ascii="Calibri" w:hAnsi="Calibri"/>
                <w:color w:val="2D3748"/>
                <w:sz w:val="18"/>
              </w:rPr>
              <w:t>$0 ventas</w:t>
            </w:r>
          </w:p>
        </w:tc>
        <w:tc>
          <w:tcPr>
            <w:tcW w:type="dxa" w:w="1296"/>
            <w:shd w:fill="F7FAFC"/>
            <w:tcMar>
              <w:top w:w="80" w:type="dxa"/>
              <w:bottom w:w="80" w:type="dxa"/>
              <w:left w:w="120" w:type="dxa"/>
              <w:right w:w="120" w:type="dxa"/>
            </w:tcMar>
          </w:tcPr>
          <w:p>
            <w:pPr>
              <w:spacing w:before="0" w:after="0"/>
              <w:jc w:val="center"/>
            </w:pPr>
            <w:r>
              <w:rPr>
                <w:rFonts w:ascii="Calibri" w:hAnsi="Calibri"/>
                <w:color w:val="2D3748"/>
                <w:sz w:val="18"/>
              </w:rPr>
              <w:t>Form 4 Rutinario</w:t>
            </w:r>
          </w:p>
        </w:tc>
        <w:tc>
          <w:tcPr>
            <w:tcW w:type="dxa" w:w="1584"/>
            <w:shd w:fill="F7FAFC"/>
            <w:tcMar>
              <w:top w:w="80" w:type="dxa"/>
              <w:bottom w:w="80" w:type="dxa"/>
              <w:left w:w="120" w:type="dxa"/>
              <w:right w:w="120" w:type="dxa"/>
            </w:tcMar>
          </w:tcPr>
          <w:p>
            <w:pPr>
              <w:spacing w:before="0" w:after="0"/>
              <w:jc w:val="left"/>
            </w:pPr>
            <w:r>
              <w:rPr>
                <w:rFonts w:ascii="Calibri" w:hAnsi="Calibri"/>
                <w:color w:val="2D3748"/>
                <w:sz w:val="18"/>
              </w:rPr>
              <w:t>Independencia sólida del consejo y supervisión fiduciaria de primer nivel.</w:t>
            </w:r>
          </w:p>
        </w:tc>
      </w:tr>
    </w:tbl>
    <w:p>
      <w:pPr>
        <w:spacing w:after="120"/>
      </w:pPr>
    </w:p>
    <w:p>
      <w:pPr>
        <w:spacing w:before="40" w:after="80" w:line="276" w:lineRule="auto"/>
      </w:pPr>
      <w:r>
        <w:rPr>
          <w:rFonts w:ascii="Calibri" w:hAnsi="Calibri"/>
          <w:b/>
          <w:color w:val="2D3748"/>
          <w:sz w:val="20"/>
        </w:rPr>
        <w:t xml:space="preserve">• Dictamen de Convicción Interna: </w:t>
      </w:r>
      <w:r>
        <w:rPr>
          <w:rFonts w:ascii="Calibri" w:hAnsi="Calibri"/>
          <w:i w:val="0"/>
          <w:color w:val="2D3748"/>
          <w:sz w:val="20"/>
        </w:rPr>
        <w:t>La cúpula ejecutiva de Deckers opera con un estándar ejemplar de transparencia. No se registraron ventas discrecionales atípicas en el mercado abierto, y el 100% de las desinversiones menores obedecen a ventas programadas bajo planes Rule 10b5-1 previas a la transición del CEO.</w:t>
      </w:r>
    </w:p>
    <w:p>
      <w:pPr>
        <w:keepNext/>
        <w:spacing w:before="200" w:after="80"/>
      </w:pPr>
      <w:r>
        <w:rPr>
          <w:rFonts w:ascii="Calibri" w:hAnsi="Calibri"/>
          <w:b/>
          <w:color w:val="4A5568"/>
          <w:sz w:val="22"/>
        </w:rPr>
        <w:t>8.3. Cuadro de Mando y Calificación Global de Gobernanza</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2592"/>
            <w:shd w:fill="1B365D"/>
            <w:tcMar>
              <w:top w:w="100" w:type="dxa"/>
              <w:bottom w:w="100" w:type="dxa"/>
              <w:left w:w="120" w:type="dxa"/>
              <w:right w:w="120" w:type="dxa"/>
            </w:tcMar>
          </w:tcPr>
          <w:p>
            <w:pPr>
              <w:spacing w:before="0" w:after="0"/>
              <w:jc w:val="left"/>
            </w:pPr>
            <w:r>
              <w:rPr>
                <w:rFonts w:ascii="Calibri" w:hAnsi="Calibri"/>
                <w:b/>
                <w:color w:val="FFFFFF"/>
                <w:sz w:val="19"/>
              </w:rPr>
              <w:t>Dimensión de Gobernanza</w:t>
            </w:r>
          </w:p>
        </w:tc>
        <w:tc>
          <w:tcPr>
            <w:tcW w:type="dxa" w:w="2016"/>
            <w:shd w:fill="1B365D"/>
            <w:tcMar>
              <w:top w:w="100" w:type="dxa"/>
              <w:bottom w:w="100" w:type="dxa"/>
              <w:left w:w="120" w:type="dxa"/>
              <w:right w:w="120" w:type="dxa"/>
            </w:tcMar>
          </w:tcPr>
          <w:p>
            <w:pPr>
              <w:spacing w:before="0" w:after="0"/>
              <w:jc w:val="left"/>
            </w:pPr>
            <w:r>
              <w:rPr>
                <w:rFonts w:ascii="Calibri" w:hAnsi="Calibri"/>
                <w:b/>
                <w:color w:val="FFFFFF"/>
                <w:sz w:val="19"/>
              </w:rPr>
              <w:t>Resultado Detectado</w:t>
            </w:r>
          </w:p>
        </w:tc>
        <w:tc>
          <w:tcPr>
            <w:tcW w:type="dxa" w:w="2016"/>
            <w:shd w:fill="1B365D"/>
            <w:tcMar>
              <w:top w:w="100" w:type="dxa"/>
              <w:bottom w:w="100" w:type="dxa"/>
              <w:left w:w="120" w:type="dxa"/>
              <w:right w:w="120" w:type="dxa"/>
            </w:tcMar>
          </w:tcPr>
          <w:p>
            <w:pPr>
              <w:spacing w:before="0" w:after="0"/>
              <w:jc w:val="center"/>
            </w:pPr>
            <w:r>
              <w:rPr>
                <w:rFonts w:ascii="Calibri" w:hAnsi="Calibri"/>
                <w:b/>
                <w:color w:val="FFFFFF"/>
                <w:sz w:val="19"/>
              </w:rPr>
              <w:t>Calificación / Semáforo</w:t>
            </w:r>
          </w:p>
        </w:tc>
        <w:tc>
          <w:tcPr>
            <w:tcW w:type="dxa" w:w="3168"/>
            <w:shd w:fill="1B365D"/>
            <w:tcMar>
              <w:top w:w="100" w:type="dxa"/>
              <w:bottom w:w="100" w:type="dxa"/>
              <w:left w:w="120" w:type="dxa"/>
              <w:right w:w="120" w:type="dxa"/>
            </w:tcMar>
          </w:tcPr>
          <w:p>
            <w:pPr>
              <w:spacing w:before="0" w:after="0"/>
              <w:jc w:val="left"/>
            </w:pPr>
            <w:r>
              <w:rPr>
                <w:rFonts w:ascii="Calibri" w:hAnsi="Calibri"/>
                <w:b/>
                <w:color w:val="FFFFFF"/>
                <w:sz w:val="19"/>
              </w:rPr>
              <w:t>Diagnóstico para el Accionista</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Puntuación Global de Gobernanza</w:t>
            </w:r>
          </w:p>
        </w:tc>
        <w:tc>
          <w:tcPr>
            <w:tcW w:type="dxa" w:w="2016"/>
            <w:shd w:fill="FFFFFF"/>
            <w:tcMar>
              <w:top w:w="80" w:type="dxa"/>
              <w:bottom w:w="80" w:type="dxa"/>
              <w:left w:w="120" w:type="dxa"/>
              <w:right w:w="120" w:type="dxa"/>
            </w:tcMar>
          </w:tcPr>
          <w:p>
            <w:pPr>
              <w:spacing w:before="0" w:after="0"/>
              <w:jc w:val="left"/>
            </w:pPr>
            <w:r>
              <w:rPr>
                <w:rFonts w:ascii="Calibri" w:hAnsi="Calibri"/>
                <w:color w:val="2D3748"/>
                <w:sz w:val="18"/>
              </w:rPr>
              <w:t>SÓLIDA / BAJO RIESGO</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90 / 100</w:t>
            </w:r>
          </w:p>
        </w:tc>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Controles financieros rigurosos, sucesión planificada y cero endeudamiento.</w:t>
            </w:r>
          </w:p>
        </w:tc>
      </w:tr>
      <w:tr>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Auditoría Externa (KPMG LLP)</w:t>
            </w:r>
          </w:p>
        </w:tc>
        <w:tc>
          <w:tcPr>
            <w:tcW w:type="dxa" w:w="2016"/>
            <w:shd w:fill="F7FAFC"/>
            <w:tcMar>
              <w:top w:w="80" w:type="dxa"/>
              <w:bottom w:w="80" w:type="dxa"/>
              <w:left w:w="120" w:type="dxa"/>
              <w:right w:w="120" w:type="dxa"/>
            </w:tcMar>
          </w:tcPr>
          <w:p>
            <w:pPr>
              <w:spacing w:before="0" w:after="0"/>
              <w:jc w:val="left"/>
            </w:pPr>
            <w:r>
              <w:rPr>
                <w:rFonts w:ascii="Calibri" w:hAnsi="Calibri"/>
                <w:color w:val="2D3748"/>
                <w:sz w:val="18"/>
              </w:rPr>
              <w:t>Continuidad histórica intachable</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 ESTABILIDAD TOTAL</w:t>
            </w:r>
          </w:p>
        </w:tc>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Sin salvedades ni discrepancias contables en informes históricos ante la SEC.</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Estructura del Consejo y Sucesión</w:t>
            </w:r>
          </w:p>
        </w:tc>
        <w:tc>
          <w:tcPr>
            <w:tcW w:type="dxa" w:w="2016"/>
            <w:shd w:fill="FFFFFF"/>
            <w:tcMar>
              <w:top w:w="80" w:type="dxa"/>
              <w:bottom w:w="80" w:type="dxa"/>
              <w:left w:w="120" w:type="dxa"/>
              <w:right w:w="120" w:type="dxa"/>
            </w:tcMar>
          </w:tcPr>
          <w:p>
            <w:pPr>
              <w:spacing w:before="0" w:after="0"/>
              <w:jc w:val="left"/>
            </w:pPr>
            <w:r>
              <w:rPr>
                <w:rFonts w:ascii="Calibri" w:hAnsi="Calibri"/>
                <w:color w:val="2D3748"/>
                <w:sz w:val="18"/>
              </w:rPr>
              <w:t>Relevo formalizado en Form 8-K</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 CONTINUIDAD PROBADA</w:t>
            </w:r>
          </w:p>
        </w:tc>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Transición interna que preserva la cultura de disciplina de precios y crecimiento.</w:t>
            </w:r>
          </w:p>
        </w:tc>
      </w:tr>
      <w:tr>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Disciplina en Ventas de Insiders</w:t>
            </w:r>
          </w:p>
        </w:tc>
        <w:tc>
          <w:tcPr>
            <w:tcW w:type="dxa" w:w="2016"/>
            <w:shd w:fill="F7FAFC"/>
            <w:tcMar>
              <w:top w:w="80" w:type="dxa"/>
              <w:bottom w:w="80" w:type="dxa"/>
              <w:left w:w="120" w:type="dxa"/>
              <w:right w:w="120" w:type="dxa"/>
            </w:tcMar>
          </w:tcPr>
          <w:p>
            <w:pPr>
              <w:spacing w:before="0" w:after="0"/>
              <w:jc w:val="left"/>
            </w:pPr>
            <w:r>
              <w:rPr>
                <w:rFonts w:ascii="Calibri" w:hAnsi="Calibri"/>
                <w:color w:val="2D3748"/>
                <w:sz w:val="18"/>
              </w:rPr>
              <w:t>100% C-Suite en Planes 10b5-1 / Retención</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 ALTA PROTECCIÓN</w:t>
            </w:r>
          </w:p>
        </w:tc>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Cumplimiento normativo estricto sin operaciones oportunistas con información privilegiada.</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Compras en Mercado Abierto (Cod. P)</w:t>
            </w:r>
          </w:p>
        </w:tc>
        <w:tc>
          <w:tcPr>
            <w:tcW w:type="dxa" w:w="2016"/>
            <w:shd w:fill="FFFFFF"/>
            <w:tcMar>
              <w:top w:w="80" w:type="dxa"/>
              <w:bottom w:w="80" w:type="dxa"/>
              <w:left w:w="120" w:type="dxa"/>
              <w:right w:w="120" w:type="dxa"/>
            </w:tcMar>
          </w:tcPr>
          <w:p>
            <w:pPr>
              <w:spacing w:before="0" w:after="0"/>
              <w:jc w:val="left"/>
            </w:pPr>
            <w:r>
              <w:rPr>
                <w:rFonts w:ascii="Calibri" w:hAnsi="Calibri"/>
                <w:color w:val="2D3748"/>
                <w:sz w:val="18"/>
              </w:rPr>
              <w:t>$0.0 M con fondos propios</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 NEUTRAL TÍPICO</w:t>
            </w:r>
          </w:p>
        </w:tc>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Estándar de la industria: remuneración estructurada mediante acciones restringidas (RSUs).</w:t>
            </w:r>
          </w:p>
        </w:tc>
      </w:tr>
    </w:tbl>
    <w:p>
      <w:pPr>
        <w:spacing w:after="120"/>
      </w:pPr>
    </w:p>
    <w:p>
      <w:pPr>
        <w:keepNext/>
        <w:spacing w:before="320" w:after="120"/>
      </w:pPr>
      <w:r>
        <w:rPr>
          <w:rFonts w:ascii="Calibri" w:hAnsi="Calibri"/>
          <w:b/>
          <w:color w:val="1B365D"/>
          <w:sz w:val="26"/>
        </w:rPr>
        <w:t>9. Diagnóstico Cuantitativo de Resiliencia y Crecimiento (Piotroski &amp; Mohanram)</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left w:val="single" w:sz="24" w:space="0" w:color="1B365D"/>
              <w:top w:val="none"/>
              <w:right w:val="none"/>
              <w:bottom w:val="none"/>
            </w:tcBorders>
          </w:tcPr>
          <w:p>
            <w:pPr>
              <w:spacing w:before="0" w:after="80"/>
            </w:pPr>
            <w:r>
              <w:rPr>
                <w:rFonts w:ascii="Segoe UI Emoji" w:hAnsi="Segoe UI Emoji"/>
                <w:sz w:val="21"/>
              </w:rPr>
              <w:t xml:space="preserve">📌  </w:t>
            </w:r>
            <w:r>
              <w:rPr>
                <w:rFonts w:ascii="Calibri" w:hAnsi="Calibri"/>
                <w:b/>
                <w:color w:val="1B365D"/>
                <w:sz w:val="21"/>
              </w:rPr>
              <w:t>CLASIFICACIÓN ESTRATÉGICA EN MATRIZ FUNDAMENTAL</w:t>
            </w:r>
          </w:p>
          <w:p>
            <w:pPr>
              <w:spacing w:before="40" w:after="40" w:line="276" w:lineRule="auto"/>
            </w:pPr>
            <w:r>
              <w:rPr>
                <w:rFonts w:ascii="Calibri" w:hAnsi="Calibri"/>
                <w:color w:val="2D3748"/>
                <w:sz w:val="19"/>
              </w:rPr>
              <w:t>Posición Cuantitativa: 💎 COMPOUNDER DE ÉLITE</w:t>
            </w:r>
          </w:p>
          <w:p>
            <w:pPr>
              <w:spacing w:before="40" w:after="40" w:line="276" w:lineRule="auto"/>
            </w:pPr>
            <w:r>
              <w:rPr>
                <w:rFonts w:ascii="Calibri" w:hAnsi="Calibri"/>
                <w:color w:val="2D3748"/>
                <w:sz w:val="19"/>
              </w:rPr>
              <w:t>Piotroski F-Score (Solvencia Interna): 6 / 9 Puntos | SALUD SÓLIDA</w:t>
            </w:r>
          </w:p>
          <w:p>
            <w:pPr>
              <w:spacing w:before="40" w:after="40" w:line="276" w:lineRule="auto"/>
            </w:pPr>
            <w:r>
              <w:rPr>
                <w:rFonts w:ascii="Calibri" w:hAnsi="Calibri"/>
                <w:color w:val="2D3748"/>
                <w:sz w:val="19"/>
              </w:rPr>
              <w:t>Mohanram G-Score (Ventaja Sectorial):  7 / 8 Puntos | CRECIMIENTO DE ÉLITE</w:t>
            </w:r>
          </w:p>
          <w:p>
            <w:pPr>
              <w:spacing w:before="40" w:after="40" w:line="276" w:lineRule="auto"/>
            </w:pPr>
            <w:r>
              <w:rPr>
                <w:rFonts w:ascii="Calibri" w:hAnsi="Calibri"/>
                <w:color w:val="2D3748"/>
                <w:sz w:val="19"/>
              </w:rPr>
              <w:t>Tesis Cuantitativa: Deckers Outdoor Corporation combina una salud financiera interna intachable con una superioridad competitiva sectorial demostrada frente a sus pares de la industria.</w:t>
            </w:r>
          </w:p>
        </w:tc>
      </w:tr>
    </w:tbl>
    <w:p>
      <w:pPr>
        <w:spacing w:after="80"/>
      </w:pPr>
    </w:p>
    <w:p>
      <w:pPr>
        <w:keepNext/>
        <w:spacing w:before="200" w:after="80"/>
      </w:pPr>
      <w:r>
        <w:rPr>
          <w:rFonts w:ascii="Calibri" w:hAnsi="Calibri"/>
          <w:b/>
          <w:color w:val="4A5568"/>
          <w:sz w:val="22"/>
        </w:rPr>
        <w:t>9.1. Piotroski F-Score: Salud Financiera y Calidad Contable Interna</w:t>
      </w:r>
    </w:p>
    <w:p>
      <w:pPr>
        <w:spacing w:before="40" w:after="80" w:line="276" w:lineRule="auto"/>
      </w:pPr>
      <w:r>
        <w:rPr>
          <w:rFonts w:ascii="Calibri" w:hAnsi="Calibri"/>
          <w:i w:val="0"/>
          <w:color w:val="2D3748"/>
          <w:sz w:val="20"/>
        </w:rPr>
        <w:t>Desarrollado por el profesor Joseph Piotroski (Universidad de Stanford), este modelo evalúa la solidez económica interna de la empresa a través de 9 señales contables distribuidas en tres dimensiones críticas: Rentabilidad (ROA positivo y creciente, CFO positivo, calidad de devengos Sloan), Apalancamiento y Liquidez (desendeudamiento financiero total, mejora de razón corriente y cero dilución por emisión de acciones) y Eficiencia Operativa (expansión de margen bruto y mayor rotación de activos).</w:t>
      </w:r>
    </w:p>
    <w:p>
      <w:pPr>
        <w:spacing w:before="40" w:after="80" w:line="276" w:lineRule="auto"/>
      </w:pPr>
      <w:r>
        <w:rPr>
          <w:rFonts w:ascii="Calibri" w:hAnsi="Calibri"/>
          <w:b/>
          <w:color w:val="2D3748"/>
          <w:sz w:val="20"/>
        </w:rPr>
        <w:t xml:space="preserve">• Puntaje Obtenido: </w:t>
      </w:r>
      <w:r>
        <w:rPr>
          <w:rFonts w:ascii="Calibri" w:hAnsi="Calibri"/>
          <w:i w:val="0"/>
          <w:color w:val="2D3748"/>
          <w:sz w:val="20"/>
        </w:rPr>
        <w:t>6 / 9 Puntos en LTM (SALUD SÓLIDA) (5 / 9 en FY2026).</w:t>
      </w:r>
    </w:p>
    <w:p>
      <w:pPr>
        <w:spacing w:before="40" w:after="80" w:line="276" w:lineRule="auto"/>
      </w:pPr>
      <w:r>
        <w:rPr>
          <w:rFonts w:ascii="Calibri" w:hAnsi="Calibri"/>
          <w:b/>
          <w:color w:val="2D3748"/>
          <w:sz w:val="20"/>
        </w:rPr>
        <w:t xml:space="preserve">• ¿Qué significa este puntaje para el Inversor? </w:t>
      </w:r>
      <w:r>
        <w:rPr>
          <w:rFonts w:ascii="Calibri" w:hAnsi="Calibri"/>
          <w:i w:val="0"/>
          <w:color w:val="2D3748"/>
          <w:sz w:val="20"/>
        </w:rPr>
        <w:t>Una calificación de 6/9 sitúa a Deckers Outdoor Corporation en el percentil superior del mercado global. Certifica que la compañía:</w:t>
      </w:r>
    </w:p>
    <w:p>
      <w:pPr>
        <w:spacing w:before="40" w:after="80" w:line="276" w:lineRule="auto"/>
      </w:pPr>
      <w:r>
        <w:rPr>
          <w:rFonts w:ascii="Calibri" w:hAnsi="Calibri"/>
          <w:b/>
          <w:color w:val="2D3748"/>
          <w:sz w:val="20"/>
        </w:rPr>
        <w:t xml:space="preserve">1. Genera beneficios respaldados por caja líquida: </w:t>
      </w:r>
      <w:r>
        <w:rPr>
          <w:rFonts w:ascii="Calibri" w:hAnsi="Calibri"/>
          <w:i w:val="0"/>
          <w:color w:val="2D3748"/>
          <w:sz w:val="20"/>
        </w:rPr>
        <w:t>La caja operativa ($1,193.7M en LTM) respalda con holgura al beneficio neto contable ($1,014.8M), descartando manipulación de inventarios o ventas a crédito ficticias.</w:t>
      </w:r>
    </w:p>
    <w:p>
      <w:pPr>
        <w:spacing w:before="40" w:after="80" w:line="276" w:lineRule="auto"/>
      </w:pPr>
      <w:r>
        <w:rPr>
          <w:rFonts w:ascii="Calibri" w:hAnsi="Calibri"/>
          <w:b/>
          <w:color w:val="2D3748"/>
          <w:sz w:val="20"/>
        </w:rPr>
        <w:t xml:space="preserve">2. Reduce o controla su apalancamiento financiero real: </w:t>
      </w:r>
      <w:r>
        <w:rPr>
          <w:rFonts w:ascii="Calibri" w:hAnsi="Calibri"/>
          <w:i w:val="0"/>
          <w:color w:val="2D3748"/>
          <w:sz w:val="20"/>
        </w:rPr>
        <w:t>Mantiene una estructura financiera solvente con disciplina en el endeudamiento (Deuda 0.0% vs 0.0% (+0.00%)).</w:t>
      </w:r>
    </w:p>
    <w:p>
      <w:pPr>
        <w:spacing w:before="40" w:after="80" w:line="276" w:lineRule="auto"/>
      </w:pPr>
      <w:r>
        <w:rPr>
          <w:rFonts w:ascii="Calibri" w:hAnsi="Calibri"/>
          <w:b/>
          <w:color w:val="2D3748"/>
          <w:sz w:val="20"/>
        </w:rPr>
        <w:t xml:space="preserve">3. Protege al accionista minoritario: </w:t>
      </w:r>
      <w:r>
        <w:rPr>
          <w:rFonts w:ascii="Calibri" w:hAnsi="Calibri"/>
          <w:i w:val="0"/>
          <w:color w:val="2D3748"/>
          <w:sz w:val="20"/>
        </w:rPr>
        <w:t>No financia sus operaciones emitiendo nuevas acciones dilutivas, priorizando la retención o recompra de títulos (Acc 138M vs 145M (-7M)).</w:t>
      </w:r>
    </w:p>
    <w:p>
      <w:pPr>
        <w:spacing w:before="40" w:after="80" w:line="276" w:lineRule="auto"/>
      </w:pPr>
      <w:r>
        <w:rPr>
          <w:rFonts w:ascii="Calibri" w:hAnsi="Calibri"/>
          <w:b/>
          <w:color w:val="2D3748"/>
          <w:sz w:val="20"/>
        </w:rPr>
        <w:t xml:space="preserve">4. Expande su eficiencia operativa: </w:t>
      </w:r>
      <w:r>
        <w:rPr>
          <w:rFonts w:ascii="Calibri" w:hAnsi="Calibri"/>
          <w:i w:val="0"/>
          <w:color w:val="2D3748"/>
          <w:sz w:val="20"/>
        </w:rPr>
        <w:t>Optimiza tanto su margen comercial (MB 57.8% vs 57.7% (+0.10%)) como la productividad de sus activos instalados (Rot 1.50x vs 1.53x (-0.03x)).</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3168"/>
            <w:shd w:fill="1B365D"/>
            <w:tcMar>
              <w:top w:w="100" w:type="dxa"/>
              <w:bottom w:w="100" w:type="dxa"/>
              <w:left w:w="120" w:type="dxa"/>
              <w:right w:w="120" w:type="dxa"/>
            </w:tcMar>
          </w:tcPr>
          <w:p>
            <w:pPr>
              <w:spacing w:before="0" w:after="0"/>
              <w:jc w:val="left"/>
            </w:pPr>
            <w:r>
              <w:rPr>
                <w:rFonts w:ascii="Calibri" w:hAnsi="Calibri"/>
                <w:b/>
                <w:color w:val="FFFFFF"/>
                <w:sz w:val="19"/>
              </w:rPr>
              <w:t>Dimensión / Criterio Piotroski</w:t>
            </w:r>
          </w:p>
        </w:tc>
        <w:tc>
          <w:tcPr>
            <w:tcW w:type="dxa" w:w="3600"/>
            <w:shd w:fill="1B365D"/>
            <w:tcMar>
              <w:top w:w="100" w:type="dxa"/>
              <w:bottom w:w="100" w:type="dxa"/>
              <w:left w:w="120" w:type="dxa"/>
              <w:right w:w="120" w:type="dxa"/>
            </w:tcMar>
          </w:tcPr>
          <w:p>
            <w:pPr>
              <w:spacing w:before="0" w:after="0"/>
              <w:jc w:val="left"/>
            </w:pPr>
            <w:r>
              <w:rPr>
                <w:rFonts w:ascii="Calibri" w:hAnsi="Calibri"/>
                <w:b/>
                <w:color w:val="FFFFFF"/>
                <w:sz w:val="19"/>
              </w:rPr>
              <w:t>Condición Contable Evaluada</w:t>
            </w:r>
          </w:p>
        </w:tc>
        <w:tc>
          <w:tcPr>
            <w:tcW w:type="dxa" w:w="1584"/>
            <w:shd w:fill="1B365D"/>
            <w:tcMar>
              <w:top w:w="100" w:type="dxa"/>
              <w:bottom w:w="100" w:type="dxa"/>
              <w:left w:w="120" w:type="dxa"/>
              <w:right w:w="120" w:type="dxa"/>
            </w:tcMar>
          </w:tcPr>
          <w:p>
            <w:pPr>
              <w:spacing w:before="0" w:after="0"/>
              <w:jc w:val="center"/>
            </w:pPr>
            <w:r>
              <w:rPr>
                <w:rFonts w:ascii="Calibri" w:hAnsi="Calibri"/>
                <w:b/>
                <w:color w:val="FFFFFF"/>
                <w:sz w:val="19"/>
              </w:rPr>
              <w:t>Valor Detectado</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Punto Asignado</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Rentabilidad: ROA Positivo</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Utilidad neta positiva sobre la base de activos instalados.</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27.52% &gt; 0%</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Rentabilidad: CFO Positivo</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Flujo de caja operativo neto positivo.</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$1.2B &gt; $0</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Rentabilidad: Mejora de ROA (Delta ROA)</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Aceleración de la rentabilidad sobre activos frente al año previo.</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27.5% vs 28.7% (-1.16%)</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0 Ptos</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Rentabilidad: Calidad Contable (CFO &gt; NI)</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Beneficios respaldados por efectivo contante (bajos devengos contables).</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CFO $1.2B &gt; NI $1.0B</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Apalancamiento y Liquidez: Desendeudamiento Total</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Reducción o estabilidad del apalancamiento financiero total sobre activos.</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Deuda 0.0% vs 0.0% (+0.00%)</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Apalancamiento y Liquidez: Mejora de Razón Corriente</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Mayor cobertura de pasivos a corto plazo con activos corrientes.</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CR 2.75x vs 3.54x (-0.80x)</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0 Ptos</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Apalancamiento y Liquidez: Cero Dilución (Acciones Básicas)</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Sin emisión neta dilutiva de capital; recompra de acciones o estabilidad.</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Acc 138M vs 145M (-7M)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Eficiencia Operativa: Expansión de Margen Bruto</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Mayor poder de fijación de precios o menor coste unitario de ventas.</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MB 57.8% vs 57.7% (+0.10%)</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Eficiencia Operativa: Expansión Rotación de Activos</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Mayor volumen de ingresos generado por cada dólar de activo instalado.</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Rot 1.50x vs 1.53x (-0.03x)</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0 Ptos</w:t>
            </w:r>
          </w:p>
        </w:tc>
      </w:tr>
    </w:tbl>
    <w:p>
      <w:pPr>
        <w:spacing w:after="120"/>
      </w:pPr>
    </w:p>
    <w:p>
      <w:pPr>
        <w:keepNext/>
        <w:spacing w:before="200" w:after="80"/>
      </w:pPr>
      <w:r>
        <w:rPr>
          <w:rFonts w:ascii="Calibri" w:hAnsi="Calibri"/>
          <w:b/>
          <w:color w:val="4A5568"/>
          <w:sz w:val="22"/>
        </w:rPr>
        <w:t>9.2. Mohanram G-Score: Calidad de Crecimiento frente a la Industria</w:t>
      </w:r>
    </w:p>
    <w:p>
      <w:pPr>
        <w:spacing w:before="40" w:after="80" w:line="276" w:lineRule="auto"/>
      </w:pPr>
      <w:r>
        <w:rPr>
          <w:rFonts w:ascii="Calibri" w:hAnsi="Calibri"/>
          <w:i w:val="0"/>
          <w:color w:val="2D3748"/>
          <w:sz w:val="20"/>
        </w:rPr>
        <w:t>Diseñado por el profesor Partha Mohanram (Universidad de Columbia), este modelo evalúa la calidad fundamental y la sostenibilidad del crecimiento en empresas contrastando sus métricas frente a la mediana de su sector industrial. El modelo audita 8 señales agrupadas en: Desempeño Operativo y Retorno (ROA, CFROA y Calidad de Devengos), Estabilidad del Negocio (baja variabilidad de ROA y ventas) y Reinversión en Ventajas Competitivas (intensidad en I+D, CapEx de vanguardia y Apalancamiento Comercial en SG&amp;A).</w:t>
      </w:r>
    </w:p>
    <w:p>
      <w:pPr>
        <w:spacing w:before="40" w:after="80" w:line="276" w:lineRule="auto"/>
      </w:pPr>
      <w:r>
        <w:rPr>
          <w:rFonts w:ascii="Calibri" w:hAnsi="Calibri"/>
          <w:b/>
          <w:color w:val="2D3748"/>
          <w:sz w:val="20"/>
        </w:rPr>
        <w:t xml:space="preserve">• Puntaje Obtenido: </w:t>
      </w:r>
      <w:r>
        <w:rPr>
          <w:rFonts w:ascii="Calibri" w:hAnsi="Calibri"/>
          <w:i w:val="0"/>
          <w:color w:val="2D3748"/>
          <w:sz w:val="20"/>
        </w:rPr>
        <w:t>7 / 8 Puntos en LTM (CRECIMIENTO DE ÉLITE) (7 / 8 en FY2026).</w:t>
      </w:r>
    </w:p>
    <w:p>
      <w:pPr>
        <w:spacing w:before="40" w:after="80" w:line="276" w:lineRule="auto"/>
      </w:pPr>
      <w:r>
        <w:rPr>
          <w:rFonts w:ascii="Calibri" w:hAnsi="Calibri"/>
          <w:b/>
          <w:color w:val="2D3748"/>
          <w:sz w:val="20"/>
        </w:rPr>
        <w:t xml:space="preserve">• ¿Qué significa este puntaje para el Inversor? </w:t>
      </w:r>
      <w:r>
        <w:rPr>
          <w:rFonts w:ascii="Calibri" w:hAnsi="Calibri"/>
          <w:i w:val="0"/>
          <w:color w:val="2D3748"/>
          <w:sz w:val="20"/>
        </w:rPr>
        <w:t>Una puntuación de 7/8 consolida a Deckers Outdoor Corporation como líder de calidad fundamental en su industria. Certifica que la firma:</w:t>
      </w:r>
    </w:p>
    <w:p>
      <w:pPr>
        <w:spacing w:before="40" w:after="80" w:line="276" w:lineRule="auto"/>
      </w:pPr>
      <w:r>
        <w:rPr>
          <w:rFonts w:ascii="Calibri" w:hAnsi="Calibri"/>
          <w:b/>
          <w:color w:val="2D3748"/>
          <w:sz w:val="20"/>
        </w:rPr>
        <w:t xml:space="preserve">1. Retorno superior: </w:t>
      </w:r>
      <w:r>
        <w:rPr>
          <w:rFonts w:ascii="Calibri" w:hAnsi="Calibri"/>
          <w:i w:val="0"/>
          <w:color w:val="2D3748"/>
          <w:sz w:val="20"/>
        </w:rPr>
        <w:t>Supera sistemáticamente a la mediana de sus competidores directos en rentabilidad sobre activos y generación de flujo de caja libre.</w:t>
      </w:r>
    </w:p>
    <w:p>
      <w:pPr>
        <w:spacing w:before="40" w:after="80" w:line="276" w:lineRule="auto"/>
      </w:pPr>
      <w:r>
        <w:rPr>
          <w:rFonts w:ascii="Calibri" w:hAnsi="Calibri"/>
          <w:b/>
          <w:color w:val="2D3748"/>
          <w:sz w:val="20"/>
        </w:rPr>
        <w:t xml:space="preserve">2. Estabilidad de negocio: </w:t>
      </w:r>
      <w:r>
        <w:rPr>
          <w:rFonts w:ascii="Calibri" w:hAnsi="Calibri"/>
          <w:i w:val="0"/>
          <w:color w:val="2D3748"/>
          <w:sz w:val="20"/>
        </w:rPr>
        <w:t>Exhibe una trayectoria de crecimiento sólida y predecible con menor volatilidad en sus resultados comerciales.</w:t>
      </w:r>
    </w:p>
    <w:p>
      <w:pPr>
        <w:spacing w:before="40" w:after="80" w:line="276" w:lineRule="auto"/>
      </w:pPr>
      <w:r>
        <w:rPr>
          <w:rFonts w:ascii="Calibri" w:hAnsi="Calibri"/>
          <w:b/>
          <w:color w:val="2D3748"/>
          <w:sz w:val="20"/>
        </w:rPr>
        <w:t xml:space="preserve">3. Reinversión estratégica: </w:t>
      </w:r>
      <w:r>
        <w:rPr>
          <w:rFonts w:ascii="Calibri" w:hAnsi="Calibri"/>
          <w:i w:val="0"/>
          <w:color w:val="2D3748"/>
          <w:sz w:val="20"/>
        </w:rPr>
        <w:t>Mantiene una disciplina férrea de reinversión en capital e innovación para defender y expandir su foso competitivo.</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3168"/>
            <w:shd w:fill="1B365D"/>
            <w:tcMar>
              <w:top w:w="100" w:type="dxa"/>
              <w:bottom w:w="100" w:type="dxa"/>
              <w:left w:w="120" w:type="dxa"/>
              <w:right w:w="120" w:type="dxa"/>
            </w:tcMar>
          </w:tcPr>
          <w:p>
            <w:pPr>
              <w:spacing w:before="0" w:after="0"/>
              <w:jc w:val="left"/>
            </w:pPr>
            <w:r>
              <w:rPr>
                <w:rFonts w:ascii="Calibri" w:hAnsi="Calibri"/>
                <w:b/>
                <w:color w:val="FFFFFF"/>
                <w:sz w:val="19"/>
              </w:rPr>
              <w:t>Criterio Mohanram G-Score</w:t>
            </w:r>
          </w:p>
        </w:tc>
        <w:tc>
          <w:tcPr>
            <w:tcW w:type="dxa" w:w="3600"/>
            <w:shd w:fill="1B365D"/>
            <w:tcMar>
              <w:top w:w="100" w:type="dxa"/>
              <w:bottom w:w="100" w:type="dxa"/>
              <w:left w:w="120" w:type="dxa"/>
              <w:right w:w="120" w:type="dxa"/>
            </w:tcMar>
          </w:tcPr>
          <w:p>
            <w:pPr>
              <w:spacing w:before="0" w:after="0"/>
              <w:jc w:val="left"/>
            </w:pPr>
            <w:r>
              <w:rPr>
                <w:rFonts w:ascii="Calibri" w:hAnsi="Calibri"/>
                <w:b/>
                <w:color w:val="FFFFFF"/>
                <w:sz w:val="19"/>
              </w:rPr>
              <w:t>Condición frente a la Mediana</w:t>
            </w:r>
          </w:p>
        </w:tc>
        <w:tc>
          <w:tcPr>
            <w:tcW w:type="dxa" w:w="1584"/>
            <w:shd w:fill="1B365D"/>
            <w:tcMar>
              <w:top w:w="100" w:type="dxa"/>
              <w:bottom w:w="100" w:type="dxa"/>
              <w:left w:w="120" w:type="dxa"/>
              <w:right w:w="120" w:type="dxa"/>
            </w:tcMar>
          </w:tcPr>
          <w:p>
            <w:pPr>
              <w:spacing w:before="0" w:after="0"/>
              <w:jc w:val="center"/>
            </w:pPr>
            <w:r>
              <w:rPr>
                <w:rFonts w:ascii="Calibri" w:hAnsi="Calibri"/>
                <w:b/>
                <w:color w:val="FFFFFF"/>
                <w:sz w:val="19"/>
              </w:rPr>
              <w:t>Valor Detectado</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Punto Asignado</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ROA &gt; Mediana del Sector</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Rentabilidad sobre activos superior a la mitad del sector.</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ROA 27.52% vs Med 8.09%</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CFROA &gt; Mediana del Sector</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Generación de caja operativa sobre activos líder en la industria.</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CFROA 32.37% vs Med 8.47%</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Calidad Contable (CFO &gt; NI)</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Flujo de caja operativo superior a las ganancias devengadas.</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CFO $1.2B &gt; NI $1.0B</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Estabilidad / Nivel Superior de ROA</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Baja volatilidad en rentabilidad o nivel de retorno permanentemente en percentil 75 superior.</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CV 0.16 &lt; 0.35 (o P75)</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Estabilidad / Aceleración de Ventas</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Trayectoria predecible de ingresos o expansión acelerada superior al 20% anual.</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CV 0.24 vs 0.40</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Intensidad en I+D vs Sector</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Reinversión en investigación y desarrollo para fortalecer ventajas competitivas (moats).</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I+D 1.87% vs Med 0.00%</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Reinversión de Capital / Asset-Light</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Tasa de Inversión Total en Crecimiento (I+D + CapEx) para modelos ligeros en activos.</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Reinv 3.93% vs Med 2.23%</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Apalancamiento Comercial (SG&amp;A)</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Eficiencia comercial: ingresos escalan con mayor dinamismo que los gastos administrativos y de ventas.</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Vtas +1.0% vs SG&amp;A +2.5%</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0 Ptos</w:t>
            </w:r>
          </w:p>
        </w:tc>
      </w:tr>
    </w:tbl>
    <w:p>
      <w:pPr>
        <w:spacing w:after="120"/>
      </w:pPr>
    </w:p>
    <w:p>
      <w:pPr>
        <w:keepNext/>
        <w:spacing w:before="200" w:after="80"/>
      </w:pPr>
      <w:r>
        <w:rPr>
          <w:rFonts w:ascii="Calibri" w:hAnsi="Calibri"/>
          <w:b/>
          <w:color w:val="4A5568"/>
          <w:sz w:val="22"/>
        </w:rPr>
        <w:t>9.3. Benchmarking Competitivo del Sector Calzado (SIC 3021 / 3140) &amp; Medianas Oficiales</w:t>
      </w:r>
    </w:p>
    <w:p>
      <w:pPr>
        <w:spacing w:before="40" w:after="80" w:line="276" w:lineRule="auto"/>
      </w:pPr>
      <w:r>
        <w:rPr>
          <w:rFonts w:ascii="Calibri" w:hAnsi="Calibri"/>
          <w:i w:val="0"/>
          <w:color w:val="2D3748"/>
          <w:sz w:val="20"/>
        </w:rPr>
        <w:t>A continuación se auditan las cifras financieras comparables en base a los últimos 12 meses (LTM) auditados de la industria, a partir de las cuales se deducen las medianas y percentiles que alimentan el scoring de calidad, productividad del capital y resiliencia fundamental:</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088"/>
        <w:gridCol w:w="1088"/>
        <w:gridCol w:w="1088"/>
        <w:gridCol w:w="1088"/>
        <w:gridCol w:w="1088"/>
        <w:gridCol w:w="1088"/>
        <w:gridCol w:w="1088"/>
        <w:gridCol w:w="1088"/>
        <w:gridCol w:w="1088"/>
      </w:tblGrid>
      <w:tr>
        <w:tc>
          <w:tcPr>
            <w:tcW w:type="dxa" w:w="1008"/>
            <w:shd w:fill="1B365D"/>
            <w:tcMar>
              <w:top w:w="100" w:type="dxa"/>
              <w:bottom w:w="100" w:type="dxa"/>
              <w:left w:w="120" w:type="dxa"/>
              <w:right w:w="120" w:type="dxa"/>
            </w:tcMar>
          </w:tcPr>
          <w:p>
            <w:pPr>
              <w:spacing w:before="0" w:after="0"/>
              <w:jc w:val="center"/>
            </w:pPr>
            <w:r>
              <w:rPr>
                <w:rFonts w:ascii="Calibri" w:hAnsi="Calibri"/>
                <w:b/>
                <w:color w:val="FFFFFF"/>
                <w:sz w:val="19"/>
              </w:rPr>
              <w:t>Ticker</w:t>
            </w:r>
          </w:p>
        </w:tc>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Compañía</w:t>
            </w:r>
          </w:p>
        </w:tc>
        <w:tc>
          <w:tcPr>
            <w:tcW w:type="dxa" w:w="1296"/>
            <w:shd w:fill="1B365D"/>
            <w:tcMar>
              <w:top w:w="100" w:type="dxa"/>
              <w:bottom w:w="100" w:type="dxa"/>
              <w:left w:w="120" w:type="dxa"/>
              <w:right w:w="120" w:type="dxa"/>
            </w:tcMar>
          </w:tcPr>
          <w:p>
            <w:pPr>
              <w:spacing w:before="0" w:after="0"/>
              <w:jc w:val="right"/>
            </w:pPr>
            <w:r>
              <w:rPr>
                <w:rFonts w:ascii="Calibri" w:hAnsi="Calibri"/>
                <w:b/>
                <w:color w:val="FFFFFF"/>
                <w:sz w:val="19"/>
              </w:rPr>
              <w:t>Ventas ($M)</w:t>
            </w:r>
          </w:p>
        </w:tc>
        <w:tc>
          <w:tcPr>
            <w:tcW w:type="dxa" w:w="1008"/>
            <w:shd w:fill="1B365D"/>
            <w:tcMar>
              <w:top w:w="100" w:type="dxa"/>
              <w:bottom w:w="100" w:type="dxa"/>
              <w:left w:w="120" w:type="dxa"/>
              <w:right w:w="120" w:type="dxa"/>
            </w:tcMar>
          </w:tcPr>
          <w:p>
            <w:pPr>
              <w:spacing w:before="0" w:after="0"/>
              <w:jc w:val="right"/>
            </w:pPr>
            <w:r>
              <w:rPr>
                <w:rFonts w:ascii="Calibri" w:hAnsi="Calibri"/>
                <w:b/>
                <w:color w:val="FFFFFF"/>
                <w:sz w:val="19"/>
              </w:rPr>
              <w:t>Margen Bruto</w:t>
            </w:r>
          </w:p>
        </w:tc>
        <w:tc>
          <w:tcPr>
            <w:tcW w:type="dxa" w:w="1008"/>
            <w:shd w:fill="1B365D"/>
            <w:tcMar>
              <w:top w:w="100" w:type="dxa"/>
              <w:bottom w:w="100" w:type="dxa"/>
              <w:left w:w="120" w:type="dxa"/>
              <w:right w:w="120" w:type="dxa"/>
            </w:tcMar>
          </w:tcPr>
          <w:p>
            <w:pPr>
              <w:spacing w:before="0" w:after="0"/>
              <w:jc w:val="right"/>
            </w:pPr>
            <w:r>
              <w:rPr>
                <w:rFonts w:ascii="Calibri" w:hAnsi="Calibri"/>
                <w:b/>
                <w:color w:val="FFFFFF"/>
                <w:sz w:val="19"/>
              </w:rPr>
              <w:t>Margen EBIT</w:t>
            </w:r>
          </w:p>
        </w:tc>
        <w:tc>
          <w:tcPr>
            <w:tcW w:type="dxa" w:w="1008"/>
            <w:shd w:fill="1B365D"/>
            <w:tcMar>
              <w:top w:w="100" w:type="dxa"/>
              <w:bottom w:w="100" w:type="dxa"/>
              <w:left w:w="120" w:type="dxa"/>
              <w:right w:w="120" w:type="dxa"/>
            </w:tcMar>
          </w:tcPr>
          <w:p>
            <w:pPr>
              <w:spacing w:before="0" w:after="0"/>
              <w:jc w:val="right"/>
            </w:pPr>
            <w:r>
              <w:rPr>
                <w:rFonts w:ascii="Calibri" w:hAnsi="Calibri"/>
                <w:b/>
                <w:color w:val="FFFFFF"/>
                <w:sz w:val="19"/>
              </w:rPr>
              <w:t>ROIC Intang.</w:t>
            </w:r>
          </w:p>
        </w:tc>
        <w:tc>
          <w:tcPr>
            <w:tcW w:type="dxa" w:w="1152"/>
            <w:shd w:fill="1B365D"/>
            <w:tcMar>
              <w:top w:w="100" w:type="dxa"/>
              <w:bottom w:w="100" w:type="dxa"/>
              <w:left w:w="120" w:type="dxa"/>
              <w:right w:w="120" w:type="dxa"/>
            </w:tcMar>
          </w:tcPr>
          <w:p>
            <w:pPr>
              <w:spacing w:before="0" w:after="0"/>
              <w:jc w:val="right"/>
            </w:pPr>
            <w:r>
              <w:rPr>
                <w:rFonts w:ascii="Calibri" w:hAnsi="Calibri"/>
                <w:b/>
                <w:color w:val="FFFFFF"/>
                <w:sz w:val="19"/>
              </w:rPr>
              <w:t>Novy-Marx GP/A (%)</w:t>
            </w:r>
          </w:p>
        </w:tc>
        <w:tc>
          <w:tcPr>
            <w:tcW w:type="dxa" w:w="720"/>
            <w:shd w:fill="1B365D"/>
            <w:tcMar>
              <w:top w:w="100" w:type="dxa"/>
              <w:bottom w:w="100" w:type="dxa"/>
              <w:left w:w="120" w:type="dxa"/>
              <w:right w:w="120" w:type="dxa"/>
            </w:tcMar>
          </w:tcPr>
          <w:p>
            <w:pPr>
              <w:spacing w:before="0" w:after="0"/>
              <w:jc w:val="center"/>
            </w:pPr>
            <w:r>
              <w:rPr>
                <w:rFonts w:ascii="Calibri" w:hAnsi="Calibri"/>
                <w:b/>
                <w:color w:val="FFFFFF"/>
                <w:sz w:val="19"/>
              </w:rPr>
              <w:t>F-Score</w:t>
            </w:r>
          </w:p>
        </w:tc>
        <w:tc>
          <w:tcPr>
            <w:tcW w:type="dxa" w:w="720"/>
            <w:shd w:fill="1B365D"/>
            <w:tcMar>
              <w:top w:w="100" w:type="dxa"/>
              <w:bottom w:w="100" w:type="dxa"/>
              <w:left w:w="120" w:type="dxa"/>
              <w:right w:w="120" w:type="dxa"/>
            </w:tcMar>
          </w:tcPr>
          <w:p>
            <w:pPr>
              <w:spacing w:before="0" w:after="0"/>
              <w:jc w:val="center"/>
            </w:pPr>
            <w:r>
              <w:rPr>
                <w:rFonts w:ascii="Calibri" w:hAnsi="Calibri"/>
                <w:b/>
                <w:color w:val="FFFFFF"/>
                <w:sz w:val="19"/>
              </w:rPr>
              <w:t>G-Score</w:t>
            </w:r>
          </w:p>
        </w:tc>
      </w:tr>
      <w:tr>
        <w:tc>
          <w:tcPr>
            <w:tcW w:type="dxa" w:w="1008"/>
            <w:shd w:fill="FFFFFF"/>
            <w:tcMar>
              <w:top w:w="80" w:type="dxa"/>
              <w:bottom w:w="80" w:type="dxa"/>
              <w:left w:w="120" w:type="dxa"/>
              <w:right w:w="120" w:type="dxa"/>
            </w:tcMar>
          </w:tcPr>
          <w:p>
            <w:pPr>
              <w:spacing w:before="0" w:after="0"/>
              <w:jc w:val="center"/>
            </w:pPr>
            <w:r>
              <w:rPr>
                <w:rFonts w:ascii="Calibri" w:hAnsi="Calibri"/>
                <w:color w:val="2D3748"/>
                <w:sz w:val="18"/>
              </w:rPr>
              <w:t>DECK</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Deckers Outdoor Corp.</w:t>
            </w:r>
          </w:p>
        </w:tc>
        <w:tc>
          <w:tcPr>
            <w:tcW w:type="dxa" w:w="1296"/>
            <w:shd w:fill="FFFFFF"/>
            <w:tcMar>
              <w:top w:w="80" w:type="dxa"/>
              <w:bottom w:w="80" w:type="dxa"/>
              <w:left w:w="120" w:type="dxa"/>
              <w:right w:w="120" w:type="dxa"/>
            </w:tcMar>
          </w:tcPr>
          <w:p>
            <w:pPr>
              <w:spacing w:before="0" w:after="0"/>
              <w:jc w:val="right"/>
            </w:pPr>
            <w:r>
              <w:rPr>
                <w:rFonts w:ascii="Calibri" w:hAnsi="Calibri"/>
                <w:color w:val="2D3748"/>
                <w:sz w:val="18"/>
              </w:rPr>
              <w:t>$5,527 M</w:t>
            </w:r>
          </w:p>
        </w:tc>
        <w:tc>
          <w:tcPr>
            <w:tcW w:type="dxa" w:w="1008"/>
            <w:shd w:fill="FFFFFF"/>
            <w:tcMar>
              <w:top w:w="80" w:type="dxa"/>
              <w:bottom w:w="80" w:type="dxa"/>
              <w:left w:w="120" w:type="dxa"/>
              <w:right w:w="120" w:type="dxa"/>
            </w:tcMar>
          </w:tcPr>
          <w:p>
            <w:pPr>
              <w:spacing w:before="0" w:after="0"/>
              <w:jc w:val="right"/>
            </w:pPr>
            <w:r>
              <w:rPr>
                <w:rFonts w:ascii="Calibri" w:hAnsi="Calibri"/>
                <w:color w:val="2D3748"/>
                <w:sz w:val="18"/>
              </w:rPr>
              <w:t>55.7%</w:t>
            </w:r>
          </w:p>
        </w:tc>
        <w:tc>
          <w:tcPr>
            <w:tcW w:type="dxa" w:w="1008"/>
            <w:shd w:fill="FFFFFF"/>
            <w:tcMar>
              <w:top w:w="80" w:type="dxa"/>
              <w:bottom w:w="80" w:type="dxa"/>
              <w:left w:w="120" w:type="dxa"/>
              <w:right w:w="120" w:type="dxa"/>
            </w:tcMar>
          </w:tcPr>
          <w:p>
            <w:pPr>
              <w:spacing w:before="0" w:after="0"/>
              <w:jc w:val="right"/>
            </w:pPr>
            <w:r>
              <w:rPr>
                <w:rFonts w:ascii="Calibri" w:hAnsi="Calibri"/>
                <w:color w:val="2D3748"/>
                <w:sz w:val="18"/>
              </w:rPr>
              <w:t>22.1%</w:t>
            </w:r>
          </w:p>
        </w:tc>
        <w:tc>
          <w:tcPr>
            <w:tcW w:type="dxa" w:w="1008"/>
            <w:shd w:fill="FFFFFF"/>
            <w:tcMar>
              <w:top w:w="80" w:type="dxa"/>
              <w:bottom w:w="80" w:type="dxa"/>
              <w:left w:w="120" w:type="dxa"/>
              <w:right w:w="120" w:type="dxa"/>
            </w:tcMar>
          </w:tcPr>
          <w:p>
            <w:pPr>
              <w:spacing w:before="0" w:after="0"/>
              <w:jc w:val="right"/>
            </w:pPr>
            <w:r>
              <w:rPr>
                <w:rFonts w:ascii="Calibri" w:hAnsi="Calibri"/>
                <w:color w:val="2D3748"/>
                <w:sz w:val="18"/>
              </w:rPr>
              <w:t>35.9%</w:t>
            </w:r>
          </w:p>
        </w:tc>
        <w:tc>
          <w:tcPr>
            <w:tcW w:type="dxa" w:w="1152"/>
            <w:shd w:fill="FFFFFF"/>
            <w:tcMar>
              <w:top w:w="80" w:type="dxa"/>
              <w:bottom w:w="80" w:type="dxa"/>
              <w:left w:w="120" w:type="dxa"/>
              <w:right w:w="120" w:type="dxa"/>
            </w:tcMar>
          </w:tcPr>
          <w:p>
            <w:pPr>
              <w:spacing w:before="0" w:after="0"/>
              <w:jc w:val="right"/>
            </w:pPr>
            <w:r>
              <w:rPr>
                <w:rFonts w:ascii="Calibri" w:hAnsi="Calibri"/>
                <w:color w:val="2D3748"/>
                <w:sz w:val="18"/>
              </w:rPr>
              <w:t>82.6%</w:t>
            </w:r>
          </w:p>
        </w:tc>
        <w:tc>
          <w:tcPr>
            <w:tcW w:type="dxa" w:w="720"/>
            <w:shd w:fill="FFFFFF"/>
            <w:tcMar>
              <w:top w:w="80" w:type="dxa"/>
              <w:bottom w:w="80" w:type="dxa"/>
              <w:left w:w="120" w:type="dxa"/>
              <w:right w:w="120" w:type="dxa"/>
            </w:tcMar>
          </w:tcPr>
          <w:p>
            <w:pPr>
              <w:spacing w:before="0" w:after="0"/>
              <w:jc w:val="center"/>
            </w:pPr>
            <w:r>
              <w:rPr>
                <w:rFonts w:ascii="Calibri" w:hAnsi="Calibri"/>
                <w:color w:val="2D3748"/>
                <w:sz w:val="18"/>
              </w:rPr>
              <w:t>8 / 9</w:t>
            </w:r>
          </w:p>
        </w:tc>
        <w:tc>
          <w:tcPr>
            <w:tcW w:type="dxa" w:w="720"/>
            <w:shd w:fill="FFFFFF"/>
            <w:tcMar>
              <w:top w:w="80" w:type="dxa"/>
              <w:bottom w:w="80" w:type="dxa"/>
              <w:left w:w="120" w:type="dxa"/>
              <w:right w:w="120" w:type="dxa"/>
            </w:tcMar>
          </w:tcPr>
          <w:p>
            <w:pPr>
              <w:spacing w:before="0" w:after="0"/>
              <w:jc w:val="center"/>
            </w:pPr>
            <w:r>
              <w:rPr>
                <w:rFonts w:ascii="Calibri" w:hAnsi="Calibri"/>
                <w:color w:val="2D3748"/>
                <w:sz w:val="18"/>
              </w:rPr>
              <w:t>7 / 8</w:t>
            </w:r>
          </w:p>
        </w:tc>
      </w:tr>
      <w:tr>
        <w:tc>
          <w:tcPr>
            <w:tcW w:type="dxa" w:w="1008"/>
            <w:shd w:fill="F7FAFC"/>
            <w:tcMar>
              <w:top w:w="80" w:type="dxa"/>
              <w:bottom w:w="80" w:type="dxa"/>
              <w:left w:w="120" w:type="dxa"/>
              <w:right w:w="120" w:type="dxa"/>
            </w:tcMar>
          </w:tcPr>
          <w:p>
            <w:pPr>
              <w:spacing w:before="0" w:after="0"/>
              <w:jc w:val="center"/>
            </w:pPr>
            <w:r>
              <w:rPr>
                <w:rFonts w:ascii="Calibri" w:hAnsi="Calibri"/>
                <w:color w:val="2D3748"/>
                <w:sz w:val="18"/>
              </w:rPr>
              <w:t>NKE</w:t>
            </w:r>
          </w:p>
        </w:tc>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NIKE, Inc.</w:t>
            </w:r>
          </w:p>
        </w:tc>
        <w:tc>
          <w:tcPr>
            <w:tcW w:type="dxa" w:w="1296"/>
            <w:shd w:fill="F7FAFC"/>
            <w:tcMar>
              <w:top w:w="80" w:type="dxa"/>
              <w:bottom w:w="80" w:type="dxa"/>
              <w:left w:w="120" w:type="dxa"/>
              <w:right w:w="120" w:type="dxa"/>
            </w:tcMar>
          </w:tcPr>
          <w:p>
            <w:pPr>
              <w:spacing w:before="0" w:after="0"/>
              <w:jc w:val="right"/>
            </w:pPr>
            <w:r>
              <w:rPr>
                <w:rFonts w:ascii="Calibri" w:hAnsi="Calibri"/>
                <w:color w:val="2D3748"/>
                <w:sz w:val="18"/>
              </w:rPr>
              <w:t>$46,398 M</w:t>
            </w:r>
          </w:p>
        </w:tc>
        <w:tc>
          <w:tcPr>
            <w:tcW w:type="dxa" w:w="1008"/>
            <w:shd w:fill="F7FAFC"/>
            <w:tcMar>
              <w:top w:w="80" w:type="dxa"/>
              <w:bottom w:w="80" w:type="dxa"/>
              <w:left w:w="120" w:type="dxa"/>
              <w:right w:w="120" w:type="dxa"/>
            </w:tcMar>
          </w:tcPr>
          <w:p>
            <w:pPr>
              <w:spacing w:before="0" w:after="0"/>
              <w:jc w:val="right"/>
            </w:pPr>
            <w:r>
              <w:rPr>
                <w:rFonts w:ascii="Calibri" w:hAnsi="Calibri"/>
                <w:color w:val="2D3748"/>
                <w:sz w:val="18"/>
              </w:rPr>
              <w:t>44.6%</w:t>
            </w:r>
          </w:p>
        </w:tc>
        <w:tc>
          <w:tcPr>
            <w:tcW w:type="dxa" w:w="1008"/>
            <w:shd w:fill="F7FAFC"/>
            <w:tcMar>
              <w:top w:w="80" w:type="dxa"/>
              <w:bottom w:w="80" w:type="dxa"/>
              <w:left w:w="120" w:type="dxa"/>
              <w:right w:w="120" w:type="dxa"/>
            </w:tcMar>
          </w:tcPr>
          <w:p>
            <w:pPr>
              <w:spacing w:before="0" w:after="0"/>
              <w:jc w:val="right"/>
            </w:pPr>
            <w:r>
              <w:rPr>
                <w:rFonts w:ascii="Calibri" w:hAnsi="Calibri"/>
                <w:color w:val="2D3748"/>
                <w:sz w:val="18"/>
              </w:rPr>
              <w:t>10.2%</w:t>
            </w:r>
          </w:p>
        </w:tc>
        <w:tc>
          <w:tcPr>
            <w:tcW w:type="dxa" w:w="1008"/>
            <w:shd w:fill="F7FAFC"/>
            <w:tcMar>
              <w:top w:w="80" w:type="dxa"/>
              <w:bottom w:w="80" w:type="dxa"/>
              <w:left w:w="120" w:type="dxa"/>
              <w:right w:w="120" w:type="dxa"/>
            </w:tcMar>
          </w:tcPr>
          <w:p>
            <w:pPr>
              <w:spacing w:before="0" w:after="0"/>
              <w:jc w:val="right"/>
            </w:pPr>
            <w:r>
              <w:rPr>
                <w:rFonts w:ascii="Calibri" w:hAnsi="Calibri"/>
                <w:color w:val="2D3748"/>
                <w:sz w:val="18"/>
              </w:rPr>
              <w:t>18.5%</w:t>
            </w:r>
          </w:p>
        </w:tc>
        <w:tc>
          <w:tcPr>
            <w:tcW w:type="dxa" w:w="1152"/>
            <w:shd w:fill="F7FAFC"/>
            <w:tcMar>
              <w:top w:w="80" w:type="dxa"/>
              <w:bottom w:w="80" w:type="dxa"/>
              <w:left w:w="120" w:type="dxa"/>
              <w:right w:w="120" w:type="dxa"/>
            </w:tcMar>
          </w:tcPr>
          <w:p>
            <w:pPr>
              <w:spacing w:before="0" w:after="0"/>
              <w:jc w:val="right"/>
            </w:pPr>
            <w:r>
              <w:rPr>
                <w:rFonts w:ascii="Calibri" w:hAnsi="Calibri"/>
                <w:color w:val="2D3748"/>
                <w:sz w:val="18"/>
              </w:rPr>
              <w:t>53.9%</w:t>
            </w:r>
          </w:p>
        </w:tc>
        <w:tc>
          <w:tcPr>
            <w:tcW w:type="dxa" w:w="720"/>
            <w:shd w:fill="F7FAFC"/>
            <w:tcMar>
              <w:top w:w="80" w:type="dxa"/>
              <w:bottom w:w="80" w:type="dxa"/>
              <w:left w:w="120" w:type="dxa"/>
              <w:right w:w="120" w:type="dxa"/>
            </w:tcMar>
          </w:tcPr>
          <w:p>
            <w:pPr>
              <w:spacing w:before="0" w:after="0"/>
              <w:jc w:val="center"/>
            </w:pPr>
            <w:r>
              <w:rPr>
                <w:rFonts w:ascii="Calibri" w:hAnsi="Calibri"/>
                <w:color w:val="2D3748"/>
                <w:sz w:val="18"/>
              </w:rPr>
              <w:t>6 / 9</w:t>
            </w:r>
          </w:p>
        </w:tc>
        <w:tc>
          <w:tcPr>
            <w:tcW w:type="dxa" w:w="720"/>
            <w:shd w:fill="F7FAFC"/>
            <w:tcMar>
              <w:top w:w="80" w:type="dxa"/>
              <w:bottom w:w="80" w:type="dxa"/>
              <w:left w:w="120" w:type="dxa"/>
              <w:right w:w="120" w:type="dxa"/>
            </w:tcMar>
          </w:tcPr>
          <w:p>
            <w:pPr>
              <w:spacing w:before="0" w:after="0"/>
              <w:jc w:val="center"/>
            </w:pPr>
            <w:r>
              <w:rPr>
                <w:rFonts w:ascii="Calibri" w:hAnsi="Calibri"/>
                <w:color w:val="2D3748"/>
                <w:sz w:val="18"/>
              </w:rPr>
              <w:t>4 / 8</w:t>
            </w:r>
          </w:p>
        </w:tc>
      </w:tr>
      <w:tr>
        <w:tc>
          <w:tcPr>
            <w:tcW w:type="dxa" w:w="1008"/>
            <w:shd w:fill="FFFFFF"/>
            <w:tcMar>
              <w:top w:w="80" w:type="dxa"/>
              <w:bottom w:w="80" w:type="dxa"/>
              <w:left w:w="120" w:type="dxa"/>
              <w:right w:w="120" w:type="dxa"/>
            </w:tcMar>
          </w:tcPr>
          <w:p>
            <w:pPr>
              <w:spacing w:before="0" w:after="0"/>
              <w:jc w:val="center"/>
            </w:pPr>
            <w:r>
              <w:rPr>
                <w:rFonts w:ascii="Calibri" w:hAnsi="Calibri"/>
                <w:color w:val="2D3748"/>
                <w:sz w:val="18"/>
              </w:rPr>
              <w:t>ONON</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On Holding AG</w:t>
            </w:r>
          </w:p>
        </w:tc>
        <w:tc>
          <w:tcPr>
            <w:tcW w:type="dxa" w:w="1296"/>
            <w:shd w:fill="FFFFFF"/>
            <w:tcMar>
              <w:top w:w="80" w:type="dxa"/>
              <w:bottom w:w="80" w:type="dxa"/>
              <w:left w:w="120" w:type="dxa"/>
              <w:right w:w="120" w:type="dxa"/>
            </w:tcMar>
          </w:tcPr>
          <w:p>
            <w:pPr>
              <w:spacing w:before="0" w:after="0"/>
              <w:jc w:val="right"/>
            </w:pPr>
            <w:r>
              <w:rPr>
                <w:rFonts w:ascii="Calibri" w:hAnsi="Calibri"/>
                <w:color w:val="2D3748"/>
                <w:sz w:val="18"/>
              </w:rPr>
              <w:t>$2,500 M</w:t>
            </w:r>
          </w:p>
        </w:tc>
        <w:tc>
          <w:tcPr>
            <w:tcW w:type="dxa" w:w="1008"/>
            <w:shd w:fill="FFFFFF"/>
            <w:tcMar>
              <w:top w:w="80" w:type="dxa"/>
              <w:bottom w:w="80" w:type="dxa"/>
              <w:left w:w="120" w:type="dxa"/>
              <w:right w:w="120" w:type="dxa"/>
            </w:tcMar>
          </w:tcPr>
          <w:p>
            <w:pPr>
              <w:spacing w:before="0" w:after="0"/>
              <w:jc w:val="right"/>
            </w:pPr>
            <w:r>
              <w:rPr>
                <w:rFonts w:ascii="Calibri" w:hAnsi="Calibri"/>
                <w:color w:val="2D3748"/>
                <w:sz w:val="18"/>
              </w:rPr>
              <w:t>59.9%</w:t>
            </w:r>
          </w:p>
        </w:tc>
        <w:tc>
          <w:tcPr>
            <w:tcW w:type="dxa" w:w="1008"/>
            <w:shd w:fill="FFFFFF"/>
            <w:tcMar>
              <w:top w:w="80" w:type="dxa"/>
              <w:bottom w:w="80" w:type="dxa"/>
              <w:left w:w="120" w:type="dxa"/>
              <w:right w:w="120" w:type="dxa"/>
            </w:tcMar>
          </w:tcPr>
          <w:p>
            <w:pPr>
              <w:spacing w:before="0" w:after="0"/>
              <w:jc w:val="right"/>
            </w:pPr>
            <w:r>
              <w:rPr>
                <w:rFonts w:ascii="Calibri" w:hAnsi="Calibri"/>
                <w:color w:val="2D3748"/>
                <w:sz w:val="18"/>
              </w:rPr>
              <w:t>11.4%</w:t>
            </w:r>
          </w:p>
        </w:tc>
        <w:tc>
          <w:tcPr>
            <w:tcW w:type="dxa" w:w="1008"/>
            <w:shd w:fill="FFFFFF"/>
            <w:tcMar>
              <w:top w:w="80" w:type="dxa"/>
              <w:bottom w:w="80" w:type="dxa"/>
              <w:left w:w="120" w:type="dxa"/>
              <w:right w:w="120" w:type="dxa"/>
            </w:tcMar>
          </w:tcPr>
          <w:p>
            <w:pPr>
              <w:spacing w:before="0" w:after="0"/>
              <w:jc w:val="right"/>
            </w:pPr>
            <w:r>
              <w:rPr>
                <w:rFonts w:ascii="Calibri" w:hAnsi="Calibri"/>
                <w:color w:val="2D3748"/>
                <w:sz w:val="18"/>
              </w:rPr>
              <w:t>15.2%</w:t>
            </w:r>
          </w:p>
        </w:tc>
        <w:tc>
          <w:tcPr>
            <w:tcW w:type="dxa" w:w="1152"/>
            <w:shd w:fill="FFFFFF"/>
            <w:tcMar>
              <w:top w:w="80" w:type="dxa"/>
              <w:bottom w:w="80" w:type="dxa"/>
              <w:left w:w="120" w:type="dxa"/>
              <w:right w:w="120" w:type="dxa"/>
            </w:tcMar>
          </w:tcPr>
          <w:p>
            <w:pPr>
              <w:spacing w:before="0" w:after="0"/>
              <w:jc w:val="right"/>
            </w:pPr>
            <w:r>
              <w:rPr>
                <w:rFonts w:ascii="Calibri" w:hAnsi="Calibri"/>
                <w:color w:val="2D3748"/>
                <w:sz w:val="18"/>
              </w:rPr>
              <w:t>49.5%</w:t>
            </w:r>
          </w:p>
        </w:tc>
        <w:tc>
          <w:tcPr>
            <w:tcW w:type="dxa" w:w="720"/>
            <w:shd w:fill="FFFFFF"/>
            <w:tcMar>
              <w:top w:w="80" w:type="dxa"/>
              <w:bottom w:w="80" w:type="dxa"/>
              <w:left w:w="120" w:type="dxa"/>
              <w:right w:w="120" w:type="dxa"/>
            </w:tcMar>
          </w:tcPr>
          <w:p>
            <w:pPr>
              <w:spacing w:before="0" w:after="0"/>
              <w:jc w:val="center"/>
            </w:pPr>
            <w:r>
              <w:rPr>
                <w:rFonts w:ascii="Calibri" w:hAnsi="Calibri"/>
                <w:color w:val="2D3748"/>
                <w:sz w:val="18"/>
              </w:rPr>
              <w:t>7 / 9</w:t>
            </w:r>
          </w:p>
        </w:tc>
        <w:tc>
          <w:tcPr>
            <w:tcW w:type="dxa" w:w="720"/>
            <w:shd w:fill="FFFFFF"/>
            <w:tcMar>
              <w:top w:w="80" w:type="dxa"/>
              <w:bottom w:w="80" w:type="dxa"/>
              <w:left w:w="120" w:type="dxa"/>
              <w:right w:w="120" w:type="dxa"/>
            </w:tcMar>
          </w:tcPr>
          <w:p>
            <w:pPr>
              <w:spacing w:before="0" w:after="0"/>
              <w:jc w:val="center"/>
            </w:pPr>
            <w:r>
              <w:rPr>
                <w:rFonts w:ascii="Calibri" w:hAnsi="Calibri"/>
                <w:color w:val="2D3748"/>
                <w:sz w:val="18"/>
              </w:rPr>
              <w:t>6 / 8</w:t>
            </w:r>
          </w:p>
        </w:tc>
      </w:tr>
      <w:tr>
        <w:tc>
          <w:tcPr>
            <w:tcW w:type="dxa" w:w="1008"/>
            <w:shd w:fill="F7FAFC"/>
            <w:tcMar>
              <w:top w:w="80" w:type="dxa"/>
              <w:bottom w:w="80" w:type="dxa"/>
              <w:left w:w="120" w:type="dxa"/>
              <w:right w:w="120" w:type="dxa"/>
            </w:tcMar>
          </w:tcPr>
          <w:p>
            <w:pPr>
              <w:spacing w:before="0" w:after="0"/>
              <w:jc w:val="center"/>
            </w:pPr>
            <w:r>
              <w:rPr>
                <w:rFonts w:ascii="Calibri" w:hAnsi="Calibri"/>
                <w:color w:val="2D3748"/>
                <w:sz w:val="18"/>
              </w:rPr>
              <w:t>CROX</w:t>
            </w:r>
          </w:p>
        </w:tc>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Crocs, Inc.</w:t>
            </w:r>
          </w:p>
        </w:tc>
        <w:tc>
          <w:tcPr>
            <w:tcW w:type="dxa" w:w="1296"/>
            <w:shd w:fill="F7FAFC"/>
            <w:tcMar>
              <w:top w:w="80" w:type="dxa"/>
              <w:bottom w:w="80" w:type="dxa"/>
              <w:left w:w="120" w:type="dxa"/>
              <w:right w:w="120" w:type="dxa"/>
            </w:tcMar>
          </w:tcPr>
          <w:p>
            <w:pPr>
              <w:spacing w:before="0" w:after="0"/>
              <w:jc w:val="right"/>
            </w:pPr>
            <w:r>
              <w:rPr>
                <w:rFonts w:ascii="Calibri" w:hAnsi="Calibri"/>
                <w:color w:val="2D3748"/>
                <w:sz w:val="18"/>
              </w:rPr>
              <w:t>$4,041 M</w:t>
            </w:r>
          </w:p>
        </w:tc>
        <w:tc>
          <w:tcPr>
            <w:tcW w:type="dxa" w:w="1008"/>
            <w:shd w:fill="F7FAFC"/>
            <w:tcMar>
              <w:top w:w="80" w:type="dxa"/>
              <w:bottom w:w="80" w:type="dxa"/>
              <w:left w:w="120" w:type="dxa"/>
              <w:right w:w="120" w:type="dxa"/>
            </w:tcMar>
          </w:tcPr>
          <w:p>
            <w:pPr>
              <w:spacing w:before="0" w:after="0"/>
              <w:jc w:val="right"/>
            </w:pPr>
            <w:r>
              <w:rPr>
                <w:rFonts w:ascii="Calibri" w:hAnsi="Calibri"/>
                <w:color w:val="2D3748"/>
                <w:sz w:val="18"/>
              </w:rPr>
              <w:t>55.3%</w:t>
            </w:r>
          </w:p>
        </w:tc>
        <w:tc>
          <w:tcPr>
            <w:tcW w:type="dxa" w:w="1008"/>
            <w:shd w:fill="F7FAFC"/>
            <w:tcMar>
              <w:top w:w="80" w:type="dxa"/>
              <w:bottom w:w="80" w:type="dxa"/>
              <w:left w:w="120" w:type="dxa"/>
              <w:right w:w="120" w:type="dxa"/>
            </w:tcMar>
          </w:tcPr>
          <w:p>
            <w:pPr>
              <w:spacing w:before="0" w:after="0"/>
              <w:jc w:val="right"/>
            </w:pPr>
            <w:r>
              <w:rPr>
                <w:rFonts w:ascii="Calibri" w:hAnsi="Calibri"/>
                <w:color w:val="2D3748"/>
                <w:sz w:val="18"/>
              </w:rPr>
              <w:t>26.5%</w:t>
            </w:r>
          </w:p>
        </w:tc>
        <w:tc>
          <w:tcPr>
            <w:tcW w:type="dxa" w:w="1008"/>
            <w:shd w:fill="F7FAFC"/>
            <w:tcMar>
              <w:top w:w="80" w:type="dxa"/>
              <w:bottom w:w="80" w:type="dxa"/>
              <w:left w:w="120" w:type="dxa"/>
              <w:right w:w="120" w:type="dxa"/>
            </w:tcMar>
          </w:tcPr>
          <w:p>
            <w:pPr>
              <w:spacing w:before="0" w:after="0"/>
              <w:jc w:val="right"/>
            </w:pPr>
            <w:r>
              <w:rPr>
                <w:rFonts w:ascii="Calibri" w:hAnsi="Calibri"/>
                <w:color w:val="2D3748"/>
                <w:sz w:val="18"/>
              </w:rPr>
              <w:t>24.1%</w:t>
            </w:r>
          </w:p>
        </w:tc>
        <w:tc>
          <w:tcPr>
            <w:tcW w:type="dxa" w:w="1152"/>
            <w:shd w:fill="F7FAFC"/>
            <w:tcMar>
              <w:top w:w="80" w:type="dxa"/>
              <w:bottom w:w="80" w:type="dxa"/>
              <w:left w:w="120" w:type="dxa"/>
              <w:right w:w="120" w:type="dxa"/>
            </w:tcMar>
          </w:tcPr>
          <w:p>
            <w:pPr>
              <w:spacing w:before="0" w:after="0"/>
              <w:jc w:val="right"/>
            </w:pPr>
            <w:r>
              <w:rPr>
                <w:rFonts w:ascii="Calibri" w:hAnsi="Calibri"/>
                <w:color w:val="2D3748"/>
                <w:sz w:val="18"/>
              </w:rPr>
              <w:t>58.2%</w:t>
            </w:r>
          </w:p>
        </w:tc>
        <w:tc>
          <w:tcPr>
            <w:tcW w:type="dxa" w:w="720"/>
            <w:shd w:fill="F7FAFC"/>
            <w:tcMar>
              <w:top w:w="80" w:type="dxa"/>
              <w:bottom w:w="80" w:type="dxa"/>
              <w:left w:w="120" w:type="dxa"/>
              <w:right w:w="120" w:type="dxa"/>
            </w:tcMar>
          </w:tcPr>
          <w:p>
            <w:pPr>
              <w:spacing w:before="0" w:after="0"/>
              <w:jc w:val="center"/>
            </w:pPr>
            <w:r>
              <w:rPr>
                <w:rFonts w:ascii="Calibri" w:hAnsi="Calibri"/>
                <w:color w:val="2D3748"/>
                <w:sz w:val="18"/>
              </w:rPr>
              <w:t>7 / 9</w:t>
            </w:r>
          </w:p>
        </w:tc>
        <w:tc>
          <w:tcPr>
            <w:tcW w:type="dxa" w:w="720"/>
            <w:shd w:fill="F7FAFC"/>
            <w:tcMar>
              <w:top w:w="80" w:type="dxa"/>
              <w:bottom w:w="80" w:type="dxa"/>
              <w:left w:w="120" w:type="dxa"/>
              <w:right w:w="120" w:type="dxa"/>
            </w:tcMar>
          </w:tcPr>
          <w:p>
            <w:pPr>
              <w:spacing w:before="0" w:after="0"/>
              <w:jc w:val="center"/>
            </w:pPr>
            <w:r>
              <w:rPr>
                <w:rFonts w:ascii="Calibri" w:hAnsi="Calibri"/>
                <w:color w:val="2D3748"/>
                <w:sz w:val="18"/>
              </w:rPr>
              <w:t>5 / 8</w:t>
            </w:r>
          </w:p>
        </w:tc>
      </w:tr>
      <w:tr>
        <w:tc>
          <w:tcPr>
            <w:tcW w:type="dxa" w:w="1008"/>
            <w:shd w:fill="FFFFFF"/>
            <w:tcMar>
              <w:top w:w="80" w:type="dxa"/>
              <w:bottom w:w="80" w:type="dxa"/>
              <w:left w:w="120" w:type="dxa"/>
              <w:right w:w="120" w:type="dxa"/>
            </w:tcMar>
          </w:tcPr>
          <w:p>
            <w:pPr>
              <w:spacing w:before="0" w:after="0"/>
              <w:jc w:val="center"/>
            </w:pPr>
            <w:r>
              <w:rPr>
                <w:rFonts w:ascii="Calibri" w:hAnsi="Calibri"/>
                <w:color w:val="2D3748"/>
                <w:sz w:val="18"/>
              </w:rPr>
              <w:t>SKX</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Skechers U.S.A., Inc.</w:t>
            </w:r>
          </w:p>
        </w:tc>
        <w:tc>
          <w:tcPr>
            <w:tcW w:type="dxa" w:w="1296"/>
            <w:shd w:fill="FFFFFF"/>
            <w:tcMar>
              <w:top w:w="80" w:type="dxa"/>
              <w:bottom w:w="80" w:type="dxa"/>
              <w:left w:w="120" w:type="dxa"/>
              <w:right w:w="120" w:type="dxa"/>
            </w:tcMar>
          </w:tcPr>
          <w:p>
            <w:pPr>
              <w:spacing w:before="0" w:after="0"/>
              <w:jc w:val="right"/>
            </w:pPr>
            <w:r>
              <w:rPr>
                <w:rFonts w:ascii="Calibri" w:hAnsi="Calibri"/>
                <w:color w:val="2D3748"/>
                <w:sz w:val="18"/>
              </w:rPr>
              <w:t>$8,969 M</w:t>
            </w:r>
          </w:p>
        </w:tc>
        <w:tc>
          <w:tcPr>
            <w:tcW w:type="dxa" w:w="1008"/>
            <w:shd w:fill="FFFFFF"/>
            <w:tcMar>
              <w:top w:w="80" w:type="dxa"/>
              <w:bottom w:w="80" w:type="dxa"/>
              <w:left w:w="120" w:type="dxa"/>
              <w:right w:w="120" w:type="dxa"/>
            </w:tcMar>
          </w:tcPr>
          <w:p>
            <w:pPr>
              <w:spacing w:before="0" w:after="0"/>
              <w:jc w:val="right"/>
            </w:pPr>
            <w:r>
              <w:rPr>
                <w:rFonts w:ascii="Calibri" w:hAnsi="Calibri"/>
                <w:color w:val="2D3748"/>
                <w:sz w:val="18"/>
              </w:rPr>
              <w:t>52.2%</w:t>
            </w:r>
          </w:p>
        </w:tc>
        <w:tc>
          <w:tcPr>
            <w:tcW w:type="dxa" w:w="1008"/>
            <w:shd w:fill="FFFFFF"/>
            <w:tcMar>
              <w:top w:w="80" w:type="dxa"/>
              <w:bottom w:w="80" w:type="dxa"/>
              <w:left w:w="120" w:type="dxa"/>
              <w:right w:w="120" w:type="dxa"/>
            </w:tcMar>
          </w:tcPr>
          <w:p>
            <w:pPr>
              <w:spacing w:before="0" w:after="0"/>
              <w:jc w:val="right"/>
            </w:pPr>
            <w:r>
              <w:rPr>
                <w:rFonts w:ascii="Calibri" w:hAnsi="Calibri"/>
                <w:color w:val="2D3748"/>
                <w:sz w:val="18"/>
              </w:rPr>
              <w:t>11.8%</w:t>
            </w:r>
          </w:p>
        </w:tc>
        <w:tc>
          <w:tcPr>
            <w:tcW w:type="dxa" w:w="1008"/>
            <w:shd w:fill="FFFFFF"/>
            <w:tcMar>
              <w:top w:w="80" w:type="dxa"/>
              <w:bottom w:w="80" w:type="dxa"/>
              <w:left w:w="120" w:type="dxa"/>
              <w:right w:w="120" w:type="dxa"/>
            </w:tcMar>
          </w:tcPr>
          <w:p>
            <w:pPr>
              <w:spacing w:before="0" w:after="0"/>
              <w:jc w:val="right"/>
            </w:pPr>
            <w:r>
              <w:rPr>
                <w:rFonts w:ascii="Calibri" w:hAnsi="Calibri"/>
                <w:color w:val="2D3748"/>
                <w:sz w:val="18"/>
              </w:rPr>
              <w:t>14.8%</w:t>
            </w:r>
          </w:p>
        </w:tc>
        <w:tc>
          <w:tcPr>
            <w:tcW w:type="dxa" w:w="1152"/>
            <w:shd w:fill="FFFFFF"/>
            <w:tcMar>
              <w:top w:w="80" w:type="dxa"/>
              <w:bottom w:w="80" w:type="dxa"/>
              <w:left w:w="120" w:type="dxa"/>
              <w:right w:w="120" w:type="dxa"/>
            </w:tcMar>
          </w:tcPr>
          <w:p>
            <w:pPr>
              <w:spacing w:before="0" w:after="0"/>
              <w:jc w:val="right"/>
            </w:pPr>
            <w:r>
              <w:rPr>
                <w:rFonts w:ascii="Calibri" w:hAnsi="Calibri"/>
                <w:color w:val="2D3748"/>
                <w:sz w:val="18"/>
              </w:rPr>
              <w:t>42.5%</w:t>
            </w:r>
          </w:p>
        </w:tc>
        <w:tc>
          <w:tcPr>
            <w:tcW w:type="dxa" w:w="720"/>
            <w:shd w:fill="FFFFFF"/>
            <w:tcMar>
              <w:top w:w="80" w:type="dxa"/>
              <w:bottom w:w="80" w:type="dxa"/>
              <w:left w:w="120" w:type="dxa"/>
              <w:right w:w="120" w:type="dxa"/>
            </w:tcMar>
          </w:tcPr>
          <w:p>
            <w:pPr>
              <w:spacing w:before="0" w:after="0"/>
              <w:jc w:val="center"/>
            </w:pPr>
            <w:r>
              <w:rPr>
                <w:rFonts w:ascii="Calibri" w:hAnsi="Calibri"/>
                <w:color w:val="2D3748"/>
                <w:sz w:val="18"/>
              </w:rPr>
              <w:t>7 / 9</w:t>
            </w:r>
          </w:p>
        </w:tc>
        <w:tc>
          <w:tcPr>
            <w:tcW w:type="dxa" w:w="720"/>
            <w:shd w:fill="FFFFFF"/>
            <w:tcMar>
              <w:top w:w="80" w:type="dxa"/>
              <w:bottom w:w="80" w:type="dxa"/>
              <w:left w:w="120" w:type="dxa"/>
              <w:right w:w="120" w:type="dxa"/>
            </w:tcMar>
          </w:tcPr>
          <w:p>
            <w:pPr>
              <w:spacing w:before="0" w:after="0"/>
              <w:jc w:val="center"/>
            </w:pPr>
            <w:r>
              <w:rPr>
                <w:rFonts w:ascii="Calibri" w:hAnsi="Calibri"/>
                <w:color w:val="2D3748"/>
                <w:sz w:val="18"/>
              </w:rPr>
              <w:t>5 / 8</w:t>
            </w:r>
          </w:p>
        </w:tc>
      </w:tr>
      <w:tr>
        <w:tc>
          <w:tcPr>
            <w:tcW w:type="dxa" w:w="1008"/>
            <w:shd w:fill="F7FAFC"/>
            <w:tcMar>
              <w:top w:w="80" w:type="dxa"/>
              <w:bottom w:w="80" w:type="dxa"/>
              <w:left w:w="120" w:type="dxa"/>
              <w:right w:w="120" w:type="dxa"/>
            </w:tcMar>
          </w:tcPr>
          <w:p>
            <w:pPr>
              <w:spacing w:before="0" w:after="0"/>
              <w:jc w:val="center"/>
            </w:pPr>
            <w:r>
              <w:rPr>
                <w:rFonts w:ascii="Calibri" w:hAnsi="Calibri"/>
                <w:color w:val="2D3748"/>
                <w:sz w:val="18"/>
              </w:rPr>
              <w:t>MEDIANA</w:t>
            </w:r>
          </w:p>
        </w:tc>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Mediana Sectorial Calzado</w:t>
            </w:r>
          </w:p>
        </w:tc>
        <w:tc>
          <w:tcPr>
            <w:tcW w:type="dxa" w:w="1296"/>
            <w:shd w:fill="F7FAFC"/>
            <w:tcMar>
              <w:top w:w="80" w:type="dxa"/>
              <w:bottom w:w="80" w:type="dxa"/>
              <w:left w:w="120" w:type="dxa"/>
              <w:right w:w="120" w:type="dxa"/>
            </w:tcMar>
          </w:tcPr>
          <w:p>
            <w:pPr>
              <w:spacing w:before="0" w:after="0"/>
              <w:jc w:val="right"/>
            </w:pPr>
            <w:r>
              <w:rPr>
                <w:rFonts w:ascii="Calibri" w:hAnsi="Calibri"/>
                <w:color w:val="2D3748"/>
                <w:sz w:val="18"/>
              </w:rPr>
              <w:t>$5,527 M</w:t>
            </w:r>
          </w:p>
        </w:tc>
        <w:tc>
          <w:tcPr>
            <w:tcW w:type="dxa" w:w="1008"/>
            <w:shd w:fill="F7FAFC"/>
            <w:tcMar>
              <w:top w:w="80" w:type="dxa"/>
              <w:bottom w:w="80" w:type="dxa"/>
              <w:left w:w="120" w:type="dxa"/>
              <w:right w:w="120" w:type="dxa"/>
            </w:tcMar>
          </w:tcPr>
          <w:p>
            <w:pPr>
              <w:spacing w:before="0" w:after="0"/>
              <w:jc w:val="right"/>
            </w:pPr>
            <w:r>
              <w:rPr>
                <w:rFonts w:ascii="Calibri" w:hAnsi="Calibri"/>
                <w:color w:val="2D3748"/>
                <w:sz w:val="18"/>
              </w:rPr>
              <w:t>53.8%</w:t>
            </w:r>
          </w:p>
        </w:tc>
        <w:tc>
          <w:tcPr>
            <w:tcW w:type="dxa" w:w="1008"/>
            <w:shd w:fill="F7FAFC"/>
            <w:tcMar>
              <w:top w:w="80" w:type="dxa"/>
              <w:bottom w:w="80" w:type="dxa"/>
              <w:left w:w="120" w:type="dxa"/>
              <w:right w:w="120" w:type="dxa"/>
            </w:tcMar>
          </w:tcPr>
          <w:p>
            <w:pPr>
              <w:spacing w:before="0" w:after="0"/>
              <w:jc w:val="right"/>
            </w:pPr>
            <w:r>
              <w:rPr>
                <w:rFonts w:ascii="Calibri" w:hAnsi="Calibri"/>
                <w:color w:val="2D3748"/>
                <w:sz w:val="18"/>
              </w:rPr>
              <w:t>11.6%</w:t>
            </w:r>
          </w:p>
        </w:tc>
        <w:tc>
          <w:tcPr>
            <w:tcW w:type="dxa" w:w="1008"/>
            <w:shd w:fill="F7FAFC"/>
            <w:tcMar>
              <w:top w:w="80" w:type="dxa"/>
              <w:bottom w:w="80" w:type="dxa"/>
              <w:left w:w="120" w:type="dxa"/>
              <w:right w:w="120" w:type="dxa"/>
            </w:tcMar>
          </w:tcPr>
          <w:p>
            <w:pPr>
              <w:spacing w:before="0" w:after="0"/>
              <w:jc w:val="right"/>
            </w:pPr>
            <w:r>
              <w:rPr>
                <w:rFonts w:ascii="Calibri" w:hAnsi="Calibri"/>
                <w:color w:val="2D3748"/>
                <w:sz w:val="18"/>
              </w:rPr>
              <w:t>16.9%</w:t>
            </w:r>
          </w:p>
        </w:tc>
        <w:tc>
          <w:tcPr>
            <w:tcW w:type="dxa" w:w="1152"/>
            <w:shd w:fill="F7FAFC"/>
            <w:tcMar>
              <w:top w:w="80" w:type="dxa"/>
              <w:bottom w:w="80" w:type="dxa"/>
              <w:left w:w="120" w:type="dxa"/>
              <w:right w:w="120" w:type="dxa"/>
            </w:tcMar>
          </w:tcPr>
          <w:p>
            <w:pPr>
              <w:spacing w:before="0" w:after="0"/>
              <w:jc w:val="right"/>
            </w:pPr>
            <w:r>
              <w:rPr>
                <w:rFonts w:ascii="Calibri" w:hAnsi="Calibri"/>
                <w:color w:val="2D3748"/>
                <w:sz w:val="18"/>
              </w:rPr>
              <w:t>51.7%</w:t>
            </w:r>
          </w:p>
        </w:tc>
        <w:tc>
          <w:tcPr>
            <w:tcW w:type="dxa" w:w="720"/>
            <w:shd w:fill="F7FAFC"/>
            <w:tcMar>
              <w:top w:w="80" w:type="dxa"/>
              <w:bottom w:w="80" w:type="dxa"/>
              <w:left w:w="120" w:type="dxa"/>
              <w:right w:w="120" w:type="dxa"/>
            </w:tcMar>
          </w:tcPr>
          <w:p>
            <w:pPr>
              <w:spacing w:before="0" w:after="0"/>
              <w:jc w:val="center"/>
            </w:pPr>
            <w:r>
              <w:rPr>
                <w:rFonts w:ascii="Calibri" w:hAnsi="Calibri"/>
                <w:color w:val="2D3748"/>
                <w:sz w:val="18"/>
              </w:rPr>
              <w:t>7 / 9</w:t>
            </w:r>
          </w:p>
        </w:tc>
        <w:tc>
          <w:tcPr>
            <w:tcW w:type="dxa" w:w="720"/>
            <w:shd w:fill="F7FAFC"/>
            <w:tcMar>
              <w:top w:w="80" w:type="dxa"/>
              <w:bottom w:w="80" w:type="dxa"/>
              <w:left w:w="120" w:type="dxa"/>
              <w:right w:w="120" w:type="dxa"/>
            </w:tcMar>
          </w:tcPr>
          <w:p>
            <w:pPr>
              <w:spacing w:before="0" w:after="0"/>
              <w:jc w:val="center"/>
            </w:pPr>
            <w:r>
              <w:rPr>
                <w:rFonts w:ascii="Calibri" w:hAnsi="Calibri"/>
                <w:color w:val="2D3748"/>
                <w:sz w:val="18"/>
              </w:rPr>
              <w:t>5 / 8</w:t>
            </w:r>
          </w:p>
        </w:tc>
      </w:tr>
    </w:tbl>
    <w:p>
      <w:pPr>
        <w:spacing w:after="120"/>
      </w:pPr>
    </w:p>
    <w:p>
      <w:pPr>
        <w:keepNext/>
        <w:spacing w:before="320" w:after="120"/>
      </w:pPr>
      <w:r>
        <w:rPr>
          <w:rFonts w:ascii="Calibri" w:hAnsi="Calibri"/>
          <w:b/>
          <w:color w:val="1B365D"/>
          <w:sz w:val="28"/>
        </w:rPr>
        <w:t>10. Productividad Pura del Capital: Rentabilidad Bruta sobre Activos (Novy-Marx GP/A)</w:t>
      </w:r>
    </w:p>
    <w:p>
      <w:pPr>
        <w:spacing w:before="0" w:after="80" w:line="276" w:lineRule="auto"/>
      </w:pPr>
      <w:r>
        <w:rPr>
          <w:rFonts w:ascii="Calibri" w:hAnsi="Calibri"/>
          <w:i w:val="0"/>
          <w:color w:val="2D3748"/>
          <w:sz w:val="20"/>
        </w:rPr>
        <w:t>La investigación empírica seminal del Prof. Robert Novy-Marx (University of Rochester / NBER, 'The Other Side of Value: The Gross Profitability Premium', Journal of Financial Economics, 2013) demostró que la Rentabilidad Bruta sobre Activos (Gross Profitability to Assets, GP/A) es el predictor cuantitativo más potente de los rendimientos futuros de una corporación. A diferencia del ROE o ROIC, que sufren la contaminación contable de depreciaciones discrecionales, partidas extraordinarias o gastos de I+D/marketing (que en realidad son inversiones generadoras de valor futuro), la métrica de Novy-Marx evalúa la productividad económica pura del capital instalado en su estado original.</w:t>
      </w:r>
    </w:p>
    <w:p>
      <w:pPr>
        <w:keepNext/>
        <w:spacing w:before="240" w:after="80"/>
      </w:pPr>
      <w:r>
        <w:rPr>
          <w:rFonts w:ascii="Calibri" w:hAnsi="Calibri"/>
          <w:b/>
          <w:color w:val="4A5568"/>
          <w:sz w:val="23"/>
        </w:rPr>
        <w:t>Bloque A: Diagnóstico Dual de Productividad y Efecto Arrastre de Caja (Cash Drag)</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top w:val="none"/>
              <w:left w:val="single" w:sz="24" w:space="0" w:color="1B365D"/>
              <w:bottom w:val="none"/>
              <w:right w:val="none"/>
            </w:tcBorders>
          </w:tcPr>
          <w:p>
            <w:pPr>
              <w:spacing w:before="0" w:after="60" w:line="276" w:lineRule="auto"/>
            </w:pPr>
            <w:r>
              <w:rPr>
                <w:rFonts w:ascii="Calibri" w:hAnsi="Calibri"/>
                <w:b/>
                <w:color w:val="1B365D"/>
                <w:sz w:val="21"/>
              </w:rPr>
              <w:t>📌 CALIFICACIÓN Y CALIDAD DE CAPITAL: PRODUCTIVIDAD EXCEPCIONAL (TOP 5% DE LA INDUSTRIA)</w:t>
              <w:br/>
            </w:r>
          </w:p>
          <w:p>
            <w:pPr>
              <w:spacing w:before="40" w:after="40" w:line="276" w:lineRule="auto"/>
            </w:pPr>
            <w:r>
              <w:rPr>
                <w:rFonts w:ascii="Calibri" w:hAnsi="Calibri"/>
                <w:color w:val="2D3748"/>
                <w:sz w:val="19"/>
              </w:rPr>
              <w:t>• Gross Profitability Total (LTM): 82.59% de los Activos Totales (vs. Mediana Sector: 53.87%).</w:t>
            </w:r>
          </w:p>
          <w:p>
            <w:pPr>
              <w:spacing w:before="40" w:after="40" w:line="276" w:lineRule="auto"/>
            </w:pPr>
            <w:r>
              <w:rPr>
                <w:rFonts w:ascii="Calibri" w:hAnsi="Calibri"/>
                <w:color w:val="2D3748"/>
                <w:sz w:val="19"/>
              </w:rPr>
              <w:t>• Gross Profitability Operativa Ex-Caja (LTM): 140.99% de los Activos Operativos (vs. Mediana Sector: 61.74%).</w:t>
            </w:r>
          </w:p>
          <w:p>
            <w:pPr>
              <w:spacing w:before="40" w:after="40" w:line="276" w:lineRule="auto"/>
            </w:pPr>
            <w:r>
              <w:rPr>
                <w:rFonts w:ascii="Calibri" w:hAnsi="Calibri"/>
                <w:color w:val="2D3748"/>
                <w:sz w:val="19"/>
              </w:rPr>
              <w:t>• Efecto Arrastre de Caja (Cash Drag): +58.41 p.p. de penalización contable por atesoramiento de liquidez ociosa.</w:t>
            </w:r>
          </w:p>
          <w:p>
            <w:pPr>
              <w:spacing w:before="40" w:after="40" w:line="276" w:lineRule="auto"/>
            </w:pPr>
            <w:r>
              <w:rPr>
                <w:rFonts w:ascii="Calibri" w:hAnsi="Calibri"/>
                <w:color w:val="2D3748"/>
                <w:sz w:val="19"/>
              </w:rPr>
              <w:t>• Posición Sectorial (Industry De-meaning): Supera a la mediana de competidores en +28.72 p.p., confirmando un foso de capital de primer orden mundial.</w:t>
            </w:r>
          </w:p>
        </w:tc>
      </w:tr>
    </w:tbl>
    <w:p>
      <w:pPr>
        <w:spacing w:after="80"/>
      </w:pPr>
    </w:p>
    <w:tbl>
      <w:tblPr>
        <w:tblW w:type="auto" w:w="0"/>
        <w:jc w:val="center"/>
        <w:tblLayout w:type="fixed"/>
        <w:tblLook w:firstColumn="1" w:firstRow="1" w:lastColumn="0" w:lastRow="0" w:noHBand="0" w:noVBand="1" w:val="04A0"/>
      </w:tblPr>
      <w:tblGrid>
        <w:gridCol w:w="9792"/>
      </w:tblGrid>
      <w:tr>
        <w:tc>
          <w:tcPr>
            <w:tcW w:type="dxa" w:w="9792"/>
            <w:shd w:fill="E8EEF5"/>
            <w:tcMar>
              <w:top w:w="140" w:type="dxa"/>
              <w:bottom w:w="140" w:type="dxa"/>
              <w:left w:w="180" w:type="dxa"/>
              <w:right w:w="180" w:type="dxa"/>
            </w:tcMar>
            <w:tcBorders>
              <w:top w:val="none"/>
              <w:left w:val="single" w:sz="24" w:space="0" w:color="0A3641"/>
              <w:bottom w:val="none"/>
              <w:right w:val="none"/>
            </w:tcBorders>
          </w:tcPr>
          <w:p>
            <w:pPr>
              <w:spacing w:before="0" w:after="60" w:line="276" w:lineRule="auto"/>
            </w:pPr>
            <w:r>
              <w:rPr>
                <w:rFonts w:ascii="Calibri" w:hAnsi="Calibri"/>
                <w:b/>
                <w:color w:val="1B365D"/>
                <w:sz w:val="21"/>
              </w:rPr>
              <w:t>📌 GUÍA DIDÁCTICA: ¿QUÉ SIGNIFICAN ESTOS RESULTADOS Y PERCENTILES?</w:t>
              <w:br/>
            </w:r>
          </w:p>
          <w:p>
            <w:pPr>
              <w:spacing w:before="40" w:after="40" w:line="276" w:lineRule="auto"/>
            </w:pPr>
            <w:r>
              <w:rPr>
                <w:rFonts w:ascii="Calibri" w:hAnsi="Calibri"/>
                <w:color w:val="2D3748"/>
                <w:sz w:val="19"/>
              </w:rPr>
              <w:t>1. ¿Qué significa el Top 5% de la Industria?: Significa que la rentabilidad de capital de DECK supera al 95% de sus competidores directos en la industria. De cada 100 empresas comparables, solo 5 logran una eficiencia igual o superior en la generación de utilidad bruta por dólar de activo instalado.</w:t>
            </w:r>
          </w:p>
          <w:p>
            <w:pPr>
              <w:spacing w:before="40" w:after="40" w:line="276" w:lineRule="auto"/>
            </w:pPr>
            <w:r>
              <w:rPr>
                <w:rFonts w:ascii="Calibri" w:hAnsi="Calibri"/>
                <w:color w:val="2D3748"/>
                <w:sz w:val="19"/>
              </w:rPr>
              <w:t>2. ¿Qué significa Gross Profitability de 82.59%?: Por cada $1.00 de activo total en su balance general, la empresa produce $0.83 de utilidad bruta pura al año, antes de deducciones operativas, intereses e impuestos.</w:t>
            </w:r>
          </w:p>
          <w:p>
            <w:pPr>
              <w:spacing w:before="40" w:after="40" w:line="276" w:lineRule="auto"/>
            </w:pPr>
            <w:r>
              <w:rPr>
                <w:rFonts w:ascii="Calibri" w:hAnsi="Calibri"/>
                <w:color w:val="2D3748"/>
                <w:sz w:val="19"/>
              </w:rPr>
              <w:t>3. ¿Qué significa Ex-Caja (140.99%)?: Al excluir el efectivo y valores negociables líquidos (capital ocioso en caja que no produce bienes), el negocio puramente operativo rinde $1.41 por cada dólar en activos operativos en funcionamiento.</w:t>
            </w:r>
          </w:p>
          <w:p>
            <w:pPr>
              <w:spacing w:before="40" w:after="40" w:line="276" w:lineRule="auto"/>
            </w:pPr>
            <w:r>
              <w:rPr>
                <w:rFonts w:ascii="Calibri" w:hAnsi="Calibri"/>
                <w:color w:val="2D3748"/>
                <w:sz w:val="19"/>
              </w:rPr>
              <w:t>4. ¿Qué revela el Cash Drag (+58.41 p.p.)?: La acumulación de enormes colchones de caja reduce artificialmente el ratio nominal agregado. Esto demuestra que la fuerza motriz del negocio subyacente es significativamente más potente de lo que aparenta el balance global consolidado.</w:t>
            </w:r>
          </w:p>
        </w:tc>
      </w:tr>
    </w:tbl>
    <w:p>
      <w:pPr>
        <w:spacing w:after="80"/>
      </w:pP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1632"/>
        <w:gridCol w:w="1632"/>
        <w:gridCol w:w="1632"/>
        <w:gridCol w:w="1632"/>
        <w:gridCol w:w="1632"/>
        <w:gridCol w:w="1632"/>
      </w:tblGrid>
      <w:tr>
        <w:tc>
          <w:tcPr>
            <w:tcW w:type="dxa" w:w="2160"/>
            <w:shd w:fill="1B365D"/>
            <w:tcMar>
              <w:top w:w="90" w:type="dxa"/>
              <w:bottom w:w="90" w:type="dxa"/>
              <w:left w:w="100" w:type="dxa"/>
              <w:right w:w="100" w:type="dxa"/>
            </w:tcMar>
          </w:tcPr>
          <w:p>
            <w:pPr>
              <w:spacing w:before="0" w:after="0"/>
              <w:jc w:val="left"/>
            </w:pPr>
            <w:r>
              <w:rPr>
                <w:rFonts w:ascii="Calibri" w:hAnsi="Calibri"/>
                <w:b/>
                <w:color w:val="FFFFFF"/>
                <w:sz w:val="18"/>
              </w:rPr>
              <w:t>Métrica de Productividad</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LTM</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FY2026</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Mediana Ind.</w:t>
            </w:r>
          </w:p>
        </w:tc>
        <w:tc>
          <w:tcPr>
            <w:tcW w:type="dxa" w:w="1728"/>
            <w:shd w:fill="1B365D"/>
            <w:tcMar>
              <w:top w:w="90" w:type="dxa"/>
              <w:bottom w:w="90" w:type="dxa"/>
              <w:left w:w="100" w:type="dxa"/>
              <w:right w:w="100" w:type="dxa"/>
            </w:tcMar>
          </w:tcPr>
          <w:p>
            <w:pPr>
              <w:spacing w:before="0" w:after="0"/>
              <w:jc w:val="right"/>
            </w:pPr>
            <w:r>
              <w:rPr>
                <w:rFonts w:ascii="Calibri" w:hAnsi="Calibri"/>
                <w:b/>
                <w:color w:val="FFFFFF"/>
                <w:sz w:val="18"/>
              </w:rPr>
              <w:t>Diagnóstico</w:t>
            </w:r>
          </w:p>
        </w:tc>
        <w:tc>
          <w:tcPr>
            <w:tcW w:type="dxa" w:w="2448"/>
            <w:shd w:fill="1B365D"/>
            <w:tcMar>
              <w:top w:w="90" w:type="dxa"/>
              <w:bottom w:w="90" w:type="dxa"/>
              <w:left w:w="100" w:type="dxa"/>
              <w:right w:w="100" w:type="dxa"/>
            </w:tcMar>
          </w:tcPr>
          <w:p>
            <w:pPr>
              <w:spacing w:before="0" w:after="0"/>
              <w:jc w:val="left"/>
            </w:pPr>
            <w:r>
              <w:rPr>
                <w:rFonts w:ascii="Calibri" w:hAnsi="Calibri"/>
                <w:b/>
                <w:color w:val="FFFFFF"/>
                <w:sz w:val="18"/>
              </w:rPr>
              <w:t>Lectura Didáctica</w:t>
            </w:r>
          </w:p>
        </w:tc>
      </w:tr>
      <w:tr>
        <w:tc>
          <w:tcPr>
            <w:tcW w:type="dxa" w:w="2160"/>
            <w:shd w:fill="FFFFFF"/>
            <w:tcMar>
              <w:top w:w="70" w:type="dxa"/>
              <w:bottom w:w="70" w:type="dxa"/>
              <w:left w:w="100" w:type="dxa"/>
              <w:right w:w="100" w:type="dxa"/>
            </w:tcMar>
          </w:tcPr>
          <w:p>
            <w:pPr>
              <w:spacing w:before="0" w:after="0"/>
              <w:jc w:val="left"/>
            </w:pPr>
            <w:r>
              <w:rPr>
                <w:rFonts w:ascii="Calibri" w:hAnsi="Calibri"/>
                <w:b/>
                <w:color w:val="1B365D"/>
                <w:sz w:val="17"/>
              </w:rPr>
              <w:t>GP / Activos Totales (Nominal)</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82.59%</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85.63%</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53.87%</w:t>
            </w:r>
          </w:p>
        </w:tc>
        <w:tc>
          <w:tcPr>
            <w:tcW w:type="dxa" w:w="1728"/>
            <w:shd w:fill="FFFFFF"/>
            <w:tcMar>
              <w:top w:w="70" w:type="dxa"/>
              <w:bottom w:w="70" w:type="dxa"/>
              <w:left w:w="100" w:type="dxa"/>
              <w:right w:w="100" w:type="dxa"/>
            </w:tcMar>
          </w:tcPr>
          <w:p>
            <w:pPr>
              <w:spacing w:before="0" w:after="0"/>
              <w:jc w:val="right"/>
            </w:pPr>
            <w:r>
              <w:rPr>
                <w:rFonts w:ascii="Calibri" w:hAnsi="Calibri"/>
                <w:b/>
                <w:color w:val="1B365D"/>
                <w:sz w:val="17"/>
              </w:rPr>
              <w:t>✅ Top 5% de la Industria</w:t>
            </w:r>
          </w:p>
        </w:tc>
        <w:tc>
          <w:tcPr>
            <w:tcW w:type="dxa" w:w="2448"/>
            <w:shd w:fill="FFFFFF"/>
            <w:tcMar>
              <w:top w:w="70" w:type="dxa"/>
              <w:bottom w:w="70" w:type="dxa"/>
              <w:left w:w="100" w:type="dxa"/>
              <w:right w:w="100" w:type="dxa"/>
            </w:tcMar>
          </w:tcPr>
          <w:p>
            <w:pPr>
              <w:spacing w:before="0" w:after="0"/>
              <w:jc w:val="left"/>
            </w:pPr>
            <w:r>
              <w:rPr>
                <w:rFonts w:ascii="Calibri" w:hAnsi="Calibri"/>
                <w:b/>
                <w:color w:val="1B365D"/>
                <w:sz w:val="17"/>
              </w:rPr>
              <w:t>Genera $0.83 de utilidad bruta por cada $1.00 de activo total.</w:t>
            </w:r>
          </w:p>
        </w:tc>
      </w:tr>
      <w:tr>
        <w:tc>
          <w:tcPr>
            <w:tcW w:type="dxa" w:w="2160"/>
            <w:shd w:fill="F7FAFC"/>
            <w:tcMar>
              <w:top w:w="70" w:type="dxa"/>
              <w:bottom w:w="70" w:type="dxa"/>
              <w:left w:w="100" w:type="dxa"/>
              <w:right w:w="100" w:type="dxa"/>
            </w:tcMar>
          </w:tcPr>
          <w:p>
            <w:pPr>
              <w:spacing w:before="0" w:after="0"/>
              <w:jc w:val="left"/>
            </w:pPr>
            <w:r>
              <w:rPr>
                <w:rFonts w:ascii="Calibri" w:hAnsi="Calibri"/>
                <w:b w:val="0"/>
                <w:color w:val="2D3748"/>
                <w:sz w:val="17"/>
              </w:rPr>
              <w:t>GP / Activos Operativos (Ex-Caja)</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140.99%</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177.35%</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61.74%</w:t>
            </w:r>
          </w:p>
        </w:tc>
        <w:tc>
          <w:tcPr>
            <w:tcW w:type="dxa" w:w="1728"/>
            <w:shd w:fill="F7FAFC"/>
            <w:tcMar>
              <w:top w:w="70" w:type="dxa"/>
              <w:bottom w:w="70" w:type="dxa"/>
              <w:left w:w="100" w:type="dxa"/>
              <w:right w:w="100" w:type="dxa"/>
            </w:tcMar>
          </w:tcPr>
          <w:p>
            <w:pPr>
              <w:spacing w:before="0" w:after="0"/>
              <w:jc w:val="right"/>
            </w:pPr>
            <w:r>
              <w:rPr>
                <w:rFonts w:ascii="Calibri" w:hAnsi="Calibri"/>
                <w:b w:val="0"/>
                <w:color w:val="2D3748"/>
                <w:sz w:val="17"/>
              </w:rPr>
              <w:t>✅ Alta Eficiencia</w:t>
            </w:r>
          </w:p>
        </w:tc>
        <w:tc>
          <w:tcPr>
            <w:tcW w:type="dxa" w:w="2448"/>
            <w:shd w:fill="F7FAFC"/>
            <w:tcMar>
              <w:top w:w="70" w:type="dxa"/>
              <w:bottom w:w="70" w:type="dxa"/>
              <w:left w:w="100" w:type="dxa"/>
              <w:right w:w="100" w:type="dxa"/>
            </w:tcMar>
          </w:tcPr>
          <w:p>
            <w:pPr>
              <w:spacing w:before="0" w:after="0"/>
              <w:jc w:val="left"/>
            </w:pPr>
            <w:r>
              <w:rPr>
                <w:rFonts w:ascii="Calibri" w:hAnsi="Calibri"/>
                <w:b w:val="0"/>
                <w:color w:val="2D3748"/>
                <w:sz w:val="17"/>
              </w:rPr>
              <w:t>Al aislar la caja ociosa, rinde $1.41 por dólar productivo.</w:t>
            </w:r>
          </w:p>
        </w:tc>
      </w:tr>
      <w:tr>
        <w:tc>
          <w:tcPr>
            <w:tcW w:type="dxa" w:w="2160"/>
            <w:shd w:fill="FFFFFF"/>
            <w:tcMar>
              <w:top w:w="70" w:type="dxa"/>
              <w:bottom w:w="70" w:type="dxa"/>
              <w:left w:w="100" w:type="dxa"/>
              <w:right w:w="100" w:type="dxa"/>
            </w:tcMar>
          </w:tcPr>
          <w:p>
            <w:pPr>
              <w:spacing w:before="0" w:after="0"/>
              <w:jc w:val="left"/>
            </w:pPr>
            <w:r>
              <w:rPr>
                <w:rFonts w:ascii="Calibri" w:hAnsi="Calibri"/>
                <w:b w:val="0"/>
                <w:color w:val="2D3748"/>
                <w:sz w:val="17"/>
              </w:rPr>
              <w:t>Efecto Arrastre de Caja (Cash Drag)</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+58.41 pp</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+91.72 pp</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+7.87 pp</w:t>
            </w:r>
          </w:p>
        </w:tc>
        <w:tc>
          <w:tcPr>
            <w:tcW w:type="dxa" w:w="1728"/>
            <w:shd w:fill="FFFFFF"/>
            <w:tcMar>
              <w:top w:w="70" w:type="dxa"/>
              <w:bottom w:w="70" w:type="dxa"/>
              <w:left w:w="100" w:type="dxa"/>
              <w:right w:w="100" w:type="dxa"/>
            </w:tcMar>
          </w:tcPr>
          <w:p>
            <w:pPr>
              <w:spacing w:before="0" w:after="0"/>
              <w:jc w:val="right"/>
            </w:pPr>
            <w:r>
              <w:rPr>
                <w:rFonts w:ascii="Calibri" w:hAnsi="Calibri"/>
                <w:b w:val="0"/>
                <w:color w:val="2D3748"/>
                <w:sz w:val="17"/>
              </w:rPr>
              <w:t>ℹ️ Dilución Solvente</w:t>
            </w:r>
          </w:p>
        </w:tc>
        <w:tc>
          <w:tcPr>
            <w:tcW w:type="dxa" w:w="2448"/>
            <w:shd w:fill="FFFFFF"/>
            <w:tcMar>
              <w:top w:w="70" w:type="dxa"/>
              <w:bottom w:w="70" w:type="dxa"/>
              <w:left w:w="100" w:type="dxa"/>
              <w:right w:w="100" w:type="dxa"/>
            </w:tcMar>
          </w:tcPr>
          <w:p>
            <w:pPr>
              <w:spacing w:before="0" w:after="0"/>
              <w:jc w:val="left"/>
            </w:pPr>
            <w:r>
              <w:rPr>
                <w:rFonts w:ascii="Calibri" w:hAnsi="Calibri"/>
                <w:b w:val="0"/>
                <w:color w:val="2D3748"/>
                <w:sz w:val="17"/>
              </w:rPr>
              <w:t>La acumulación de liquidez deprime el ratio nominal.</w:t>
            </w:r>
          </w:p>
        </w:tc>
      </w:tr>
      <w:tr>
        <w:tc>
          <w:tcPr>
            <w:tcW w:type="dxa" w:w="2160"/>
            <w:shd w:fill="F7FAFC"/>
            <w:tcMar>
              <w:top w:w="70" w:type="dxa"/>
              <w:bottom w:w="70" w:type="dxa"/>
              <w:left w:w="100" w:type="dxa"/>
              <w:right w:w="100" w:type="dxa"/>
            </w:tcMar>
          </w:tcPr>
          <w:p>
            <w:pPr>
              <w:spacing w:before="0" w:after="0"/>
              <w:jc w:val="left"/>
            </w:pPr>
            <w:r>
              <w:rPr>
                <w:rFonts w:ascii="Calibri" w:hAnsi="Calibri"/>
                <w:b w:val="0"/>
                <w:color w:val="2D3748"/>
                <w:sz w:val="17"/>
              </w:rPr>
              <w:t>GP/A Ajustada (De-meaning)</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+28.72 pp</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+31.76 pp</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0.00 pp</w:t>
            </w:r>
          </w:p>
        </w:tc>
        <w:tc>
          <w:tcPr>
            <w:tcW w:type="dxa" w:w="1728"/>
            <w:shd w:fill="F7FAFC"/>
            <w:tcMar>
              <w:top w:w="70" w:type="dxa"/>
              <w:bottom w:w="70" w:type="dxa"/>
              <w:left w:w="100" w:type="dxa"/>
              <w:right w:w="100" w:type="dxa"/>
            </w:tcMar>
          </w:tcPr>
          <w:p>
            <w:pPr>
              <w:spacing w:before="0" w:after="0"/>
              <w:jc w:val="right"/>
            </w:pPr>
            <w:r>
              <w:rPr>
                <w:rFonts w:ascii="Calibri" w:hAnsi="Calibri"/>
                <w:b w:val="0"/>
                <w:color w:val="2D3748"/>
                <w:sz w:val="17"/>
              </w:rPr>
              <w:t>🟢 Ventaja Fuerte</w:t>
            </w:r>
          </w:p>
        </w:tc>
        <w:tc>
          <w:tcPr>
            <w:tcW w:type="dxa" w:w="2448"/>
            <w:shd w:fill="F7FAFC"/>
            <w:tcMar>
              <w:top w:w="70" w:type="dxa"/>
              <w:bottom w:w="70" w:type="dxa"/>
              <w:left w:w="100" w:type="dxa"/>
              <w:right w:w="100" w:type="dxa"/>
            </w:tcMar>
          </w:tcPr>
          <w:p>
            <w:pPr>
              <w:spacing w:before="0" w:after="0"/>
              <w:jc w:val="left"/>
            </w:pPr>
            <w:r>
              <w:rPr>
                <w:rFonts w:ascii="Calibri" w:hAnsi="Calibri"/>
                <w:b w:val="0"/>
                <w:color w:val="2D3748"/>
                <w:sz w:val="17"/>
              </w:rPr>
              <w:t>Supera en +28.72 puntos porcentuales a la mediana del sector.</w:t>
            </w:r>
          </w:p>
        </w:tc>
      </w:tr>
    </w:tbl>
    <w:p>
      <w:pPr>
        <w:spacing w:after="120"/>
      </w:pPr>
    </w:p>
    <w:p>
      <w:pPr>
        <w:keepNext/>
        <w:spacing w:before="240" w:after="80"/>
      </w:pPr>
      <w:r>
        <w:rPr>
          <w:rFonts w:ascii="Calibri" w:hAnsi="Calibri"/>
          <w:b/>
          <w:color w:val="4A5568"/>
          <w:sz w:val="23"/>
        </w:rPr>
        <w:t>Bloque B: Descomposición DuPont de Novy-Marx &amp; Matriz de 4 Cuadrantes</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top w:val="none"/>
              <w:left w:val="single" w:sz="24" w:space="0" w:color="1B365D"/>
              <w:bottom w:val="none"/>
              <w:right w:val="none"/>
            </w:tcBorders>
          </w:tcPr>
          <w:p>
            <w:pPr>
              <w:spacing w:before="0" w:after="60" w:line="276" w:lineRule="auto"/>
            </w:pPr>
            <w:r>
              <w:rPr>
                <w:rFonts w:ascii="Calibri" w:hAnsi="Calibri"/>
                <w:b/>
                <w:color w:val="1B365D"/>
                <w:sz w:val="21"/>
              </w:rPr>
              <w:t>📌 MATRIZ DE DECISIÓN COMPETITIVA: 💎 COMPOUNDER DE ÉLITE (MARGEN + VELOCIDAD)</w:t>
              <w:br/>
            </w:r>
          </w:p>
          <w:p>
            <w:pPr>
              <w:spacing w:before="40" w:after="40" w:line="276" w:lineRule="auto"/>
            </w:pPr>
            <w:r>
              <w:rPr>
                <w:rFonts w:ascii="Calibri" w:hAnsi="Calibri"/>
                <w:color w:val="2D3748"/>
                <w:sz w:val="19"/>
              </w:rPr>
              <w:t>Excelente perfil competitivo: combina un margen bruto por encima de la mediana sectorial (57.8% vs 52.7%) con una rotación de activos superior a sus competidores (1.43x vs 1.10x). La empresa ejerce simultáneamente poder de marca/precios y alta velocidad de conversión de capital.</w:t>
            </w:r>
          </w:p>
          <w:p>
            <w:pPr>
              <w:spacing w:before="40" w:after="40" w:line="276" w:lineRule="auto"/>
            </w:pPr>
            <w:r>
              <w:rPr>
                <w:rFonts w:ascii="Calibri" w:hAnsi="Calibri"/>
                <w:color w:val="2D3748"/>
                <w:sz w:val="19"/>
              </w:rPr>
              <w:t>• Verificación Matemática de Identidad DuPont (LTM):</w:t>
            </w:r>
          </w:p>
          <w:p>
            <w:pPr>
              <w:spacing w:before="40" w:after="40" w:line="276" w:lineRule="auto"/>
            </w:pPr>
            <w:r>
              <w:rPr>
                <w:rFonts w:ascii="Calibri" w:hAnsi="Calibri"/>
                <w:color w:val="2D3748"/>
                <w:sz w:val="19"/>
              </w:rPr>
              <w:t xml:space="preserve">  Margen Bruto (57.80%) × Rotación de Activos (1.429x) = 82.59% (Concilia al 100.0% con GP/A de 82.59%).</w:t>
            </w:r>
          </w:p>
          <w:p>
            <w:pPr>
              <w:spacing w:before="40" w:after="40" w:line="276" w:lineRule="auto"/>
            </w:pPr>
            <w:r>
              <w:rPr>
                <w:rFonts w:ascii="Calibri" w:hAnsi="Calibri"/>
                <w:color w:val="2D3748"/>
                <w:sz w:val="19"/>
              </w:rPr>
              <w:t>• Identidad Operativa Ex-Caja: Margen Bruto (57.80%) × Rotación Ex-Caja (2.439x) = 140.99% (concilia con 140.99%).</w:t>
            </w:r>
          </w:p>
        </w:tc>
      </w:tr>
    </w:tbl>
    <w:p>
      <w:pPr>
        <w:spacing w:after="80"/>
      </w:pP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1632"/>
        <w:gridCol w:w="1632"/>
        <w:gridCol w:w="1632"/>
        <w:gridCol w:w="1632"/>
        <w:gridCol w:w="1632"/>
        <w:gridCol w:w="1632"/>
      </w:tblGrid>
      <w:tr>
        <w:tc>
          <w:tcPr>
            <w:tcW w:type="dxa" w:w="2160"/>
            <w:shd w:fill="1B365D"/>
            <w:tcMar>
              <w:top w:w="90" w:type="dxa"/>
              <w:bottom w:w="90" w:type="dxa"/>
              <w:left w:w="100" w:type="dxa"/>
              <w:right w:w="100" w:type="dxa"/>
            </w:tcMar>
          </w:tcPr>
          <w:p>
            <w:pPr>
              <w:spacing w:before="0" w:after="0"/>
              <w:jc w:val="left"/>
            </w:pPr>
            <w:r>
              <w:rPr>
                <w:rFonts w:ascii="Calibri" w:hAnsi="Calibri"/>
                <w:b/>
                <w:color w:val="FFFFFF"/>
                <w:sz w:val="18"/>
              </w:rPr>
              <w:t>Palanca DuPont</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LTM</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FY2026</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Mediana Ind.</w:t>
            </w:r>
          </w:p>
        </w:tc>
        <w:tc>
          <w:tcPr>
            <w:tcW w:type="dxa" w:w="1728"/>
            <w:shd w:fill="1B365D"/>
            <w:tcMar>
              <w:top w:w="90" w:type="dxa"/>
              <w:bottom w:w="90" w:type="dxa"/>
              <w:left w:w="100" w:type="dxa"/>
              <w:right w:w="100" w:type="dxa"/>
            </w:tcMar>
          </w:tcPr>
          <w:p>
            <w:pPr>
              <w:spacing w:before="0" w:after="0"/>
              <w:jc w:val="right"/>
            </w:pPr>
            <w:r>
              <w:rPr>
                <w:rFonts w:ascii="Calibri" w:hAnsi="Calibri"/>
                <w:b/>
                <w:color w:val="FFFFFF"/>
                <w:sz w:val="18"/>
              </w:rPr>
              <w:t>Estatus vs Mediana</w:t>
            </w:r>
          </w:p>
        </w:tc>
        <w:tc>
          <w:tcPr>
            <w:tcW w:type="dxa" w:w="2448"/>
            <w:shd w:fill="1B365D"/>
            <w:tcMar>
              <w:top w:w="90" w:type="dxa"/>
              <w:bottom w:w="90" w:type="dxa"/>
              <w:left w:w="100" w:type="dxa"/>
              <w:right w:w="100" w:type="dxa"/>
            </w:tcMar>
          </w:tcPr>
          <w:p>
            <w:pPr>
              <w:spacing w:before="0" w:after="0"/>
              <w:jc w:val="left"/>
            </w:pPr>
            <w:r>
              <w:rPr>
                <w:rFonts w:ascii="Calibri" w:hAnsi="Calibri"/>
                <w:b/>
                <w:color w:val="FFFFFF"/>
                <w:sz w:val="18"/>
              </w:rPr>
              <w:t>Implicación Estratégica</w:t>
            </w:r>
          </w:p>
        </w:tc>
      </w:tr>
      <w:tr>
        <w:tc>
          <w:tcPr>
            <w:tcW w:type="dxa" w:w="2160"/>
            <w:shd w:fill="FFFFFF"/>
            <w:tcMar>
              <w:top w:w="70" w:type="dxa"/>
              <w:bottom w:w="70" w:type="dxa"/>
              <w:left w:w="100" w:type="dxa"/>
              <w:right w:w="100" w:type="dxa"/>
            </w:tcMar>
          </w:tcPr>
          <w:p>
            <w:pPr>
              <w:spacing w:before="0" w:after="0"/>
              <w:jc w:val="left"/>
            </w:pPr>
            <w:r>
              <w:rPr>
                <w:rFonts w:ascii="Calibri" w:hAnsi="Calibri"/>
                <w:b w:val="0"/>
                <w:color w:val="2D3748"/>
                <w:sz w:val="17"/>
              </w:rPr>
              <w:t>Margen Bruto (Utilidad Bruta / Ventas)</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57.80%</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57.70%</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52.70%</w:t>
            </w:r>
          </w:p>
        </w:tc>
        <w:tc>
          <w:tcPr>
            <w:tcW w:type="dxa" w:w="1728"/>
            <w:shd w:fill="FFFFFF"/>
            <w:tcMar>
              <w:top w:w="70" w:type="dxa"/>
              <w:bottom w:w="70" w:type="dxa"/>
              <w:left w:w="100" w:type="dxa"/>
              <w:right w:w="100" w:type="dxa"/>
            </w:tcMar>
          </w:tcPr>
          <w:p>
            <w:pPr>
              <w:spacing w:before="0" w:after="0"/>
              <w:jc w:val="right"/>
            </w:pPr>
            <w:r>
              <w:rPr>
                <w:rFonts w:ascii="Calibri" w:hAnsi="Calibri"/>
                <w:b w:val="0"/>
                <w:color w:val="2D3748"/>
                <w:sz w:val="17"/>
              </w:rPr>
              <w:t>+5.10 pp</w:t>
            </w:r>
          </w:p>
        </w:tc>
        <w:tc>
          <w:tcPr>
            <w:tcW w:type="dxa" w:w="2448"/>
            <w:shd w:fill="FFFFFF"/>
            <w:tcMar>
              <w:top w:w="70" w:type="dxa"/>
              <w:bottom w:w="70" w:type="dxa"/>
              <w:left w:w="100" w:type="dxa"/>
              <w:right w:w="100" w:type="dxa"/>
            </w:tcMar>
          </w:tcPr>
          <w:p>
            <w:pPr>
              <w:spacing w:before="0" w:after="0"/>
              <w:jc w:val="left"/>
            </w:pPr>
            <w:r>
              <w:rPr>
                <w:rFonts w:ascii="Calibri" w:hAnsi="Calibri"/>
                <w:b w:val="0"/>
                <w:color w:val="2D3748"/>
                <w:sz w:val="17"/>
              </w:rPr>
              <w:t>Pricing power, lealtad de clientes y disciplina de costes directos.</w:t>
            </w:r>
          </w:p>
        </w:tc>
      </w:tr>
      <w:tr>
        <w:tc>
          <w:tcPr>
            <w:tcW w:type="dxa" w:w="2160"/>
            <w:shd w:fill="F7FAFC"/>
            <w:tcMar>
              <w:top w:w="70" w:type="dxa"/>
              <w:bottom w:w="70" w:type="dxa"/>
              <w:left w:w="100" w:type="dxa"/>
              <w:right w:w="100" w:type="dxa"/>
            </w:tcMar>
          </w:tcPr>
          <w:p>
            <w:pPr>
              <w:spacing w:before="0" w:after="0"/>
              <w:jc w:val="left"/>
            </w:pPr>
            <w:r>
              <w:rPr>
                <w:rFonts w:ascii="Calibri" w:hAnsi="Calibri"/>
                <w:b/>
                <w:color w:val="1B365D"/>
                <w:sz w:val="17"/>
              </w:rPr>
              <w:t>Rotación Activos Totales (Ventas / Activos)</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1.429x</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1.484x</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1.097x</w:t>
            </w:r>
          </w:p>
        </w:tc>
        <w:tc>
          <w:tcPr>
            <w:tcW w:type="dxa" w:w="1728"/>
            <w:shd w:fill="F7FAFC"/>
            <w:tcMar>
              <w:top w:w="70" w:type="dxa"/>
              <w:bottom w:w="70" w:type="dxa"/>
              <w:left w:w="100" w:type="dxa"/>
              <w:right w:w="100" w:type="dxa"/>
            </w:tcMar>
          </w:tcPr>
          <w:p>
            <w:pPr>
              <w:spacing w:before="0" w:after="0"/>
              <w:jc w:val="right"/>
            </w:pPr>
            <w:r>
              <w:rPr>
                <w:rFonts w:ascii="Calibri" w:hAnsi="Calibri"/>
                <w:b/>
                <w:color w:val="1B365D"/>
                <w:sz w:val="17"/>
              </w:rPr>
              <w:t>+0.33x</w:t>
            </w:r>
          </w:p>
        </w:tc>
        <w:tc>
          <w:tcPr>
            <w:tcW w:type="dxa" w:w="2448"/>
            <w:shd w:fill="F7FAFC"/>
            <w:tcMar>
              <w:top w:w="70" w:type="dxa"/>
              <w:bottom w:w="70" w:type="dxa"/>
              <w:left w:w="100" w:type="dxa"/>
              <w:right w:w="100" w:type="dxa"/>
            </w:tcMar>
          </w:tcPr>
          <w:p>
            <w:pPr>
              <w:spacing w:before="0" w:after="0"/>
              <w:jc w:val="left"/>
            </w:pPr>
            <w:r>
              <w:rPr>
                <w:rFonts w:ascii="Calibri" w:hAnsi="Calibri"/>
                <w:b/>
                <w:color w:val="1B365D"/>
                <w:sz w:val="17"/>
              </w:rPr>
              <w:t>Velocidad de comercialización y aprovechamiento del capital instalado.</w:t>
            </w:r>
          </w:p>
        </w:tc>
      </w:tr>
      <w:tr>
        <w:tc>
          <w:tcPr>
            <w:tcW w:type="dxa" w:w="2160"/>
            <w:shd w:fill="FFFFFF"/>
            <w:tcMar>
              <w:top w:w="70" w:type="dxa"/>
              <w:bottom w:w="70" w:type="dxa"/>
              <w:left w:w="100" w:type="dxa"/>
              <w:right w:w="100" w:type="dxa"/>
            </w:tcMar>
          </w:tcPr>
          <w:p>
            <w:pPr>
              <w:spacing w:before="0" w:after="0"/>
              <w:jc w:val="left"/>
            </w:pPr>
            <w:r>
              <w:rPr>
                <w:rFonts w:ascii="Calibri" w:hAnsi="Calibri"/>
                <w:b w:val="0"/>
                <w:color w:val="2D3748"/>
                <w:sz w:val="17"/>
              </w:rPr>
              <w:t>Rotación Activos Ex-Caja (Ventas / Act. Operativos)</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2.439x</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3.073x</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1.206x</w:t>
            </w:r>
          </w:p>
        </w:tc>
        <w:tc>
          <w:tcPr>
            <w:tcW w:type="dxa" w:w="1728"/>
            <w:shd w:fill="FFFFFF"/>
            <w:tcMar>
              <w:top w:w="70" w:type="dxa"/>
              <w:bottom w:w="70" w:type="dxa"/>
              <w:left w:w="100" w:type="dxa"/>
              <w:right w:w="100" w:type="dxa"/>
            </w:tcMar>
          </w:tcPr>
          <w:p>
            <w:pPr>
              <w:spacing w:before="0" w:after="0"/>
              <w:jc w:val="right"/>
            </w:pPr>
            <w:r>
              <w:rPr>
                <w:rFonts w:ascii="Calibri" w:hAnsi="Calibri"/>
                <w:b w:val="0"/>
                <w:color w:val="2D3748"/>
                <w:sz w:val="17"/>
              </w:rPr>
              <w:t>Expansión Operativa</w:t>
            </w:r>
          </w:p>
        </w:tc>
        <w:tc>
          <w:tcPr>
            <w:tcW w:type="dxa" w:w="2448"/>
            <w:shd w:fill="FFFFFF"/>
            <w:tcMar>
              <w:top w:w="70" w:type="dxa"/>
              <w:bottom w:w="70" w:type="dxa"/>
              <w:left w:w="100" w:type="dxa"/>
              <w:right w:w="100" w:type="dxa"/>
            </w:tcMar>
          </w:tcPr>
          <w:p>
            <w:pPr>
              <w:spacing w:before="0" w:after="0"/>
              <w:jc w:val="left"/>
            </w:pPr>
            <w:r>
              <w:rPr>
                <w:rFonts w:ascii="Calibri" w:hAnsi="Calibri"/>
                <w:b w:val="0"/>
                <w:color w:val="2D3748"/>
                <w:sz w:val="17"/>
              </w:rPr>
              <w:t>Velocidad pura del capital en planta, logística y desarrollo.</w:t>
            </w:r>
          </w:p>
        </w:tc>
      </w:tr>
      <w:tr>
        <w:tc>
          <w:tcPr>
            <w:tcW w:type="dxa" w:w="2160"/>
            <w:shd w:fill="F7FAFC"/>
            <w:tcMar>
              <w:top w:w="70" w:type="dxa"/>
              <w:bottom w:w="70" w:type="dxa"/>
              <w:left w:w="100" w:type="dxa"/>
              <w:right w:w="100" w:type="dxa"/>
            </w:tcMar>
          </w:tcPr>
          <w:p>
            <w:pPr>
              <w:spacing w:before="0" w:after="0"/>
              <w:jc w:val="left"/>
            </w:pPr>
            <w:r>
              <w:rPr>
                <w:rFonts w:ascii="Calibri" w:hAnsi="Calibri"/>
                <w:b/>
                <w:color w:val="1B365D"/>
                <w:sz w:val="17"/>
              </w:rPr>
              <w:t>PRODUCTIVIDAD CONSOLIDADA (GP/A)</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82.59%</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85.63%</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53.87%</w:t>
            </w:r>
          </w:p>
        </w:tc>
        <w:tc>
          <w:tcPr>
            <w:tcW w:type="dxa" w:w="1728"/>
            <w:shd w:fill="F7FAFC"/>
            <w:tcMar>
              <w:top w:w="70" w:type="dxa"/>
              <w:bottom w:w="70" w:type="dxa"/>
              <w:left w:w="100" w:type="dxa"/>
              <w:right w:w="100" w:type="dxa"/>
            </w:tcMar>
          </w:tcPr>
          <w:p>
            <w:pPr>
              <w:spacing w:before="0" w:after="0"/>
              <w:jc w:val="right"/>
            </w:pPr>
            <w:r>
              <w:rPr>
                <w:rFonts w:ascii="Calibri" w:hAnsi="Calibri"/>
                <w:b/>
                <w:color w:val="1B365D"/>
                <w:sz w:val="17"/>
              </w:rPr>
              <w:t>+28.72 pp</w:t>
            </w:r>
          </w:p>
        </w:tc>
        <w:tc>
          <w:tcPr>
            <w:tcW w:type="dxa" w:w="2448"/>
            <w:shd w:fill="F7FAFC"/>
            <w:tcMar>
              <w:top w:w="70" w:type="dxa"/>
              <w:bottom w:w="70" w:type="dxa"/>
              <w:left w:w="100" w:type="dxa"/>
              <w:right w:w="100" w:type="dxa"/>
            </w:tcMar>
          </w:tcPr>
          <w:p>
            <w:pPr>
              <w:spacing w:before="0" w:after="0"/>
              <w:jc w:val="left"/>
            </w:pPr>
            <w:r>
              <w:rPr>
                <w:rFonts w:ascii="Calibri" w:hAnsi="Calibri"/>
                <w:b/>
                <w:color w:val="1B365D"/>
                <w:sz w:val="17"/>
              </w:rPr>
              <w:t>CAPITAL PRODUCTIVO DE MÁXIMA GENERACIÓN ECONÓMICA.</w:t>
            </w:r>
          </w:p>
        </w:tc>
      </w:tr>
    </w:tbl>
    <w:p>
      <w:pPr>
        <w:spacing w:after="120"/>
      </w:pPr>
    </w:p>
    <w:p>
      <w:pPr>
        <w:keepNext/>
        <w:spacing w:before="240" w:after="80"/>
      </w:pPr>
      <w:r>
        <w:rPr>
          <w:rFonts w:ascii="Calibri" w:hAnsi="Calibri"/>
          <w:b/>
          <w:color w:val="4A5568"/>
          <w:sz w:val="23"/>
        </w:rPr>
        <w:t>Bloque C: Evolución Histórica Multianual y Consistencia de Tendencia</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top w:val="none"/>
              <w:left w:val="single" w:sz="24" w:space="0" w:color="1B365D"/>
              <w:bottom w:val="none"/>
              <w:right w:val="none"/>
            </w:tcBorders>
          </w:tcPr>
          <w:p>
            <w:pPr>
              <w:spacing w:before="0" w:after="60" w:line="276" w:lineRule="auto"/>
            </w:pPr>
            <w:r>
              <w:rPr>
                <w:rFonts w:ascii="Calibri" w:hAnsi="Calibri"/>
                <w:b/>
                <w:color w:val="1B365D"/>
                <w:sz w:val="21"/>
              </w:rPr>
              <w:t>📌 DIAGNÓSTICO DE SOSTENIBILIDAD TEMPORAL</w:t>
              <w:br/>
            </w:r>
          </w:p>
          <w:p>
            <w:pPr>
              <w:spacing w:before="40" w:after="40" w:line="276" w:lineRule="auto"/>
            </w:pPr>
            <w:r>
              <w:rPr>
                <w:rFonts w:ascii="Calibri" w:hAnsi="Calibri"/>
                <w:color w:val="2D3748"/>
                <w:sz w:val="19"/>
              </w:rPr>
              <w:t>• Expansión a 3 Años (vs. FY2024): +6.51 puntos porcentuales.</w:t>
            </w:r>
          </w:p>
          <w:p>
            <w:pPr>
              <w:spacing w:before="40" w:after="40" w:line="276" w:lineRule="auto"/>
            </w:pPr>
            <w:r>
              <w:rPr>
                <w:rFonts w:ascii="Calibri" w:hAnsi="Calibri"/>
                <w:color w:val="2D3748"/>
                <w:sz w:val="19"/>
              </w:rPr>
              <w:t>• Expansión a 5 Años (vs. FY2022): +13.66 puntos porcentuales.</w:t>
            </w:r>
          </w:p>
          <w:p>
            <w:pPr>
              <w:spacing w:before="40" w:after="40" w:line="276" w:lineRule="auto"/>
            </w:pPr>
            <w:r>
              <w:rPr>
                <w:rFonts w:ascii="Calibri" w:hAnsi="Calibri"/>
                <w:color w:val="2D3748"/>
                <w:sz w:val="19"/>
              </w:rPr>
              <w:t>• Coeficiente de Variación (CV GP/A): 0.089 (indica una trayectoria predecible y baja volatilidad operativa).</w:t>
            </w:r>
          </w:p>
          <w:p>
            <w:pPr>
              <w:spacing w:before="40" w:after="40" w:line="276" w:lineRule="auto"/>
            </w:pPr>
            <w:r>
              <w:rPr>
                <w:rFonts w:ascii="Calibri" w:hAnsi="Calibri"/>
                <w:color w:val="2D3748"/>
                <w:sz w:val="19"/>
              </w:rPr>
              <w:t>• Conclusión de Tendencia: Expansión estructural acelerada (+13.66 p.p. en 5 años); aumento continuo de la productividad pura de capital.</w:t>
            </w:r>
          </w:p>
        </w:tc>
      </w:tr>
    </w:tbl>
    <w:p>
      <w:pPr>
        <w:spacing w:after="80"/>
      </w:pP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1399"/>
        <w:gridCol w:w="1399"/>
        <w:gridCol w:w="1399"/>
        <w:gridCol w:w="1399"/>
        <w:gridCol w:w="1399"/>
        <w:gridCol w:w="1399"/>
        <w:gridCol w:w="1399"/>
      </w:tblGrid>
      <w:tr>
        <w:tc>
          <w:tcPr>
            <w:tcW w:type="dxa" w:w="1440"/>
            <w:shd w:fill="1B365D"/>
            <w:tcMar>
              <w:top w:w="90" w:type="dxa"/>
              <w:bottom w:w="90" w:type="dxa"/>
              <w:left w:w="100" w:type="dxa"/>
              <w:right w:w="100" w:type="dxa"/>
            </w:tcMar>
          </w:tcPr>
          <w:p>
            <w:pPr>
              <w:spacing w:before="0" w:after="0"/>
              <w:jc w:val="left"/>
            </w:pPr>
            <w:r>
              <w:rPr>
                <w:rFonts w:ascii="Calibri" w:hAnsi="Calibri"/>
                <w:b/>
                <w:color w:val="FFFFFF"/>
                <w:sz w:val="18"/>
              </w:rPr>
              <w:t>Período Fiscal</w:t>
            </w:r>
          </w:p>
        </w:tc>
        <w:tc>
          <w:tcPr>
            <w:tcW w:type="dxa" w:w="1440"/>
            <w:shd w:fill="1B365D"/>
            <w:tcMar>
              <w:top w:w="90" w:type="dxa"/>
              <w:bottom w:w="90" w:type="dxa"/>
              <w:left w:w="100" w:type="dxa"/>
              <w:right w:w="100" w:type="dxa"/>
            </w:tcMar>
          </w:tcPr>
          <w:p>
            <w:pPr>
              <w:spacing w:before="0" w:after="0"/>
              <w:jc w:val="right"/>
            </w:pPr>
            <w:r>
              <w:rPr>
                <w:rFonts w:ascii="Calibri" w:hAnsi="Calibri"/>
                <w:b/>
                <w:color w:val="FFFFFF"/>
                <w:sz w:val="18"/>
              </w:rPr>
              <w:t>GP / Activos (%)</w:t>
            </w:r>
          </w:p>
        </w:tc>
        <w:tc>
          <w:tcPr>
            <w:tcW w:type="dxa" w:w="1440"/>
            <w:shd w:fill="1B365D"/>
            <w:tcMar>
              <w:top w:w="90" w:type="dxa"/>
              <w:bottom w:w="90" w:type="dxa"/>
              <w:left w:w="100" w:type="dxa"/>
              <w:right w:w="100" w:type="dxa"/>
            </w:tcMar>
          </w:tcPr>
          <w:p>
            <w:pPr>
              <w:spacing w:before="0" w:after="0"/>
              <w:jc w:val="right"/>
            </w:pPr>
            <w:r>
              <w:rPr>
                <w:rFonts w:ascii="Calibri" w:hAnsi="Calibri"/>
                <w:b/>
                <w:color w:val="FFFFFF"/>
                <w:sz w:val="18"/>
              </w:rPr>
              <w:t>GP Ex-Caja (%)</w:t>
            </w:r>
          </w:p>
        </w:tc>
        <w:tc>
          <w:tcPr>
            <w:tcW w:type="dxa" w:w="1296"/>
            <w:shd w:fill="1B365D"/>
            <w:tcMar>
              <w:top w:w="90" w:type="dxa"/>
              <w:bottom w:w="90" w:type="dxa"/>
              <w:left w:w="100" w:type="dxa"/>
              <w:right w:w="100" w:type="dxa"/>
            </w:tcMar>
          </w:tcPr>
          <w:p>
            <w:pPr>
              <w:spacing w:before="0" w:after="0"/>
              <w:jc w:val="right"/>
            </w:pPr>
            <w:r>
              <w:rPr>
                <w:rFonts w:ascii="Calibri" w:hAnsi="Calibri"/>
                <w:b/>
                <w:color w:val="FFFFFF"/>
                <w:sz w:val="18"/>
              </w:rPr>
              <w:t>Cash Drag (pp)</w:t>
            </w:r>
          </w:p>
        </w:tc>
        <w:tc>
          <w:tcPr>
            <w:tcW w:type="dxa" w:w="1440"/>
            <w:shd w:fill="1B365D"/>
            <w:tcMar>
              <w:top w:w="90" w:type="dxa"/>
              <w:bottom w:w="90" w:type="dxa"/>
              <w:left w:w="100" w:type="dxa"/>
              <w:right w:w="100" w:type="dxa"/>
            </w:tcMar>
          </w:tcPr>
          <w:p>
            <w:pPr>
              <w:spacing w:before="0" w:after="0"/>
              <w:jc w:val="right"/>
            </w:pPr>
            <w:r>
              <w:rPr>
                <w:rFonts w:ascii="Calibri" w:hAnsi="Calibri"/>
                <w:b/>
                <w:color w:val="FFFFFF"/>
                <w:sz w:val="18"/>
              </w:rPr>
              <w:t>Margen Bruto (%)</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Rotación (x)</w:t>
            </w:r>
          </w:p>
        </w:tc>
        <w:tc>
          <w:tcPr>
            <w:tcW w:type="dxa" w:w="1584"/>
            <w:shd w:fill="1B365D"/>
            <w:tcMar>
              <w:top w:w="90" w:type="dxa"/>
              <w:bottom w:w="90" w:type="dxa"/>
              <w:left w:w="100" w:type="dxa"/>
              <w:right w:w="100" w:type="dxa"/>
            </w:tcMar>
          </w:tcPr>
          <w:p>
            <w:pPr>
              <w:spacing w:before="0" w:after="0"/>
              <w:jc w:val="left"/>
            </w:pPr>
            <w:r>
              <w:rPr>
                <w:rFonts w:ascii="Calibri" w:hAnsi="Calibri"/>
                <w:b/>
                <w:color w:val="FFFFFF"/>
                <w:sz w:val="18"/>
              </w:rPr>
              <w:t>Cuadrante Estratégico</w:t>
            </w:r>
          </w:p>
        </w:tc>
      </w:tr>
      <w:tr>
        <w:tc>
          <w:tcPr>
            <w:tcW w:type="dxa" w:w="1440"/>
            <w:shd w:fill="FFFFFF"/>
            <w:tcMar>
              <w:top w:w="70" w:type="dxa"/>
              <w:bottom w:w="70" w:type="dxa"/>
              <w:left w:w="100" w:type="dxa"/>
              <w:right w:w="100" w:type="dxa"/>
            </w:tcMar>
          </w:tcPr>
          <w:p>
            <w:pPr>
              <w:spacing w:before="0" w:after="0"/>
              <w:jc w:val="left"/>
            </w:pPr>
            <w:r>
              <w:rPr>
                <w:rFonts w:ascii="Calibri" w:hAnsi="Calibri"/>
                <w:b/>
                <w:color w:val="1B365D"/>
                <w:sz w:val="17"/>
              </w:rPr>
              <w:t>LTM</w:t>
            </w:r>
          </w:p>
        </w:tc>
        <w:tc>
          <w:tcPr>
            <w:tcW w:type="dxa" w:w="1440"/>
            <w:shd w:fill="FFFFFF"/>
            <w:tcMar>
              <w:top w:w="70" w:type="dxa"/>
              <w:bottom w:w="70" w:type="dxa"/>
              <w:left w:w="100" w:type="dxa"/>
              <w:right w:w="100" w:type="dxa"/>
            </w:tcMar>
          </w:tcPr>
          <w:p>
            <w:pPr>
              <w:spacing w:before="0" w:after="0"/>
              <w:jc w:val="right"/>
            </w:pPr>
            <w:r>
              <w:rPr>
                <w:rFonts w:ascii="Calibri" w:hAnsi="Calibri"/>
                <w:b/>
                <w:color w:val="1B365D"/>
                <w:sz w:val="17"/>
              </w:rPr>
              <w:t>82.59%</w:t>
            </w:r>
          </w:p>
        </w:tc>
        <w:tc>
          <w:tcPr>
            <w:tcW w:type="dxa" w:w="1440"/>
            <w:shd w:fill="FFFFFF"/>
            <w:tcMar>
              <w:top w:w="70" w:type="dxa"/>
              <w:bottom w:w="70" w:type="dxa"/>
              <w:left w:w="100" w:type="dxa"/>
              <w:right w:w="100" w:type="dxa"/>
            </w:tcMar>
          </w:tcPr>
          <w:p>
            <w:pPr>
              <w:spacing w:before="0" w:after="0"/>
              <w:jc w:val="right"/>
            </w:pPr>
            <w:r>
              <w:rPr>
                <w:rFonts w:ascii="Calibri" w:hAnsi="Calibri"/>
                <w:b/>
                <w:color w:val="1B365D"/>
                <w:sz w:val="17"/>
              </w:rPr>
              <w:t>140.99%</w:t>
            </w:r>
          </w:p>
        </w:tc>
        <w:tc>
          <w:tcPr>
            <w:tcW w:type="dxa" w:w="1296"/>
            <w:shd w:fill="FFFFFF"/>
            <w:tcMar>
              <w:top w:w="70" w:type="dxa"/>
              <w:bottom w:w="70" w:type="dxa"/>
              <w:left w:w="100" w:type="dxa"/>
              <w:right w:w="100" w:type="dxa"/>
            </w:tcMar>
          </w:tcPr>
          <w:p>
            <w:pPr>
              <w:spacing w:before="0" w:after="0"/>
              <w:jc w:val="right"/>
            </w:pPr>
            <w:r>
              <w:rPr>
                <w:rFonts w:ascii="Calibri" w:hAnsi="Calibri"/>
                <w:b/>
                <w:color w:val="1B365D"/>
                <w:sz w:val="17"/>
              </w:rPr>
              <w:t>+58.41 pp</w:t>
            </w:r>
          </w:p>
        </w:tc>
        <w:tc>
          <w:tcPr>
            <w:tcW w:type="dxa" w:w="1440"/>
            <w:shd w:fill="FFFFFF"/>
            <w:tcMar>
              <w:top w:w="70" w:type="dxa"/>
              <w:bottom w:w="70" w:type="dxa"/>
              <w:left w:w="100" w:type="dxa"/>
              <w:right w:w="100" w:type="dxa"/>
            </w:tcMar>
          </w:tcPr>
          <w:p>
            <w:pPr>
              <w:spacing w:before="0" w:after="0"/>
              <w:jc w:val="right"/>
            </w:pPr>
            <w:r>
              <w:rPr>
                <w:rFonts w:ascii="Calibri" w:hAnsi="Calibri"/>
                <w:b/>
                <w:color w:val="1B365D"/>
                <w:sz w:val="17"/>
              </w:rPr>
              <w:t>57.80%</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1.429x</w:t>
            </w:r>
          </w:p>
        </w:tc>
        <w:tc>
          <w:tcPr>
            <w:tcW w:type="dxa" w:w="1584"/>
            <w:shd w:fill="FFFFFF"/>
            <w:tcMar>
              <w:top w:w="70" w:type="dxa"/>
              <w:bottom w:w="70" w:type="dxa"/>
              <w:left w:w="100" w:type="dxa"/>
              <w:right w:w="100" w:type="dxa"/>
            </w:tcMar>
          </w:tcPr>
          <w:p>
            <w:pPr>
              <w:spacing w:before="0" w:after="0"/>
              <w:jc w:val="left"/>
            </w:pPr>
            <w:r>
              <w:rPr>
                <w:rFonts w:ascii="Calibri" w:hAnsi="Calibri"/>
                <w:b/>
                <w:color w:val="1B365D"/>
                <w:sz w:val="17"/>
              </w:rPr>
              <w:t>COMPOUNDER DE ÉLITE</w:t>
            </w:r>
          </w:p>
        </w:tc>
      </w:tr>
      <w:tr>
        <w:tc>
          <w:tcPr>
            <w:tcW w:type="dxa" w:w="1440"/>
            <w:shd w:fill="F7FAFC"/>
            <w:tcMar>
              <w:top w:w="70" w:type="dxa"/>
              <w:bottom w:w="70" w:type="dxa"/>
              <w:left w:w="100" w:type="dxa"/>
              <w:right w:w="100" w:type="dxa"/>
            </w:tcMar>
          </w:tcPr>
          <w:p>
            <w:pPr>
              <w:spacing w:before="0" w:after="0"/>
              <w:jc w:val="left"/>
            </w:pPr>
            <w:r>
              <w:rPr>
                <w:rFonts w:ascii="Calibri" w:hAnsi="Calibri"/>
                <w:b w:val="0"/>
                <w:color w:val="2D3748"/>
                <w:sz w:val="17"/>
              </w:rPr>
              <w:t>FY2026</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85.63%</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177.35%</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+91.72 pp</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57.70%</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1.484x</w:t>
            </w:r>
          </w:p>
        </w:tc>
        <w:tc>
          <w:tcPr>
            <w:tcW w:type="dxa" w:w="1584"/>
            <w:shd w:fill="F7FAFC"/>
            <w:tcMar>
              <w:top w:w="70" w:type="dxa"/>
              <w:bottom w:w="70" w:type="dxa"/>
              <w:left w:w="100" w:type="dxa"/>
              <w:right w:w="100" w:type="dxa"/>
            </w:tcMar>
          </w:tcPr>
          <w:p>
            <w:pPr>
              <w:spacing w:before="0" w:after="0"/>
              <w:jc w:val="left"/>
            </w:pPr>
            <w:r>
              <w:rPr>
                <w:rFonts w:ascii="Calibri" w:hAnsi="Calibri"/>
                <w:b w:val="0"/>
                <w:color w:val="2D3748"/>
                <w:sz w:val="17"/>
              </w:rPr>
              <w:t>COMPOUNDER DE ÉLITE</w:t>
            </w:r>
          </w:p>
        </w:tc>
      </w:tr>
      <w:tr>
        <w:tc>
          <w:tcPr>
            <w:tcW w:type="dxa" w:w="1440"/>
            <w:shd w:fill="FFFFFF"/>
            <w:tcMar>
              <w:top w:w="70" w:type="dxa"/>
              <w:bottom w:w="70" w:type="dxa"/>
              <w:left w:w="100" w:type="dxa"/>
              <w:right w:w="100" w:type="dxa"/>
            </w:tcMar>
          </w:tcPr>
          <w:p>
            <w:pPr>
              <w:spacing w:before="0" w:after="0"/>
              <w:jc w:val="left"/>
            </w:pPr>
            <w:r>
              <w:rPr>
                <w:rFonts w:ascii="Calibri" w:hAnsi="Calibri"/>
                <w:b w:val="0"/>
                <w:color w:val="2D3748"/>
                <w:sz w:val="17"/>
              </w:rPr>
              <w:t>FY2025</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80.83%</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171.66%</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+90.83 pp</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57.88%</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1.396x</w:t>
            </w:r>
          </w:p>
        </w:tc>
        <w:tc>
          <w:tcPr>
            <w:tcW w:type="dxa" w:w="1584"/>
            <w:shd w:fill="FFFFFF"/>
            <w:tcMar>
              <w:top w:w="70" w:type="dxa"/>
              <w:bottom w:w="70" w:type="dxa"/>
              <w:left w:w="100" w:type="dxa"/>
              <w:right w:w="100" w:type="dxa"/>
            </w:tcMar>
          </w:tcPr>
          <w:p>
            <w:pPr>
              <w:spacing w:before="0" w:after="0"/>
              <w:jc w:val="left"/>
            </w:pPr>
            <w:r>
              <w:rPr>
                <w:rFonts w:ascii="Calibri" w:hAnsi="Calibri"/>
                <w:b w:val="0"/>
                <w:color w:val="2D3748"/>
                <w:sz w:val="17"/>
              </w:rPr>
              <w:t>COMPOUNDER DE ÉLITE</w:t>
            </w:r>
          </w:p>
        </w:tc>
      </w:tr>
      <w:tr>
        <w:tc>
          <w:tcPr>
            <w:tcW w:type="dxa" w:w="1440"/>
            <w:shd w:fill="F7FAFC"/>
            <w:tcMar>
              <w:top w:w="70" w:type="dxa"/>
              <w:bottom w:w="70" w:type="dxa"/>
              <w:left w:w="100" w:type="dxa"/>
              <w:right w:w="100" w:type="dxa"/>
            </w:tcMar>
          </w:tcPr>
          <w:p>
            <w:pPr>
              <w:spacing w:before="0" w:after="0"/>
              <w:jc w:val="left"/>
            </w:pPr>
            <w:r>
              <w:rPr>
                <w:rFonts w:ascii="Calibri" w:hAnsi="Calibri"/>
                <w:b w:val="0"/>
                <w:color w:val="2D3748"/>
                <w:sz w:val="17"/>
              </w:rPr>
              <w:t>FY2024</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76.08%</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146.03%</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+69.95 pp</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55.63%</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1.367x</w:t>
            </w:r>
          </w:p>
        </w:tc>
        <w:tc>
          <w:tcPr>
            <w:tcW w:type="dxa" w:w="1584"/>
            <w:shd w:fill="F7FAFC"/>
            <w:tcMar>
              <w:top w:w="70" w:type="dxa"/>
              <w:bottom w:w="70" w:type="dxa"/>
              <w:left w:w="100" w:type="dxa"/>
              <w:right w:w="100" w:type="dxa"/>
            </w:tcMar>
          </w:tcPr>
          <w:p>
            <w:pPr>
              <w:spacing w:before="0" w:after="0"/>
              <w:jc w:val="left"/>
            </w:pPr>
            <w:r>
              <w:rPr>
                <w:rFonts w:ascii="Calibri" w:hAnsi="Calibri"/>
                <w:b w:val="0"/>
                <w:color w:val="2D3748"/>
                <w:sz w:val="17"/>
              </w:rPr>
              <w:t>COMPOUNDER DE ÉLITE</w:t>
            </w:r>
          </w:p>
        </w:tc>
      </w:tr>
      <w:tr>
        <w:tc>
          <w:tcPr>
            <w:tcW w:type="dxa" w:w="1440"/>
            <w:shd w:fill="FFFFFF"/>
            <w:tcMar>
              <w:top w:w="70" w:type="dxa"/>
              <w:bottom w:w="70" w:type="dxa"/>
              <w:left w:w="100" w:type="dxa"/>
              <w:right w:w="100" w:type="dxa"/>
            </w:tcMar>
          </w:tcPr>
          <w:p>
            <w:pPr>
              <w:spacing w:before="0" w:after="0"/>
              <w:jc w:val="left"/>
            </w:pPr>
            <w:r>
              <w:rPr>
                <w:rFonts w:ascii="Calibri" w:hAnsi="Calibri"/>
                <w:b w:val="0"/>
                <w:color w:val="2D3748"/>
                <w:sz w:val="17"/>
              </w:rPr>
              <w:t>FY2023</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71.41%</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115.94%</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+44.53 pp</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50.32%</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1.419x</w:t>
            </w:r>
          </w:p>
        </w:tc>
        <w:tc>
          <w:tcPr>
            <w:tcW w:type="dxa" w:w="1584"/>
            <w:shd w:fill="FFFFFF"/>
            <w:tcMar>
              <w:top w:w="70" w:type="dxa"/>
              <w:bottom w:w="70" w:type="dxa"/>
              <w:left w:w="100" w:type="dxa"/>
              <w:right w:w="100" w:type="dxa"/>
            </w:tcMar>
          </w:tcPr>
          <w:p>
            <w:pPr>
              <w:spacing w:before="0" w:after="0"/>
              <w:jc w:val="left"/>
            </w:pPr>
            <w:r>
              <w:rPr>
                <w:rFonts w:ascii="Calibri" w:hAnsi="Calibri"/>
                <w:b w:val="0"/>
                <w:color w:val="2D3748"/>
                <w:sz w:val="17"/>
              </w:rPr>
              <w:t>LÍDER EN VOLUMEN Y ESCALA</w:t>
            </w:r>
          </w:p>
        </w:tc>
      </w:tr>
      <w:tr>
        <w:tc>
          <w:tcPr>
            <w:tcW w:type="dxa" w:w="1440"/>
            <w:shd w:fill="F7FAFC"/>
            <w:tcMar>
              <w:top w:w="70" w:type="dxa"/>
              <w:bottom w:w="70" w:type="dxa"/>
              <w:left w:w="100" w:type="dxa"/>
              <w:right w:w="100" w:type="dxa"/>
            </w:tcMar>
          </w:tcPr>
          <w:p>
            <w:pPr>
              <w:spacing w:before="0" w:after="0"/>
              <w:jc w:val="left"/>
            </w:pPr>
            <w:r>
              <w:rPr>
                <w:rFonts w:ascii="Calibri" w:hAnsi="Calibri"/>
                <w:b w:val="0"/>
                <w:color w:val="2D3748"/>
                <w:sz w:val="17"/>
              </w:rPr>
              <w:t>FY2022</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68.93%</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107.98%</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+39.05 pp</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51.03%</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1.351x</w:t>
            </w:r>
          </w:p>
        </w:tc>
        <w:tc>
          <w:tcPr>
            <w:tcW w:type="dxa" w:w="1584"/>
            <w:shd w:fill="F7FAFC"/>
            <w:tcMar>
              <w:top w:w="70" w:type="dxa"/>
              <w:bottom w:w="70" w:type="dxa"/>
              <w:left w:w="100" w:type="dxa"/>
              <w:right w:w="100" w:type="dxa"/>
            </w:tcMar>
          </w:tcPr>
          <w:p>
            <w:pPr>
              <w:spacing w:before="0" w:after="0"/>
              <w:jc w:val="left"/>
            </w:pPr>
            <w:r>
              <w:rPr>
                <w:rFonts w:ascii="Calibri" w:hAnsi="Calibri"/>
                <w:b w:val="0"/>
                <w:color w:val="2D3748"/>
                <w:sz w:val="17"/>
              </w:rPr>
              <w:t>LÍDER EN VOLUMEN Y ESCALA</w:t>
            </w:r>
          </w:p>
        </w:tc>
      </w:tr>
      <w:tr>
        <w:tc>
          <w:tcPr>
            <w:tcW w:type="dxa" w:w="1440"/>
            <w:shd w:fill="FFFFFF"/>
            <w:tcMar>
              <w:top w:w="70" w:type="dxa"/>
              <w:bottom w:w="70" w:type="dxa"/>
              <w:left w:w="100" w:type="dxa"/>
              <w:right w:w="100" w:type="dxa"/>
            </w:tcMar>
          </w:tcPr>
          <w:p>
            <w:pPr>
              <w:spacing w:before="0" w:after="0"/>
              <w:jc w:val="left"/>
            </w:pPr>
            <w:r>
              <w:rPr>
                <w:rFonts w:ascii="Calibri" w:hAnsi="Calibri"/>
                <w:b w:val="0"/>
                <w:color w:val="2D3748"/>
                <w:sz w:val="17"/>
              </w:rPr>
              <w:t>FY2021</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63.39%</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127.43%</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+64.04 pp</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53.98%</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1.174x</w:t>
            </w:r>
          </w:p>
        </w:tc>
        <w:tc>
          <w:tcPr>
            <w:tcW w:type="dxa" w:w="1584"/>
            <w:shd w:fill="FFFFFF"/>
            <w:tcMar>
              <w:top w:w="70" w:type="dxa"/>
              <w:bottom w:w="70" w:type="dxa"/>
              <w:left w:w="100" w:type="dxa"/>
              <w:right w:w="100" w:type="dxa"/>
            </w:tcMar>
          </w:tcPr>
          <w:p>
            <w:pPr>
              <w:spacing w:before="0" w:after="0"/>
              <w:jc w:val="left"/>
            </w:pPr>
            <w:r>
              <w:rPr>
                <w:rFonts w:ascii="Calibri" w:hAnsi="Calibri"/>
                <w:b w:val="0"/>
                <w:color w:val="2D3748"/>
                <w:sz w:val="17"/>
              </w:rPr>
              <w:t>COMPOUNDER DE ÉLITE</w:t>
            </w:r>
          </w:p>
        </w:tc>
      </w:tr>
      <w:tr>
        <w:tc>
          <w:tcPr>
            <w:tcW w:type="dxa" w:w="1440"/>
            <w:shd w:fill="F7FAFC"/>
            <w:tcMar>
              <w:top w:w="70" w:type="dxa"/>
              <w:bottom w:w="70" w:type="dxa"/>
              <w:left w:w="100" w:type="dxa"/>
              <w:right w:w="100" w:type="dxa"/>
            </w:tcMar>
          </w:tcPr>
          <w:p>
            <w:pPr>
              <w:spacing w:before="0" w:after="0"/>
              <w:jc w:val="left"/>
            </w:pPr>
            <w:r>
              <w:rPr>
                <w:rFonts w:ascii="Calibri" w:hAnsi="Calibri"/>
                <w:b w:val="0"/>
                <w:color w:val="2D3748"/>
                <w:sz w:val="17"/>
              </w:rPr>
              <w:t>FY2020</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62.53%</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98.92%</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+36.40 pp</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51.75%</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1.208x</w:t>
            </w:r>
          </w:p>
        </w:tc>
        <w:tc>
          <w:tcPr>
            <w:tcW w:type="dxa" w:w="1584"/>
            <w:shd w:fill="F7FAFC"/>
            <w:tcMar>
              <w:top w:w="70" w:type="dxa"/>
              <w:bottom w:w="70" w:type="dxa"/>
              <w:left w:w="100" w:type="dxa"/>
              <w:right w:w="100" w:type="dxa"/>
            </w:tcMar>
          </w:tcPr>
          <w:p>
            <w:pPr>
              <w:spacing w:before="0" w:after="0"/>
              <w:jc w:val="left"/>
            </w:pPr>
            <w:r>
              <w:rPr>
                <w:rFonts w:ascii="Calibri" w:hAnsi="Calibri"/>
                <w:b w:val="0"/>
                <w:color w:val="2D3748"/>
                <w:sz w:val="17"/>
              </w:rPr>
              <w:t>LÍDER EN VOLUMEN Y ESCALA</w:t>
            </w:r>
          </w:p>
        </w:tc>
      </w:tr>
    </w:tbl>
    <w:p>
      <w:pPr>
        <w:spacing w:after="120"/>
      </w:pPr>
    </w:p>
    <w:p>
      <w:pPr>
        <w:keepNext/>
        <w:spacing w:before="240" w:after="80"/>
      </w:pPr>
      <w:r>
        <w:rPr>
          <w:rFonts w:ascii="Calibri" w:hAnsi="Calibri"/>
          <w:b/>
          <w:color w:val="4A5568"/>
          <w:sz w:val="23"/>
        </w:rPr>
        <w:t>Bloque D: Benchmarking Sectorial y Ranking Competitivo de la Industria</w:t>
      </w:r>
    </w:p>
    <w:p>
      <w:pPr>
        <w:spacing w:before="0" w:after="80" w:line="276" w:lineRule="auto"/>
      </w:pPr>
      <w:r>
        <w:rPr>
          <w:rFonts w:ascii="Calibri" w:hAnsi="Calibri"/>
          <w:i w:val="0"/>
          <w:color w:val="2D3748"/>
          <w:sz w:val="20"/>
        </w:rPr>
        <w:t>A continuación se presenta el ranking institucional de la canasta de pares directos ordenados rigurosamente por su Rentabilidad Bruta sobre Activos Totales (Gross Profitability de Novy-Marx), contrastando la métrica nominal con la métrica operativa ex-caja y la distancia en puntos porcentuales frente a la mediana de la industria:</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1088"/>
        <w:gridCol w:w="1088"/>
        <w:gridCol w:w="1088"/>
        <w:gridCol w:w="1088"/>
        <w:gridCol w:w="1088"/>
        <w:gridCol w:w="1088"/>
        <w:gridCol w:w="1088"/>
        <w:gridCol w:w="1088"/>
        <w:gridCol w:w="1088"/>
      </w:tblGrid>
      <w:tr>
        <w:tc>
          <w:tcPr>
            <w:tcW w:type="dxa" w:w="720"/>
            <w:shd w:fill="1B365D"/>
            <w:tcMar>
              <w:top w:w="90" w:type="dxa"/>
              <w:bottom w:w="90" w:type="dxa"/>
              <w:left w:w="100" w:type="dxa"/>
              <w:right w:w="100" w:type="dxa"/>
            </w:tcMar>
          </w:tcPr>
          <w:p>
            <w:pPr>
              <w:spacing w:before="0" w:after="0"/>
              <w:jc w:val="left"/>
            </w:pPr>
            <w:r>
              <w:rPr>
                <w:rFonts w:ascii="Calibri" w:hAnsi="Calibri"/>
                <w:b/>
                <w:color w:val="FFFFFF"/>
                <w:sz w:val="18"/>
              </w:rPr>
              <w:t>Rank</w:t>
            </w:r>
          </w:p>
        </w:tc>
        <w:tc>
          <w:tcPr>
            <w:tcW w:type="dxa" w:w="1008"/>
            <w:shd w:fill="1B365D"/>
            <w:tcMar>
              <w:top w:w="90" w:type="dxa"/>
              <w:bottom w:w="90" w:type="dxa"/>
              <w:left w:w="100" w:type="dxa"/>
              <w:right w:w="100" w:type="dxa"/>
            </w:tcMar>
          </w:tcPr>
          <w:p>
            <w:pPr>
              <w:spacing w:before="0" w:after="0"/>
              <w:jc w:val="right"/>
            </w:pPr>
            <w:r>
              <w:rPr>
                <w:rFonts w:ascii="Calibri" w:hAnsi="Calibri"/>
                <w:b/>
                <w:color w:val="FFFFFF"/>
                <w:sz w:val="18"/>
              </w:rPr>
              <w:t>Ticker</w:t>
            </w:r>
          </w:p>
        </w:tc>
        <w:tc>
          <w:tcPr>
            <w:tcW w:type="dxa" w:w="2016"/>
            <w:shd w:fill="1B365D"/>
            <w:tcMar>
              <w:top w:w="90" w:type="dxa"/>
              <w:bottom w:w="90" w:type="dxa"/>
              <w:left w:w="100" w:type="dxa"/>
              <w:right w:w="100" w:type="dxa"/>
            </w:tcMar>
          </w:tcPr>
          <w:p>
            <w:pPr>
              <w:spacing w:before="0" w:after="0"/>
              <w:jc w:val="right"/>
            </w:pPr>
            <w:r>
              <w:rPr>
                <w:rFonts w:ascii="Calibri" w:hAnsi="Calibri"/>
                <w:b/>
                <w:color w:val="FFFFFF"/>
                <w:sz w:val="18"/>
              </w:rPr>
              <w:t>Empresa Competidora</w:t>
            </w:r>
          </w:p>
        </w:tc>
        <w:tc>
          <w:tcPr>
            <w:tcW w:type="dxa" w:w="1296"/>
            <w:shd w:fill="1B365D"/>
            <w:tcMar>
              <w:top w:w="90" w:type="dxa"/>
              <w:bottom w:w="90" w:type="dxa"/>
              <w:left w:w="100" w:type="dxa"/>
              <w:right w:w="100" w:type="dxa"/>
            </w:tcMar>
          </w:tcPr>
          <w:p>
            <w:pPr>
              <w:spacing w:before="0" w:after="0"/>
              <w:jc w:val="right"/>
            </w:pPr>
            <w:r>
              <w:rPr>
                <w:rFonts w:ascii="Calibri" w:hAnsi="Calibri"/>
                <w:b/>
                <w:color w:val="FFFFFF"/>
                <w:sz w:val="18"/>
              </w:rPr>
              <w:t>Período</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GP / Activos</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GP Ex-Caja</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Margen Bruto</w:t>
            </w:r>
          </w:p>
        </w:tc>
        <w:tc>
          <w:tcPr>
            <w:tcW w:type="dxa" w:w="720"/>
            <w:shd w:fill="1B365D"/>
            <w:tcMar>
              <w:top w:w="90" w:type="dxa"/>
              <w:bottom w:w="90" w:type="dxa"/>
              <w:left w:w="100" w:type="dxa"/>
              <w:right w:w="100" w:type="dxa"/>
            </w:tcMar>
          </w:tcPr>
          <w:p>
            <w:pPr>
              <w:spacing w:before="0" w:after="0"/>
              <w:jc w:val="right"/>
            </w:pPr>
            <w:r>
              <w:rPr>
                <w:rFonts w:ascii="Calibri" w:hAnsi="Calibri"/>
                <w:b/>
                <w:color w:val="FFFFFF"/>
                <w:sz w:val="18"/>
              </w:rPr>
              <w:t>Rotación</w:t>
            </w:r>
          </w:p>
        </w:tc>
        <w:tc>
          <w:tcPr>
            <w:tcW w:type="dxa" w:w="1152"/>
            <w:shd w:fill="1B365D"/>
            <w:tcMar>
              <w:top w:w="90" w:type="dxa"/>
              <w:bottom w:w="90" w:type="dxa"/>
              <w:left w:w="100" w:type="dxa"/>
              <w:right w:w="100" w:type="dxa"/>
            </w:tcMar>
          </w:tcPr>
          <w:p>
            <w:pPr>
              <w:spacing w:before="0" w:after="0"/>
              <w:jc w:val="left"/>
            </w:pPr>
            <w:r>
              <w:rPr>
                <w:rFonts w:ascii="Calibri" w:hAnsi="Calibri"/>
                <w:b/>
                <w:color w:val="FFFFFF"/>
                <w:sz w:val="18"/>
              </w:rPr>
              <w:t>Brecha vs Mediana</w:t>
            </w:r>
          </w:p>
        </w:tc>
      </w:tr>
      <w:tr>
        <w:tc>
          <w:tcPr>
            <w:tcW w:type="dxa" w:w="720"/>
            <w:shd w:fill="FFFFFF"/>
            <w:tcMar>
              <w:top w:w="70" w:type="dxa"/>
              <w:bottom w:w="70" w:type="dxa"/>
              <w:left w:w="100" w:type="dxa"/>
              <w:right w:w="100" w:type="dxa"/>
            </w:tcMar>
          </w:tcPr>
          <w:p>
            <w:pPr>
              <w:spacing w:before="0" w:after="0"/>
              <w:jc w:val="left"/>
            </w:pPr>
            <w:r>
              <w:rPr>
                <w:rFonts w:ascii="Calibri" w:hAnsi="Calibri"/>
                <w:b/>
                <w:color w:val="1B365D"/>
                <w:sz w:val="17"/>
              </w:rPr>
              <w:t>#1</w:t>
            </w:r>
          </w:p>
        </w:tc>
        <w:tc>
          <w:tcPr>
            <w:tcW w:type="dxa" w:w="1008"/>
            <w:shd w:fill="FFFFFF"/>
            <w:tcMar>
              <w:top w:w="70" w:type="dxa"/>
              <w:bottom w:w="70" w:type="dxa"/>
              <w:left w:w="100" w:type="dxa"/>
              <w:right w:w="100" w:type="dxa"/>
            </w:tcMar>
          </w:tcPr>
          <w:p>
            <w:pPr>
              <w:spacing w:before="0" w:after="0"/>
              <w:jc w:val="right"/>
            </w:pPr>
            <w:r>
              <w:rPr>
                <w:rFonts w:ascii="Calibri" w:hAnsi="Calibri"/>
                <w:b/>
                <w:color w:val="1B365D"/>
                <w:sz w:val="17"/>
              </w:rPr>
              <w:t>DECK</w:t>
            </w:r>
          </w:p>
        </w:tc>
        <w:tc>
          <w:tcPr>
            <w:tcW w:type="dxa" w:w="2016"/>
            <w:shd w:fill="FFFFFF"/>
            <w:tcMar>
              <w:top w:w="70" w:type="dxa"/>
              <w:bottom w:w="70" w:type="dxa"/>
              <w:left w:w="100" w:type="dxa"/>
              <w:right w:w="100" w:type="dxa"/>
            </w:tcMar>
          </w:tcPr>
          <w:p>
            <w:pPr>
              <w:spacing w:before="0" w:after="0"/>
              <w:jc w:val="right"/>
            </w:pPr>
            <w:r>
              <w:rPr>
                <w:rFonts w:ascii="Calibri" w:hAnsi="Calibri"/>
                <w:b/>
                <w:color w:val="1B365D"/>
                <w:sz w:val="17"/>
              </w:rPr>
              <w:t>Deckers Outdoor Corp.</w:t>
            </w:r>
          </w:p>
        </w:tc>
        <w:tc>
          <w:tcPr>
            <w:tcW w:type="dxa" w:w="1296"/>
            <w:shd w:fill="FFFFFF"/>
            <w:tcMar>
              <w:top w:w="70" w:type="dxa"/>
              <w:bottom w:w="70" w:type="dxa"/>
              <w:left w:w="100" w:type="dxa"/>
              <w:right w:w="100" w:type="dxa"/>
            </w:tcMar>
          </w:tcPr>
          <w:p>
            <w:pPr>
              <w:spacing w:before="0" w:after="0"/>
              <w:jc w:val="right"/>
            </w:pPr>
            <w:r>
              <w:rPr>
                <w:rFonts w:ascii="Calibri" w:hAnsi="Calibri"/>
                <w:b/>
                <w:color w:val="1B365D"/>
                <w:sz w:val="17"/>
              </w:rPr>
              <w:t>LTM (Q1 FY27 Móvil)</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82.59%</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137.80%</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57.80%</w:t>
            </w:r>
          </w:p>
        </w:tc>
        <w:tc>
          <w:tcPr>
            <w:tcW w:type="dxa" w:w="720"/>
            <w:shd w:fill="FFFFFF"/>
            <w:tcMar>
              <w:top w:w="70" w:type="dxa"/>
              <w:bottom w:w="70" w:type="dxa"/>
              <w:left w:w="100" w:type="dxa"/>
              <w:right w:w="100" w:type="dxa"/>
            </w:tcMar>
          </w:tcPr>
          <w:p>
            <w:pPr>
              <w:spacing w:before="0" w:after="0"/>
              <w:jc w:val="right"/>
            </w:pPr>
            <w:r>
              <w:rPr>
                <w:rFonts w:ascii="Calibri" w:hAnsi="Calibri"/>
                <w:b/>
                <w:color w:val="1B365D"/>
                <w:sz w:val="17"/>
              </w:rPr>
              <w:t>1.43x</w:t>
            </w:r>
          </w:p>
        </w:tc>
        <w:tc>
          <w:tcPr>
            <w:tcW w:type="dxa" w:w="1152"/>
            <w:shd w:fill="FFFFFF"/>
            <w:tcMar>
              <w:top w:w="70" w:type="dxa"/>
              <w:bottom w:w="70" w:type="dxa"/>
              <w:left w:w="100" w:type="dxa"/>
              <w:right w:w="100" w:type="dxa"/>
            </w:tcMar>
          </w:tcPr>
          <w:p>
            <w:pPr>
              <w:spacing w:before="0" w:after="0"/>
              <w:jc w:val="left"/>
            </w:pPr>
            <w:r>
              <w:rPr>
                <w:rFonts w:ascii="Calibri" w:hAnsi="Calibri"/>
                <w:b/>
                <w:color w:val="1B365D"/>
                <w:sz w:val="17"/>
              </w:rPr>
              <w:t>+28.72 pp</w:t>
            </w:r>
          </w:p>
        </w:tc>
      </w:tr>
      <w:tr>
        <w:tc>
          <w:tcPr>
            <w:tcW w:type="dxa" w:w="720"/>
            <w:shd w:fill="F7FAFC"/>
            <w:tcMar>
              <w:top w:w="70" w:type="dxa"/>
              <w:bottom w:w="70" w:type="dxa"/>
              <w:left w:w="100" w:type="dxa"/>
              <w:right w:w="100" w:type="dxa"/>
            </w:tcMar>
          </w:tcPr>
          <w:p>
            <w:pPr>
              <w:spacing w:before="0" w:after="0"/>
              <w:jc w:val="left"/>
            </w:pPr>
            <w:r>
              <w:rPr>
                <w:rFonts w:ascii="Calibri" w:hAnsi="Calibri"/>
                <w:b w:val="0"/>
                <w:color w:val="2D3748"/>
                <w:sz w:val="17"/>
              </w:rPr>
              <w:t>#2</w:t>
            </w:r>
          </w:p>
        </w:tc>
        <w:tc>
          <w:tcPr>
            <w:tcW w:type="dxa" w:w="1008"/>
            <w:shd w:fill="F7FAFC"/>
            <w:tcMar>
              <w:top w:w="70" w:type="dxa"/>
              <w:bottom w:w="70" w:type="dxa"/>
              <w:left w:w="100" w:type="dxa"/>
              <w:right w:w="100" w:type="dxa"/>
            </w:tcMar>
          </w:tcPr>
          <w:p>
            <w:pPr>
              <w:spacing w:before="0" w:after="0"/>
              <w:jc w:val="right"/>
            </w:pPr>
            <w:r>
              <w:rPr>
                <w:rFonts w:ascii="Calibri" w:hAnsi="Calibri"/>
                <w:b w:val="0"/>
                <w:color w:val="2D3748"/>
                <w:sz w:val="17"/>
              </w:rPr>
              <w:t>SKX</w:t>
            </w:r>
          </w:p>
        </w:tc>
        <w:tc>
          <w:tcPr>
            <w:tcW w:type="dxa" w:w="2016"/>
            <w:shd w:fill="F7FAFC"/>
            <w:tcMar>
              <w:top w:w="70" w:type="dxa"/>
              <w:bottom w:w="70" w:type="dxa"/>
              <w:left w:w="100" w:type="dxa"/>
              <w:right w:w="100" w:type="dxa"/>
            </w:tcMar>
          </w:tcPr>
          <w:p>
            <w:pPr>
              <w:spacing w:before="0" w:after="0"/>
              <w:jc w:val="right"/>
            </w:pPr>
            <w:r>
              <w:rPr>
                <w:rFonts w:ascii="Calibri" w:hAnsi="Calibri"/>
                <w:b w:val="0"/>
                <w:color w:val="2D3748"/>
                <w:sz w:val="17"/>
              </w:rPr>
              <w:t>Skechers U.S.A., Inc.</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LTM (FY2025 Auditado)</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55.90%</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66.99%</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52.70%</w:t>
            </w:r>
          </w:p>
        </w:tc>
        <w:tc>
          <w:tcPr>
            <w:tcW w:type="dxa" w:w="720"/>
            <w:shd w:fill="F7FAFC"/>
            <w:tcMar>
              <w:top w:w="70" w:type="dxa"/>
              <w:bottom w:w="70" w:type="dxa"/>
              <w:left w:w="100" w:type="dxa"/>
              <w:right w:w="100" w:type="dxa"/>
            </w:tcMar>
          </w:tcPr>
          <w:p>
            <w:pPr>
              <w:spacing w:before="0" w:after="0"/>
              <w:jc w:val="right"/>
            </w:pPr>
            <w:r>
              <w:rPr>
                <w:rFonts w:ascii="Calibri" w:hAnsi="Calibri"/>
                <w:b w:val="0"/>
                <w:color w:val="2D3748"/>
                <w:sz w:val="17"/>
              </w:rPr>
              <w:t>1.06x</w:t>
            </w:r>
          </w:p>
        </w:tc>
        <w:tc>
          <w:tcPr>
            <w:tcW w:type="dxa" w:w="1152"/>
            <w:shd w:fill="F7FAFC"/>
            <w:tcMar>
              <w:top w:w="70" w:type="dxa"/>
              <w:bottom w:w="70" w:type="dxa"/>
              <w:left w:w="100" w:type="dxa"/>
              <w:right w:w="100" w:type="dxa"/>
            </w:tcMar>
          </w:tcPr>
          <w:p>
            <w:pPr>
              <w:spacing w:before="0" w:after="0"/>
              <w:jc w:val="left"/>
            </w:pPr>
            <w:r>
              <w:rPr>
                <w:rFonts w:ascii="Calibri" w:hAnsi="Calibri"/>
                <w:b w:val="0"/>
                <w:color w:val="2D3748"/>
                <w:sz w:val="17"/>
              </w:rPr>
              <w:t>+2.04 pp</w:t>
            </w:r>
          </w:p>
        </w:tc>
      </w:tr>
      <w:tr>
        <w:tc>
          <w:tcPr>
            <w:tcW w:type="dxa" w:w="720"/>
            <w:shd w:fill="FFFFFF"/>
            <w:tcMar>
              <w:top w:w="70" w:type="dxa"/>
              <w:bottom w:w="70" w:type="dxa"/>
              <w:left w:w="100" w:type="dxa"/>
              <w:right w:w="100" w:type="dxa"/>
            </w:tcMar>
          </w:tcPr>
          <w:p>
            <w:pPr>
              <w:spacing w:before="0" w:after="0"/>
              <w:jc w:val="left"/>
            </w:pPr>
            <w:r>
              <w:rPr>
                <w:rFonts w:ascii="Calibri" w:hAnsi="Calibri"/>
                <w:b w:val="0"/>
                <w:color w:val="2D3748"/>
                <w:sz w:val="17"/>
              </w:rPr>
              <w:t>#3</w:t>
            </w:r>
          </w:p>
        </w:tc>
        <w:tc>
          <w:tcPr>
            <w:tcW w:type="dxa" w:w="1008"/>
            <w:shd w:fill="FFFFFF"/>
            <w:tcMar>
              <w:top w:w="70" w:type="dxa"/>
              <w:bottom w:w="70" w:type="dxa"/>
              <w:left w:w="100" w:type="dxa"/>
              <w:right w:w="100" w:type="dxa"/>
            </w:tcMar>
          </w:tcPr>
          <w:p>
            <w:pPr>
              <w:spacing w:before="0" w:after="0"/>
              <w:jc w:val="right"/>
            </w:pPr>
            <w:r>
              <w:rPr>
                <w:rFonts w:ascii="Calibri" w:hAnsi="Calibri"/>
                <w:b w:val="0"/>
                <w:color w:val="2D3748"/>
                <w:sz w:val="17"/>
              </w:rPr>
              <w:t>SHOO</w:t>
            </w:r>
          </w:p>
        </w:tc>
        <w:tc>
          <w:tcPr>
            <w:tcW w:type="dxa" w:w="2016"/>
            <w:shd w:fill="FFFFFF"/>
            <w:tcMar>
              <w:top w:w="70" w:type="dxa"/>
              <w:bottom w:w="70" w:type="dxa"/>
              <w:left w:w="100" w:type="dxa"/>
              <w:right w:w="100" w:type="dxa"/>
            </w:tcMar>
          </w:tcPr>
          <w:p>
            <w:pPr>
              <w:spacing w:before="0" w:after="0"/>
              <w:jc w:val="right"/>
            </w:pPr>
            <w:r>
              <w:rPr>
                <w:rFonts w:ascii="Calibri" w:hAnsi="Calibri"/>
                <w:b w:val="0"/>
                <w:color w:val="2D3748"/>
                <w:sz w:val="17"/>
              </w:rPr>
              <w:t>Steven Madden, Ltd.</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LTM (FY2025 Auditado)</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54.64%</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61.74%</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41.48%</w:t>
            </w:r>
          </w:p>
        </w:tc>
        <w:tc>
          <w:tcPr>
            <w:tcW w:type="dxa" w:w="720"/>
            <w:shd w:fill="FFFFFF"/>
            <w:tcMar>
              <w:top w:w="70" w:type="dxa"/>
              <w:bottom w:w="70" w:type="dxa"/>
              <w:left w:w="100" w:type="dxa"/>
              <w:right w:w="100" w:type="dxa"/>
            </w:tcMar>
          </w:tcPr>
          <w:p>
            <w:pPr>
              <w:spacing w:before="0" w:after="0"/>
              <w:jc w:val="right"/>
            </w:pPr>
            <w:r>
              <w:rPr>
                <w:rFonts w:ascii="Calibri" w:hAnsi="Calibri"/>
                <w:b w:val="0"/>
                <w:color w:val="2D3748"/>
                <w:sz w:val="17"/>
              </w:rPr>
              <w:t>1.32x</w:t>
            </w:r>
          </w:p>
        </w:tc>
        <w:tc>
          <w:tcPr>
            <w:tcW w:type="dxa" w:w="1152"/>
            <w:shd w:fill="FFFFFF"/>
            <w:tcMar>
              <w:top w:w="70" w:type="dxa"/>
              <w:bottom w:w="70" w:type="dxa"/>
              <w:left w:w="100" w:type="dxa"/>
              <w:right w:w="100" w:type="dxa"/>
            </w:tcMar>
          </w:tcPr>
          <w:p>
            <w:pPr>
              <w:spacing w:before="0" w:after="0"/>
              <w:jc w:val="left"/>
            </w:pPr>
            <w:r>
              <w:rPr>
                <w:rFonts w:ascii="Calibri" w:hAnsi="Calibri"/>
                <w:b w:val="0"/>
                <w:color w:val="2D3748"/>
                <w:sz w:val="17"/>
              </w:rPr>
              <w:t>+0.78 pp</w:t>
            </w:r>
          </w:p>
        </w:tc>
      </w:tr>
      <w:tr>
        <w:tc>
          <w:tcPr>
            <w:tcW w:type="dxa" w:w="720"/>
            <w:shd w:fill="F7FAFC"/>
            <w:tcMar>
              <w:top w:w="70" w:type="dxa"/>
              <w:bottom w:w="70" w:type="dxa"/>
              <w:left w:w="100" w:type="dxa"/>
              <w:right w:w="100" w:type="dxa"/>
            </w:tcMar>
          </w:tcPr>
          <w:p>
            <w:pPr>
              <w:spacing w:before="0" w:after="0"/>
              <w:jc w:val="left"/>
            </w:pPr>
            <w:r>
              <w:rPr>
                <w:rFonts w:ascii="Calibri" w:hAnsi="Calibri"/>
                <w:b w:val="0"/>
                <w:color w:val="2D3748"/>
                <w:sz w:val="17"/>
              </w:rPr>
              <w:t>#4</w:t>
            </w:r>
          </w:p>
        </w:tc>
        <w:tc>
          <w:tcPr>
            <w:tcW w:type="dxa" w:w="1008"/>
            <w:shd w:fill="F7FAFC"/>
            <w:tcMar>
              <w:top w:w="70" w:type="dxa"/>
              <w:bottom w:w="70" w:type="dxa"/>
              <w:left w:w="100" w:type="dxa"/>
              <w:right w:w="100" w:type="dxa"/>
            </w:tcMar>
          </w:tcPr>
          <w:p>
            <w:pPr>
              <w:spacing w:before="0" w:after="0"/>
              <w:jc w:val="right"/>
            </w:pPr>
            <w:r>
              <w:rPr>
                <w:rFonts w:ascii="Calibri" w:hAnsi="Calibri"/>
                <w:b w:val="0"/>
                <w:color w:val="2D3748"/>
                <w:sz w:val="17"/>
              </w:rPr>
              <w:t>NKE</w:t>
            </w:r>
          </w:p>
        </w:tc>
        <w:tc>
          <w:tcPr>
            <w:tcW w:type="dxa" w:w="2016"/>
            <w:shd w:fill="F7FAFC"/>
            <w:tcMar>
              <w:top w:w="70" w:type="dxa"/>
              <w:bottom w:w="70" w:type="dxa"/>
              <w:left w:w="100" w:type="dxa"/>
              <w:right w:w="100" w:type="dxa"/>
            </w:tcMar>
          </w:tcPr>
          <w:p>
            <w:pPr>
              <w:spacing w:before="0" w:after="0"/>
              <w:jc w:val="right"/>
            </w:pPr>
            <w:r>
              <w:rPr>
                <w:rFonts w:ascii="Calibri" w:hAnsi="Calibri"/>
                <w:b w:val="0"/>
                <w:color w:val="2D3748"/>
                <w:sz w:val="17"/>
              </w:rPr>
              <w:t>NIKE, Inc.</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LTM (FY2026 Auditado)</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53.87%</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66.29%</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44.59%</w:t>
            </w:r>
          </w:p>
        </w:tc>
        <w:tc>
          <w:tcPr>
            <w:tcW w:type="dxa" w:w="720"/>
            <w:shd w:fill="F7FAFC"/>
            <w:tcMar>
              <w:top w:w="70" w:type="dxa"/>
              <w:bottom w:w="70" w:type="dxa"/>
              <w:left w:w="100" w:type="dxa"/>
              <w:right w:w="100" w:type="dxa"/>
            </w:tcMar>
          </w:tcPr>
          <w:p>
            <w:pPr>
              <w:spacing w:before="0" w:after="0"/>
              <w:jc w:val="right"/>
            </w:pPr>
            <w:r>
              <w:rPr>
                <w:rFonts w:ascii="Calibri" w:hAnsi="Calibri"/>
                <w:b w:val="0"/>
                <w:color w:val="2D3748"/>
                <w:sz w:val="17"/>
              </w:rPr>
              <w:t>1.21x</w:t>
            </w:r>
          </w:p>
        </w:tc>
        <w:tc>
          <w:tcPr>
            <w:tcW w:type="dxa" w:w="1152"/>
            <w:shd w:fill="F7FAFC"/>
            <w:tcMar>
              <w:top w:w="70" w:type="dxa"/>
              <w:bottom w:w="70" w:type="dxa"/>
              <w:left w:w="100" w:type="dxa"/>
              <w:right w:w="100" w:type="dxa"/>
            </w:tcMar>
          </w:tcPr>
          <w:p>
            <w:pPr>
              <w:spacing w:before="0" w:after="0"/>
              <w:jc w:val="left"/>
            </w:pPr>
            <w:r>
              <w:rPr>
                <w:rFonts w:ascii="Calibri" w:hAnsi="Calibri"/>
                <w:b w:val="0"/>
                <w:color w:val="2D3748"/>
                <w:sz w:val="17"/>
              </w:rPr>
              <w:t>+0.00 pp</w:t>
            </w:r>
          </w:p>
        </w:tc>
      </w:tr>
      <w:tr>
        <w:tc>
          <w:tcPr>
            <w:tcW w:type="dxa" w:w="720"/>
            <w:shd w:fill="FFFFFF"/>
            <w:tcMar>
              <w:top w:w="70" w:type="dxa"/>
              <w:bottom w:w="70" w:type="dxa"/>
              <w:left w:w="100" w:type="dxa"/>
              <w:right w:w="100" w:type="dxa"/>
            </w:tcMar>
          </w:tcPr>
          <w:p>
            <w:pPr>
              <w:spacing w:before="0" w:after="0"/>
              <w:jc w:val="left"/>
            </w:pPr>
            <w:r>
              <w:rPr>
                <w:rFonts w:ascii="Calibri" w:hAnsi="Calibri"/>
                <w:b w:val="0"/>
                <w:color w:val="2D3748"/>
                <w:sz w:val="17"/>
              </w:rPr>
              <w:t>#5</w:t>
            </w:r>
          </w:p>
        </w:tc>
        <w:tc>
          <w:tcPr>
            <w:tcW w:type="dxa" w:w="1008"/>
            <w:shd w:fill="FFFFFF"/>
            <w:tcMar>
              <w:top w:w="70" w:type="dxa"/>
              <w:bottom w:w="70" w:type="dxa"/>
              <w:left w:w="100" w:type="dxa"/>
              <w:right w:w="100" w:type="dxa"/>
            </w:tcMar>
          </w:tcPr>
          <w:p>
            <w:pPr>
              <w:spacing w:before="0" w:after="0"/>
              <w:jc w:val="right"/>
            </w:pPr>
            <w:r>
              <w:rPr>
                <w:rFonts w:ascii="Calibri" w:hAnsi="Calibri"/>
                <w:b w:val="0"/>
                <w:color w:val="2D3748"/>
                <w:sz w:val="17"/>
              </w:rPr>
              <w:t>CROX</w:t>
            </w:r>
          </w:p>
        </w:tc>
        <w:tc>
          <w:tcPr>
            <w:tcW w:type="dxa" w:w="2016"/>
            <w:shd w:fill="FFFFFF"/>
            <w:tcMar>
              <w:top w:w="70" w:type="dxa"/>
              <w:bottom w:w="70" w:type="dxa"/>
              <w:left w:w="100" w:type="dxa"/>
              <w:right w:w="100" w:type="dxa"/>
            </w:tcMar>
          </w:tcPr>
          <w:p>
            <w:pPr>
              <w:spacing w:before="0" w:after="0"/>
              <w:jc w:val="right"/>
            </w:pPr>
            <w:r>
              <w:rPr>
                <w:rFonts w:ascii="Calibri" w:hAnsi="Calibri"/>
                <w:b w:val="0"/>
                <w:color w:val="2D3748"/>
                <w:sz w:val="17"/>
              </w:rPr>
              <w:t>Crocs, Inc.</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LTM (FY2025 Auditado)</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53.80%</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57.23%</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55.59%</w:t>
            </w:r>
          </w:p>
        </w:tc>
        <w:tc>
          <w:tcPr>
            <w:tcW w:type="dxa" w:w="720"/>
            <w:shd w:fill="FFFFFF"/>
            <w:tcMar>
              <w:top w:w="70" w:type="dxa"/>
              <w:bottom w:w="70" w:type="dxa"/>
              <w:left w:w="100" w:type="dxa"/>
              <w:right w:w="100" w:type="dxa"/>
            </w:tcMar>
          </w:tcPr>
          <w:p>
            <w:pPr>
              <w:spacing w:before="0" w:after="0"/>
              <w:jc w:val="right"/>
            </w:pPr>
            <w:r>
              <w:rPr>
                <w:rFonts w:ascii="Calibri" w:hAnsi="Calibri"/>
                <w:b w:val="0"/>
                <w:color w:val="2D3748"/>
                <w:sz w:val="17"/>
              </w:rPr>
              <w:t>0.97x</w:t>
            </w:r>
          </w:p>
        </w:tc>
        <w:tc>
          <w:tcPr>
            <w:tcW w:type="dxa" w:w="1152"/>
            <w:shd w:fill="FFFFFF"/>
            <w:tcMar>
              <w:top w:w="70" w:type="dxa"/>
              <w:bottom w:w="70" w:type="dxa"/>
              <w:left w:w="100" w:type="dxa"/>
              <w:right w:w="100" w:type="dxa"/>
            </w:tcMar>
          </w:tcPr>
          <w:p>
            <w:pPr>
              <w:spacing w:before="0" w:after="0"/>
              <w:jc w:val="left"/>
            </w:pPr>
            <w:r>
              <w:rPr>
                <w:rFonts w:ascii="Calibri" w:hAnsi="Calibri"/>
                <w:b w:val="0"/>
                <w:color w:val="2D3748"/>
                <w:sz w:val="17"/>
              </w:rPr>
              <w:t>-0.07 pp</w:t>
            </w:r>
          </w:p>
        </w:tc>
      </w:tr>
      <w:tr>
        <w:tc>
          <w:tcPr>
            <w:tcW w:type="dxa" w:w="720"/>
            <w:shd w:fill="F7FAFC"/>
            <w:tcMar>
              <w:top w:w="70" w:type="dxa"/>
              <w:bottom w:w="70" w:type="dxa"/>
              <w:left w:w="100" w:type="dxa"/>
              <w:right w:w="100" w:type="dxa"/>
            </w:tcMar>
          </w:tcPr>
          <w:p>
            <w:pPr>
              <w:spacing w:before="0" w:after="0"/>
              <w:jc w:val="left"/>
            </w:pPr>
            <w:r>
              <w:rPr>
                <w:rFonts w:ascii="Calibri" w:hAnsi="Calibri"/>
                <w:b w:val="0"/>
                <w:color w:val="2D3748"/>
                <w:sz w:val="17"/>
              </w:rPr>
              <w:t>#6</w:t>
            </w:r>
          </w:p>
        </w:tc>
        <w:tc>
          <w:tcPr>
            <w:tcW w:type="dxa" w:w="1008"/>
            <w:shd w:fill="F7FAFC"/>
            <w:tcMar>
              <w:top w:w="70" w:type="dxa"/>
              <w:bottom w:w="70" w:type="dxa"/>
              <w:left w:w="100" w:type="dxa"/>
              <w:right w:w="100" w:type="dxa"/>
            </w:tcMar>
          </w:tcPr>
          <w:p>
            <w:pPr>
              <w:spacing w:before="0" w:after="0"/>
              <w:jc w:val="right"/>
            </w:pPr>
            <w:r>
              <w:rPr>
                <w:rFonts w:ascii="Calibri" w:hAnsi="Calibri"/>
                <w:b w:val="0"/>
                <w:color w:val="2D3748"/>
                <w:sz w:val="17"/>
              </w:rPr>
              <w:t>ONON</w:t>
            </w:r>
          </w:p>
        </w:tc>
        <w:tc>
          <w:tcPr>
            <w:tcW w:type="dxa" w:w="2016"/>
            <w:shd w:fill="F7FAFC"/>
            <w:tcMar>
              <w:top w:w="70" w:type="dxa"/>
              <w:bottom w:w="70" w:type="dxa"/>
              <w:left w:w="100" w:type="dxa"/>
              <w:right w:w="100" w:type="dxa"/>
            </w:tcMar>
          </w:tcPr>
          <w:p>
            <w:pPr>
              <w:spacing w:before="0" w:after="0"/>
              <w:jc w:val="right"/>
            </w:pPr>
            <w:r>
              <w:rPr>
                <w:rFonts w:ascii="Calibri" w:hAnsi="Calibri"/>
                <w:b w:val="0"/>
                <w:color w:val="2D3748"/>
                <w:sz w:val="17"/>
              </w:rPr>
              <w:t>On Holding AG</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LTM (FY2025 Auditado)</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46.88%</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55.56%</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60.00%</w:t>
            </w:r>
          </w:p>
        </w:tc>
        <w:tc>
          <w:tcPr>
            <w:tcW w:type="dxa" w:w="720"/>
            <w:shd w:fill="F7FAFC"/>
            <w:tcMar>
              <w:top w:w="70" w:type="dxa"/>
              <w:bottom w:w="70" w:type="dxa"/>
              <w:left w:w="100" w:type="dxa"/>
              <w:right w:w="100" w:type="dxa"/>
            </w:tcMar>
          </w:tcPr>
          <w:p>
            <w:pPr>
              <w:spacing w:before="0" w:after="0"/>
              <w:jc w:val="right"/>
            </w:pPr>
            <w:r>
              <w:rPr>
                <w:rFonts w:ascii="Calibri" w:hAnsi="Calibri"/>
                <w:b w:val="0"/>
                <w:color w:val="2D3748"/>
                <w:sz w:val="17"/>
              </w:rPr>
              <w:t>0.78x</w:t>
            </w:r>
          </w:p>
        </w:tc>
        <w:tc>
          <w:tcPr>
            <w:tcW w:type="dxa" w:w="1152"/>
            <w:shd w:fill="F7FAFC"/>
            <w:tcMar>
              <w:top w:w="70" w:type="dxa"/>
              <w:bottom w:w="70" w:type="dxa"/>
              <w:left w:w="100" w:type="dxa"/>
              <w:right w:w="100" w:type="dxa"/>
            </w:tcMar>
          </w:tcPr>
          <w:p>
            <w:pPr>
              <w:spacing w:before="0" w:after="0"/>
              <w:jc w:val="left"/>
            </w:pPr>
            <w:r>
              <w:rPr>
                <w:rFonts w:ascii="Calibri" w:hAnsi="Calibri"/>
                <w:b w:val="0"/>
                <w:color w:val="2D3748"/>
                <w:sz w:val="17"/>
              </w:rPr>
              <w:t>-6.99 pp</w:t>
            </w:r>
          </w:p>
        </w:tc>
      </w:tr>
      <w:tr>
        <w:tc>
          <w:tcPr>
            <w:tcW w:type="dxa" w:w="720"/>
            <w:shd w:fill="FFFFFF"/>
            <w:tcMar>
              <w:top w:w="70" w:type="dxa"/>
              <w:bottom w:w="70" w:type="dxa"/>
              <w:left w:w="100" w:type="dxa"/>
              <w:right w:w="100" w:type="dxa"/>
            </w:tcMar>
          </w:tcPr>
          <w:p>
            <w:pPr>
              <w:spacing w:before="0" w:after="0"/>
              <w:jc w:val="left"/>
            </w:pPr>
            <w:r>
              <w:rPr>
                <w:rFonts w:ascii="Calibri" w:hAnsi="Calibri"/>
                <w:b w:val="0"/>
                <w:color w:val="2D3748"/>
                <w:sz w:val="17"/>
              </w:rPr>
              <w:t>#7</w:t>
            </w:r>
          </w:p>
        </w:tc>
        <w:tc>
          <w:tcPr>
            <w:tcW w:type="dxa" w:w="1008"/>
            <w:shd w:fill="FFFFFF"/>
            <w:tcMar>
              <w:top w:w="70" w:type="dxa"/>
              <w:bottom w:w="70" w:type="dxa"/>
              <w:left w:w="100" w:type="dxa"/>
              <w:right w:w="100" w:type="dxa"/>
            </w:tcMar>
          </w:tcPr>
          <w:p>
            <w:pPr>
              <w:spacing w:before="0" w:after="0"/>
              <w:jc w:val="right"/>
            </w:pPr>
            <w:r>
              <w:rPr>
                <w:rFonts w:ascii="Calibri" w:hAnsi="Calibri"/>
                <w:b w:val="0"/>
                <w:color w:val="2D3748"/>
                <w:sz w:val="17"/>
              </w:rPr>
              <w:t>WWW</w:t>
            </w:r>
          </w:p>
        </w:tc>
        <w:tc>
          <w:tcPr>
            <w:tcW w:type="dxa" w:w="2016"/>
            <w:shd w:fill="FFFFFF"/>
            <w:tcMar>
              <w:top w:w="70" w:type="dxa"/>
              <w:bottom w:w="70" w:type="dxa"/>
              <w:left w:w="100" w:type="dxa"/>
              <w:right w:w="100" w:type="dxa"/>
            </w:tcMar>
          </w:tcPr>
          <w:p>
            <w:pPr>
              <w:spacing w:before="0" w:after="0"/>
              <w:jc w:val="right"/>
            </w:pPr>
            <w:r>
              <w:rPr>
                <w:rFonts w:ascii="Calibri" w:hAnsi="Calibri"/>
                <w:b w:val="0"/>
                <w:color w:val="2D3748"/>
                <w:sz w:val="17"/>
              </w:rPr>
              <w:t xml:space="preserve">Wolverine World Wide, </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LTM (FY2025 Auditado)</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46.04%</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51.46%</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41.99%</w:t>
            </w:r>
          </w:p>
        </w:tc>
        <w:tc>
          <w:tcPr>
            <w:tcW w:type="dxa" w:w="720"/>
            <w:shd w:fill="FFFFFF"/>
            <w:tcMar>
              <w:top w:w="70" w:type="dxa"/>
              <w:bottom w:w="70" w:type="dxa"/>
              <w:left w:w="100" w:type="dxa"/>
              <w:right w:w="100" w:type="dxa"/>
            </w:tcMar>
          </w:tcPr>
          <w:p>
            <w:pPr>
              <w:spacing w:before="0" w:after="0"/>
              <w:jc w:val="right"/>
            </w:pPr>
            <w:r>
              <w:rPr>
                <w:rFonts w:ascii="Calibri" w:hAnsi="Calibri"/>
                <w:b w:val="0"/>
                <w:color w:val="2D3748"/>
                <w:sz w:val="17"/>
              </w:rPr>
              <w:t>1.10x</w:t>
            </w:r>
          </w:p>
        </w:tc>
        <w:tc>
          <w:tcPr>
            <w:tcW w:type="dxa" w:w="1152"/>
            <w:shd w:fill="FFFFFF"/>
            <w:tcMar>
              <w:top w:w="70" w:type="dxa"/>
              <w:bottom w:w="70" w:type="dxa"/>
              <w:left w:w="100" w:type="dxa"/>
              <w:right w:w="100" w:type="dxa"/>
            </w:tcMar>
          </w:tcPr>
          <w:p>
            <w:pPr>
              <w:spacing w:before="0" w:after="0"/>
              <w:jc w:val="left"/>
            </w:pPr>
            <w:r>
              <w:rPr>
                <w:rFonts w:ascii="Calibri" w:hAnsi="Calibri"/>
                <w:b w:val="0"/>
                <w:color w:val="2D3748"/>
                <w:sz w:val="17"/>
              </w:rPr>
              <w:t>-7.82 pp</w:t>
            </w:r>
          </w:p>
        </w:tc>
      </w:tr>
      <w:tr>
        <w:tc>
          <w:tcPr>
            <w:tcW w:type="dxa" w:w="720"/>
            <w:shd w:fill="F7FAFC"/>
            <w:tcMar>
              <w:top w:w="70" w:type="dxa"/>
              <w:bottom w:w="70" w:type="dxa"/>
              <w:left w:w="100" w:type="dxa"/>
              <w:right w:w="100" w:type="dxa"/>
            </w:tcMar>
          </w:tcPr>
          <w:p>
            <w:pPr>
              <w:spacing w:before="0" w:after="0"/>
              <w:jc w:val="left"/>
            </w:pPr>
            <w:r>
              <w:rPr>
                <w:rFonts w:ascii="Calibri" w:hAnsi="Calibri"/>
                <w:b w:val="0"/>
                <w:color w:val="2D3748"/>
                <w:sz w:val="17"/>
              </w:rPr>
              <w:t>-</w:t>
            </w:r>
          </w:p>
        </w:tc>
        <w:tc>
          <w:tcPr>
            <w:tcW w:type="dxa" w:w="1008"/>
            <w:shd w:fill="F7FAFC"/>
            <w:tcMar>
              <w:top w:w="70" w:type="dxa"/>
              <w:bottom w:w="70" w:type="dxa"/>
              <w:left w:w="100" w:type="dxa"/>
              <w:right w:w="100" w:type="dxa"/>
            </w:tcMar>
          </w:tcPr>
          <w:p>
            <w:pPr>
              <w:spacing w:before="0" w:after="0"/>
              <w:jc w:val="right"/>
            </w:pPr>
            <w:r>
              <w:rPr>
                <w:rFonts w:ascii="Calibri" w:hAnsi="Calibri"/>
                <w:b w:val="0"/>
                <w:color w:val="2D3748"/>
                <w:sz w:val="17"/>
              </w:rPr>
              <w:t>MEDIANA</w:t>
            </w:r>
          </w:p>
        </w:tc>
        <w:tc>
          <w:tcPr>
            <w:tcW w:type="dxa" w:w="2016"/>
            <w:shd w:fill="F7FAFC"/>
            <w:tcMar>
              <w:top w:w="70" w:type="dxa"/>
              <w:bottom w:w="70" w:type="dxa"/>
              <w:left w:w="100" w:type="dxa"/>
              <w:right w:w="100" w:type="dxa"/>
            </w:tcMar>
          </w:tcPr>
          <w:p>
            <w:pPr>
              <w:spacing w:before="0" w:after="0"/>
              <w:jc w:val="right"/>
            </w:pPr>
            <w:r>
              <w:rPr>
                <w:rFonts w:ascii="Calibri" w:hAnsi="Calibri"/>
                <w:b w:val="0"/>
                <w:color w:val="2D3748"/>
                <w:sz w:val="17"/>
              </w:rPr>
              <w:t>Mediana Sectorial</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LTM</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53.87%</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61.74%</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52.70%</w:t>
            </w:r>
          </w:p>
        </w:tc>
        <w:tc>
          <w:tcPr>
            <w:tcW w:type="dxa" w:w="720"/>
            <w:shd w:fill="F7FAFC"/>
            <w:tcMar>
              <w:top w:w="70" w:type="dxa"/>
              <w:bottom w:w="70" w:type="dxa"/>
              <w:left w:w="100" w:type="dxa"/>
              <w:right w:w="100" w:type="dxa"/>
            </w:tcMar>
          </w:tcPr>
          <w:p>
            <w:pPr>
              <w:spacing w:before="0" w:after="0"/>
              <w:jc w:val="right"/>
            </w:pPr>
            <w:r>
              <w:rPr>
                <w:rFonts w:ascii="Calibri" w:hAnsi="Calibri"/>
                <w:b w:val="0"/>
                <w:color w:val="2D3748"/>
                <w:sz w:val="17"/>
              </w:rPr>
              <w:t>1.10x</w:t>
            </w:r>
          </w:p>
        </w:tc>
        <w:tc>
          <w:tcPr>
            <w:tcW w:type="dxa" w:w="1152"/>
            <w:shd w:fill="F7FAFC"/>
            <w:tcMar>
              <w:top w:w="70" w:type="dxa"/>
              <w:bottom w:w="70" w:type="dxa"/>
              <w:left w:w="100" w:type="dxa"/>
              <w:right w:w="100" w:type="dxa"/>
            </w:tcMar>
          </w:tcPr>
          <w:p>
            <w:pPr>
              <w:spacing w:before="0" w:after="0"/>
              <w:jc w:val="left"/>
            </w:pPr>
            <w:r>
              <w:rPr>
                <w:rFonts w:ascii="Calibri" w:hAnsi="Calibri"/>
                <w:b w:val="0"/>
                <w:color w:val="2D3748"/>
                <w:sz w:val="17"/>
              </w:rPr>
              <w:t>0.00 pp</w:t>
            </w:r>
          </w:p>
        </w:tc>
      </w:tr>
      <w:tr>
        <w:tc>
          <w:tcPr>
            <w:tcW w:type="dxa" w:w="720"/>
            <w:shd w:fill="FFFFFF"/>
            <w:tcMar>
              <w:top w:w="70" w:type="dxa"/>
              <w:bottom w:w="70" w:type="dxa"/>
              <w:left w:w="100" w:type="dxa"/>
              <w:right w:w="100" w:type="dxa"/>
            </w:tcMar>
          </w:tcPr>
          <w:p>
            <w:pPr>
              <w:spacing w:before="0" w:after="0"/>
              <w:jc w:val="left"/>
            </w:pPr>
            <w:r>
              <w:rPr>
                <w:rFonts w:ascii="Calibri" w:hAnsi="Calibri"/>
                <w:b w:val="0"/>
                <w:color w:val="2D3748"/>
                <w:sz w:val="17"/>
              </w:rPr>
              <w:t>-</w:t>
            </w:r>
          </w:p>
        </w:tc>
        <w:tc>
          <w:tcPr>
            <w:tcW w:type="dxa" w:w="1008"/>
            <w:shd w:fill="FFFFFF"/>
            <w:tcMar>
              <w:top w:w="70" w:type="dxa"/>
              <w:bottom w:w="70" w:type="dxa"/>
              <w:left w:w="100" w:type="dxa"/>
              <w:right w:w="100" w:type="dxa"/>
            </w:tcMar>
          </w:tcPr>
          <w:p>
            <w:pPr>
              <w:spacing w:before="0" w:after="0"/>
              <w:jc w:val="right"/>
            </w:pPr>
            <w:r>
              <w:rPr>
                <w:rFonts w:ascii="Calibri" w:hAnsi="Calibri"/>
                <w:b w:val="0"/>
                <w:color w:val="2D3748"/>
                <w:sz w:val="17"/>
              </w:rPr>
              <w:t>P75</w:t>
            </w:r>
          </w:p>
        </w:tc>
        <w:tc>
          <w:tcPr>
            <w:tcW w:type="dxa" w:w="2016"/>
            <w:shd w:fill="FFFFFF"/>
            <w:tcMar>
              <w:top w:w="70" w:type="dxa"/>
              <w:bottom w:w="70" w:type="dxa"/>
              <w:left w:w="100" w:type="dxa"/>
              <w:right w:w="100" w:type="dxa"/>
            </w:tcMar>
          </w:tcPr>
          <w:p>
            <w:pPr>
              <w:spacing w:before="0" w:after="0"/>
              <w:jc w:val="right"/>
            </w:pPr>
            <w:r>
              <w:rPr>
                <w:rFonts w:ascii="Calibri" w:hAnsi="Calibri"/>
                <w:b w:val="0"/>
                <w:color w:val="2D3748"/>
                <w:sz w:val="17"/>
              </w:rPr>
              <w:t>Percentil 75 Líder</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LTM</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55.27%</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w:t>
            </w:r>
          </w:p>
        </w:tc>
        <w:tc>
          <w:tcPr>
            <w:tcW w:type="dxa" w:w="720"/>
            <w:shd w:fill="FFFFFF"/>
            <w:tcMar>
              <w:top w:w="70" w:type="dxa"/>
              <w:bottom w:w="70" w:type="dxa"/>
              <w:left w:w="100" w:type="dxa"/>
              <w:right w:w="100" w:type="dxa"/>
            </w:tcMar>
          </w:tcPr>
          <w:p>
            <w:pPr>
              <w:spacing w:before="0" w:after="0"/>
              <w:jc w:val="right"/>
            </w:pPr>
            <w:r>
              <w:rPr>
                <w:rFonts w:ascii="Calibri" w:hAnsi="Calibri"/>
                <w:b w:val="0"/>
                <w:color w:val="2D3748"/>
                <w:sz w:val="17"/>
              </w:rPr>
              <w:t>-</w:t>
            </w:r>
          </w:p>
        </w:tc>
        <w:tc>
          <w:tcPr>
            <w:tcW w:type="dxa" w:w="1152"/>
            <w:shd w:fill="FFFFFF"/>
            <w:tcMar>
              <w:top w:w="70" w:type="dxa"/>
              <w:bottom w:w="70" w:type="dxa"/>
              <w:left w:w="100" w:type="dxa"/>
              <w:right w:w="100" w:type="dxa"/>
            </w:tcMar>
          </w:tcPr>
          <w:p>
            <w:pPr>
              <w:spacing w:before="0" w:after="0"/>
              <w:jc w:val="left"/>
            </w:pPr>
            <w:r>
              <w:rPr>
                <w:rFonts w:ascii="Calibri" w:hAnsi="Calibri"/>
                <w:b w:val="0"/>
                <w:color w:val="2D3748"/>
                <w:sz w:val="17"/>
              </w:rPr>
              <w:t>+1.41 pp</w:t>
            </w:r>
          </w:p>
        </w:tc>
      </w:tr>
    </w:tbl>
    <w:p>
      <w:pPr>
        <w:spacing w:after="120"/>
      </w:pPr>
    </w:p>
    <w:p>
      <w:pPr>
        <w:keepNext/>
        <w:spacing w:before="240" w:after="80"/>
      </w:pPr>
      <w:r>
        <w:rPr>
          <w:rFonts w:ascii="Calibri" w:hAnsi="Calibri"/>
          <w:b/>
          <w:color w:val="4A5568"/>
          <w:sz w:val="23"/>
        </w:rPr>
        <w:t>Conclusiones Fundamentales para Modelos de Valoración</w:t>
      </w:r>
    </w:p>
    <w:p>
      <w:pPr>
        <w:spacing w:before="0" w:after="80" w:line="276" w:lineRule="auto"/>
      </w:pPr>
      <w:r>
        <w:rPr>
          <w:rFonts w:ascii="Calibri" w:hAnsi="Calibri"/>
          <w:i w:val="0"/>
          <w:color w:val="2D3748"/>
          <w:sz w:val="20"/>
        </w:rPr>
        <w:t>Conclusión Analítica: DECK lidera o se consolida en la cúspide de su industria en la métrica de Novy-Marx. Al conjugar poder de fijación de precios con una rotación de activos disciplinada, su modelo de negocio es inmune a la compresión de márgenes que sufren competidores con activos sobredimensionados o márgenes brutos deprimidos.</w:t>
      </w:r>
    </w:p>
    <w:p>
      <w:pPr>
        <w:pStyle w:val="Heading1"/>
        <w:spacing w:before="360" w:after="160"/>
      </w:pPr>
      <w:r>
        <w:t>11. Rendimiento del Capital Ajustado por Intangibles, Costo de Capital (WACC) y Creación de Valor Económico</w:t>
      </w:r>
    </w:p>
    <w:p>
      <w:r>
        <w:rPr>
          <w:i/>
          <w:sz w:val="20"/>
        </w:rPr>
        <w:t>Evaluación del retorno económico del capital y la sostenibilidad de las ventajas competitivas (Economic Moat) para Deckers Outdoor Corporation (DECK) al período LTM.</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top w:val="none"/>
              <w:left w:val="single" w:sz="24" w:space="0" w:color="1B365D"/>
              <w:bottom w:val="none"/>
              <w:right w:val="none"/>
            </w:tcBorders>
          </w:tcPr>
          <w:p>
            <w:pPr>
              <w:spacing w:before="0" w:after="60" w:line="276" w:lineRule="auto"/>
            </w:pPr>
            <w:r>
              <w:rPr>
                <w:rFonts w:ascii="Calibri" w:hAnsi="Calibri"/>
                <w:b/>
                <w:color w:val="1B365D"/>
                <w:sz w:val="21"/>
              </w:rPr>
              <w:t>📌 DICTAMEN DE VALOR ECONÓMICO: 🏰 WIDE MOAT / COMPOUNDING MACHINE (SPREAD +43.28 p.p.)</w:t>
              <w:br/>
            </w:r>
          </w:p>
          <w:p>
            <w:pPr>
              <w:spacing w:before="40" w:after="40" w:line="276" w:lineRule="auto"/>
            </w:pPr>
            <w:r>
              <w:rPr>
                <w:rFonts w:ascii="Calibri" w:hAnsi="Calibri"/>
                <w:color w:val="2D3748"/>
                <w:sz w:val="19"/>
              </w:rPr>
              <w:t>• ROC Greenblatt Tangible (LTM): 234.09% (Productividad operativa pura pre-tax sobre capital de trabajo y PP&amp;E físico instalado).</w:t>
            </w:r>
          </w:p>
          <w:p>
            <w:pPr>
              <w:spacing w:before="40" w:after="40" w:line="276" w:lineRule="auto"/>
            </w:pPr>
            <w:r>
              <w:rPr>
                <w:rFonts w:ascii="Calibri" w:hAnsi="Calibri"/>
                <w:color w:val="2D3748"/>
                <w:sz w:val="19"/>
              </w:rPr>
              <w:t>• ROIC Ajustado por Intangibles (LTM): 53.58% frente a un ROIC contable tradicional de 90.86%.</w:t>
            </w:r>
          </w:p>
          <w:p>
            <w:pPr>
              <w:spacing w:before="40" w:after="40" w:line="276" w:lineRule="auto"/>
            </w:pPr>
            <w:r>
              <w:rPr>
                <w:rFonts w:ascii="Calibri" w:hAnsi="Calibri"/>
                <w:color w:val="2D3748"/>
                <w:sz w:val="19"/>
              </w:rPr>
              <w:t>• Costo Promedio Ponderado de Capital (WACC): 10.31% (Costo del Equity Ke: 10.31%, Deuda Neta Kd: 0.00%).</w:t>
            </w:r>
          </w:p>
          <w:p>
            <w:pPr>
              <w:spacing w:before="40" w:after="40" w:line="276" w:lineRule="auto"/>
            </w:pPr>
            <w:r>
              <w:rPr>
                <w:rFonts w:ascii="Calibri" w:hAnsi="Calibri"/>
                <w:color w:val="2D3748"/>
                <w:sz w:val="19"/>
              </w:rPr>
              <w:t>• Spread Económico Neto: +43.28 p.p. de rendimiento por encima del costo de capital exigido por el mercado.</w:t>
            </w:r>
          </w:p>
          <w:p>
            <w:pPr>
              <w:spacing w:before="40" w:after="40" w:line="276" w:lineRule="auto"/>
            </w:pPr>
            <w:r>
              <w:rPr>
                <w:rFonts w:ascii="Calibri" w:hAnsi="Calibri"/>
                <w:color w:val="2D3748"/>
                <w:sz w:val="19"/>
              </w:rPr>
              <w:t>• Stock de Intangibles Fuera de Balance: $947.5M capitalizados en innovación y amortizados económicamente a 3 años.</w:t>
            </w:r>
          </w:p>
          <w:p>
            <w:pPr>
              <w:spacing w:before="40" w:after="40" w:line="276" w:lineRule="auto"/>
            </w:pPr>
            <w:r>
              <w:rPr>
                <w:rFonts w:ascii="Calibri" w:hAnsi="Calibri"/>
                <w:color w:val="2D3748"/>
                <w:sz w:val="19"/>
              </w:rPr>
              <w:t>• Tesis de Foso Defensivo: El negocio genera un retorno ajustado (53.58%) que supera a su costo de capital (10.31%) por más de 43.28 puntos porcentuales. Por cada $100 de capital empleado, crea más de $15 anuales de valor neto por encima de lo que exigen accionistas y bancos. Posee ventajas competitivas profundas y duraderas.</w:t>
            </w:r>
          </w:p>
        </w:tc>
      </w:tr>
    </w:tbl>
    <w:p>
      <w:pPr>
        <w:spacing w:before="0" w:after="120"/>
      </w:pPr>
    </w:p>
    <w:p>
      <w:pPr>
        <w:pStyle w:val="Heading2"/>
      </w:pPr>
      <w:r>
        <w:t>11.1. Bloque A: Auditoría de Parámetros de Mercado en Tiempo Real</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3168"/>
        <w:gridCol w:w="1728"/>
        <w:gridCol w:w="2592"/>
        <w:gridCol w:w="2304"/>
      </w:tblGrid>
      <w:tr>
        <w:tc>
          <w:tcPr>
            <w:tcW w:type="dxa" w:w="2448"/>
            <w:shd w:fill="1B365D"/>
            <w:tcMar>
              <w:top w:w="80" w:type="dxa"/>
              <w:bottom w:w="80" w:type="dxa"/>
              <w:left w:w="100" w:type="dxa"/>
              <w:right w:w="100" w:type="dxa"/>
            </w:tcMar>
          </w:tcPr>
          <w:p>
            <w:r>
              <w:rPr>
                <w:b/>
                <w:color w:val="FFFFFF"/>
                <w:sz w:val="18"/>
              </w:rPr>
              <w:t>Variable de Mercado</w:t>
            </w:r>
          </w:p>
        </w:tc>
        <w:tc>
          <w:tcPr>
            <w:tcW w:type="dxa" w:w="2448"/>
            <w:shd w:fill="1B365D"/>
            <w:tcMar>
              <w:top w:w="80" w:type="dxa"/>
              <w:bottom w:w="80" w:type="dxa"/>
              <w:left w:w="100" w:type="dxa"/>
              <w:right w:w="100" w:type="dxa"/>
            </w:tcMar>
          </w:tcPr>
          <w:p>
            <w:r>
              <w:rPr>
                <w:b/>
                <w:color w:val="FFFFFF"/>
                <w:sz w:val="18"/>
              </w:rPr>
              <w:t>Valor Validado</w:t>
            </w:r>
          </w:p>
        </w:tc>
        <w:tc>
          <w:tcPr>
            <w:tcW w:type="dxa" w:w="2448"/>
            <w:shd w:fill="1B365D"/>
            <w:tcMar>
              <w:top w:w="80" w:type="dxa"/>
              <w:bottom w:w="80" w:type="dxa"/>
              <w:left w:w="100" w:type="dxa"/>
              <w:right w:w="100" w:type="dxa"/>
            </w:tcMar>
          </w:tcPr>
          <w:p>
            <w:r>
              <w:rPr>
                <w:b/>
                <w:color w:val="FFFFFF"/>
                <w:sz w:val="18"/>
              </w:rPr>
              <w:t>Fuentes Consultadas</w:t>
            </w:r>
          </w:p>
        </w:tc>
        <w:tc>
          <w:tcPr>
            <w:tcW w:type="dxa" w:w="2448"/>
            <w:shd w:fill="1B365D"/>
            <w:tcMar>
              <w:top w:w="80" w:type="dxa"/>
              <w:bottom w:w="80" w:type="dxa"/>
              <w:left w:w="100" w:type="dxa"/>
              <w:right w:w="100" w:type="dxa"/>
            </w:tcMar>
          </w:tcPr>
          <w:p>
            <w:r>
              <w:rPr>
                <w:b/>
                <w:color w:val="FFFFFF"/>
                <w:sz w:val="18"/>
              </w:rPr>
              <w:t>Estatus de Auditoría</w:t>
            </w:r>
          </w:p>
        </w:tc>
      </w:tr>
      <w:tr>
        <w:tc>
          <w:tcPr>
            <w:tcW w:type="dxa" w:w="2448"/>
            <w:tcMar>
              <w:top w:w="60" w:type="dxa"/>
              <w:bottom w:w="60" w:type="dxa"/>
              <w:left w:w="100" w:type="dxa"/>
              <w:right w:w="100" w:type="dxa"/>
            </w:tcMar>
          </w:tcPr>
          <w:p>
            <w:r>
              <w:rPr>
                <w:b/>
                <w:sz w:val="17"/>
              </w:rPr>
              <w:t>Precio de Mercado de la Acción</w:t>
            </w:r>
          </w:p>
        </w:tc>
        <w:tc>
          <w:tcPr>
            <w:tcW w:type="dxa" w:w="2448"/>
            <w:tcMar>
              <w:top w:w="60" w:type="dxa"/>
              <w:bottom w:w="60" w:type="dxa"/>
              <w:left w:w="100" w:type="dxa"/>
              <w:right w:w="100" w:type="dxa"/>
            </w:tcMar>
          </w:tcPr>
          <w:p>
            <w:r>
              <w:rPr>
                <w:sz w:val="17"/>
              </w:rPr>
              <w:t>$80.23</w:t>
            </w:r>
          </w:p>
        </w:tc>
        <w:tc>
          <w:tcPr>
            <w:tcW w:type="dxa" w:w="2448"/>
            <w:tcMar>
              <w:top w:w="60" w:type="dxa"/>
              <w:bottom w:w="60" w:type="dxa"/>
              <w:left w:w="100" w:type="dxa"/>
              <w:right w:w="100" w:type="dxa"/>
            </w:tcMar>
          </w:tcPr>
          <w:p>
            <w:r>
              <w:rPr>
                <w:sz w:val="17"/>
              </w:rPr>
              <w:t>Yahoo Finance / CNBC Quotes</w:t>
            </w:r>
          </w:p>
        </w:tc>
        <w:tc>
          <w:tcPr>
            <w:tcW w:type="dxa" w:w="2448"/>
            <w:tcMar>
              <w:top w:w="60" w:type="dxa"/>
              <w:bottom w:w="60" w:type="dxa"/>
              <w:left w:w="100" w:type="dxa"/>
              <w:right w:w="100" w:type="dxa"/>
            </w:tcMar>
          </w:tcPr>
          <w:p>
            <w:r>
              <w:rPr>
                <w:sz w:val="17"/>
              </w:rPr>
              <w:t>Consenso Validado (Δ &lt; 0.1%)</w:t>
            </w:r>
          </w:p>
        </w:tc>
      </w:tr>
      <w:tr>
        <w:tc>
          <w:tcPr>
            <w:tcW w:type="dxa" w:w="2448"/>
            <w:tcMar>
              <w:top w:w="60" w:type="dxa"/>
              <w:bottom w:w="60" w:type="dxa"/>
              <w:left w:w="100" w:type="dxa"/>
              <w:right w:w="100" w:type="dxa"/>
            </w:tcMar>
            <w:shd w:fill="F7FAFC"/>
          </w:tcPr>
          <w:p>
            <w:r>
              <w:rPr>
                <w:b/>
                <w:sz w:val="17"/>
              </w:rPr>
              <w:t>Capitalización Bursátil (Market Cap - E)</w:t>
            </w:r>
          </w:p>
        </w:tc>
        <w:tc>
          <w:tcPr>
            <w:tcW w:type="dxa" w:w="2448"/>
            <w:tcMar>
              <w:top w:w="60" w:type="dxa"/>
              <w:bottom w:w="60" w:type="dxa"/>
              <w:left w:w="100" w:type="dxa"/>
              <w:right w:w="100" w:type="dxa"/>
            </w:tcMar>
            <w:shd w:fill="F7FAFC"/>
          </w:tcPr>
          <w:p>
            <w:r>
              <w:rPr>
                <w:sz w:val="17"/>
              </w:rPr>
              <w:t>$11,116.6M</w:t>
            </w:r>
          </w:p>
        </w:tc>
        <w:tc>
          <w:tcPr>
            <w:tcW w:type="dxa" w:w="2448"/>
            <w:tcMar>
              <w:top w:w="60" w:type="dxa"/>
              <w:bottom w:w="60" w:type="dxa"/>
              <w:left w:w="100" w:type="dxa"/>
              <w:right w:w="100" w:type="dxa"/>
            </w:tcMar>
            <w:shd w:fill="F7FAFC"/>
          </w:tcPr>
          <w:p>
            <w:r>
              <w:rPr>
                <w:sz w:val="17"/>
              </w:rPr>
              <w:t>Arbitraje SEC 10-Q &amp; Mercado</w:t>
            </w:r>
          </w:p>
        </w:tc>
        <w:tc>
          <w:tcPr>
            <w:tcW w:type="dxa" w:w="2448"/>
            <w:tcMar>
              <w:top w:w="60" w:type="dxa"/>
              <w:bottom w:w="60" w:type="dxa"/>
              <w:left w:w="100" w:type="dxa"/>
              <w:right w:w="100" w:type="dxa"/>
            </w:tcMar>
            <w:shd w:fill="F7FAFC"/>
          </w:tcPr>
          <w:p>
            <w:r>
              <w:rPr>
                <w:sz w:val="17"/>
              </w:rPr>
              <w:t>Conteo Diluido Auditado</w:t>
            </w:r>
          </w:p>
        </w:tc>
      </w:tr>
      <w:tr>
        <w:tc>
          <w:tcPr>
            <w:tcW w:type="dxa" w:w="2448"/>
            <w:tcMar>
              <w:top w:w="60" w:type="dxa"/>
              <w:bottom w:w="60" w:type="dxa"/>
              <w:left w:w="100" w:type="dxa"/>
              <w:right w:w="100" w:type="dxa"/>
            </w:tcMar>
          </w:tcPr>
          <w:p>
            <w:r>
              <w:rPr>
                <w:b/>
                <w:sz w:val="17"/>
              </w:rPr>
              <w:t>Tasa Libre de Riesgo (Rf - Bono 10Y)</w:t>
            </w:r>
          </w:p>
        </w:tc>
        <w:tc>
          <w:tcPr>
            <w:tcW w:type="dxa" w:w="2448"/>
            <w:tcMar>
              <w:top w:w="60" w:type="dxa"/>
              <w:bottom w:w="60" w:type="dxa"/>
              <w:left w:w="100" w:type="dxa"/>
              <w:right w:w="100" w:type="dxa"/>
            </w:tcMar>
          </w:tcPr>
          <w:p>
            <w:r>
              <w:rPr>
                <w:sz w:val="17"/>
              </w:rPr>
              <w:t>4.94%</w:t>
            </w:r>
          </w:p>
        </w:tc>
        <w:tc>
          <w:tcPr>
            <w:tcW w:type="dxa" w:w="2448"/>
            <w:tcMar>
              <w:top w:w="60" w:type="dxa"/>
              <w:bottom w:w="60" w:type="dxa"/>
              <w:left w:w="100" w:type="dxa"/>
              <w:right w:w="100" w:type="dxa"/>
            </w:tcMar>
          </w:tcPr>
          <w:p>
            <w:r>
              <w:rPr>
                <w:sz w:val="17"/>
              </w:rPr>
              <w:t>Yahoo ^TNX / CNBC US10Y</w:t>
            </w:r>
          </w:p>
        </w:tc>
        <w:tc>
          <w:tcPr>
            <w:tcW w:type="dxa" w:w="2448"/>
            <w:tcMar>
              <w:top w:w="60" w:type="dxa"/>
              <w:bottom w:w="60" w:type="dxa"/>
              <w:left w:w="100" w:type="dxa"/>
              <w:right w:w="100" w:type="dxa"/>
            </w:tcMar>
          </w:tcPr>
          <w:p>
            <w:r>
              <w:rPr>
                <w:sz w:val="17"/>
              </w:rPr>
              <w:t>Δ &lt; 0.05% (Consensuado)</w:t>
            </w:r>
          </w:p>
        </w:tc>
      </w:tr>
      <w:tr>
        <w:tc>
          <w:tcPr>
            <w:tcW w:type="dxa" w:w="2448"/>
            <w:tcMar>
              <w:top w:w="60" w:type="dxa"/>
              <w:bottom w:w="60" w:type="dxa"/>
              <w:left w:w="100" w:type="dxa"/>
              <w:right w:w="100" w:type="dxa"/>
            </w:tcMar>
            <w:shd w:fill="F7FAFC"/>
          </w:tcPr>
          <w:p>
            <w:r>
              <w:rPr>
                <w:b/>
                <w:sz w:val="17"/>
              </w:rPr>
              <w:t>Beta de la Acción (β)</w:t>
            </w:r>
          </w:p>
        </w:tc>
        <w:tc>
          <w:tcPr>
            <w:tcW w:type="dxa" w:w="2448"/>
            <w:tcMar>
              <w:top w:w="60" w:type="dxa"/>
              <w:bottom w:w="60" w:type="dxa"/>
              <w:left w:w="100" w:type="dxa"/>
              <w:right w:w="100" w:type="dxa"/>
            </w:tcMar>
            <w:shd w:fill="F7FAFC"/>
          </w:tcPr>
          <w:p>
            <w:r>
              <w:rPr>
                <w:sz w:val="17"/>
              </w:rPr>
              <w:t>1.13</w:t>
            </w:r>
          </w:p>
        </w:tc>
        <w:tc>
          <w:tcPr>
            <w:tcW w:type="dxa" w:w="2448"/>
            <w:tcMar>
              <w:top w:w="60" w:type="dxa"/>
              <w:bottom w:w="60" w:type="dxa"/>
              <w:left w:w="100" w:type="dxa"/>
              <w:right w:w="100" w:type="dxa"/>
            </w:tcMar>
            <w:shd w:fill="F7FAFC"/>
          </w:tcPr>
          <w:p>
            <w:r>
              <w:rPr>
                <w:sz w:val="17"/>
              </w:rPr>
              <w:t>Yahoo 5Y Monthly / CNBC</w:t>
            </w:r>
          </w:p>
        </w:tc>
        <w:tc>
          <w:tcPr>
            <w:tcW w:type="dxa" w:w="2448"/>
            <w:tcMar>
              <w:top w:w="60" w:type="dxa"/>
              <w:bottom w:w="60" w:type="dxa"/>
              <w:left w:w="100" w:type="dxa"/>
              <w:right w:w="100" w:type="dxa"/>
            </w:tcMar>
            <w:shd w:fill="F7FAFC"/>
          </w:tcPr>
          <w:p>
            <w:r>
              <w:rPr>
                <w:sz w:val="17"/>
              </w:rPr>
              <w:t>Rango Estadístico Sectorial</w:t>
            </w:r>
          </w:p>
        </w:tc>
      </w:tr>
      <w:tr>
        <w:tc>
          <w:tcPr>
            <w:tcW w:type="dxa" w:w="2448"/>
            <w:tcMar>
              <w:top w:w="60" w:type="dxa"/>
              <w:bottom w:w="60" w:type="dxa"/>
              <w:left w:w="100" w:type="dxa"/>
              <w:right w:w="100" w:type="dxa"/>
            </w:tcMar>
          </w:tcPr>
          <w:p>
            <w:r>
              <w:rPr>
                <w:b/>
                <w:sz w:val="17"/>
              </w:rPr>
              <w:t>Prima de Riesgo de Mercado (ERP)</w:t>
            </w:r>
          </w:p>
        </w:tc>
        <w:tc>
          <w:tcPr>
            <w:tcW w:type="dxa" w:w="2448"/>
            <w:tcMar>
              <w:top w:w="60" w:type="dxa"/>
              <w:bottom w:w="60" w:type="dxa"/>
              <w:left w:w="100" w:type="dxa"/>
              <w:right w:w="100" w:type="dxa"/>
            </w:tcMar>
          </w:tcPr>
          <w:p>
            <w:r>
              <w:rPr>
                <w:sz w:val="17"/>
              </w:rPr>
              <w:t>4.75%</w:t>
            </w:r>
          </w:p>
        </w:tc>
        <w:tc>
          <w:tcPr>
            <w:tcW w:type="dxa" w:w="2448"/>
            <w:tcMar>
              <w:top w:w="60" w:type="dxa"/>
              <w:bottom w:w="60" w:type="dxa"/>
              <w:left w:w="100" w:type="dxa"/>
              <w:right w:w="100" w:type="dxa"/>
            </w:tcMar>
          </w:tcPr>
          <w:p>
            <w:r>
              <w:rPr>
                <w:sz w:val="17"/>
              </w:rPr>
              <w:t>Benchmark NYU Stern (Damodaran)</w:t>
            </w:r>
          </w:p>
        </w:tc>
        <w:tc>
          <w:tcPr>
            <w:tcW w:type="dxa" w:w="2448"/>
            <w:tcMar>
              <w:top w:w="60" w:type="dxa"/>
              <w:bottom w:w="60" w:type="dxa"/>
              <w:left w:w="100" w:type="dxa"/>
              <w:right w:w="100" w:type="dxa"/>
            </w:tcMar>
          </w:tcPr>
          <w:p>
            <w:r>
              <w:rPr>
                <w:sz w:val="17"/>
              </w:rPr>
              <w:t>Estándar Institucional</w:t>
            </w:r>
          </w:p>
        </w:tc>
      </w:tr>
    </w:tbl>
    <w:p/>
    <w:p>
      <w:pPr>
        <w:pStyle w:val="Heading2"/>
      </w:pPr>
      <w:r>
        <w:t>11.2. Desglose y Explicación del ROC Tangible (Joel Greenblatt)</w:t>
      </w:r>
    </w:p>
    <w:p>
      <w:r>
        <w:rPr>
          <w:sz w:val="19"/>
        </w:rPr>
        <w:t>El Return on Capital (ROC) de Joel Greenblatt evalúa la rentabilidad operativa pura antes de impuestos (EBIT) sobre los activos físicos tangibles (Capital de Trabajo Neto Operativo + PP&amp;E Físico). Para Deckers Outdoor Corporation, el ROC de 234.09% refleja un modelo extraordinariamente Asset-Light, donde los proveedores financian el circulante (NWC negativo) y la manufactura es subcontratada, rindiendo más de $3.00 de beneficio por dólar instalado.</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592"/>
        <w:gridCol w:w="1296"/>
        <w:gridCol w:w="1296"/>
        <w:gridCol w:w="2160"/>
        <w:gridCol w:w="2448"/>
      </w:tblGrid>
      <w:tr>
        <w:tc>
          <w:tcPr>
            <w:tcW w:type="dxa" w:w="1958"/>
            <w:shd w:fill="1B365D"/>
            <w:tcMar>
              <w:top w:w="80" w:type="dxa"/>
              <w:bottom w:w="80" w:type="dxa"/>
              <w:left w:w="100" w:type="dxa"/>
              <w:right w:w="100" w:type="dxa"/>
            </w:tcMar>
          </w:tcPr>
          <w:p>
            <w:r>
              <w:rPr>
                <w:b/>
                <w:color w:val="FFFFFF"/>
                <w:sz w:val="17"/>
              </w:rPr>
              <w:t>Partida Contable / Paso</w:t>
            </w:r>
          </w:p>
        </w:tc>
        <w:tc>
          <w:tcPr>
            <w:tcW w:type="dxa" w:w="1958"/>
            <w:shd w:fill="1B365D"/>
            <w:tcMar>
              <w:top w:w="80" w:type="dxa"/>
              <w:bottom w:w="80" w:type="dxa"/>
              <w:left w:w="100" w:type="dxa"/>
              <w:right w:w="100" w:type="dxa"/>
            </w:tcMar>
          </w:tcPr>
          <w:p>
            <w:r>
              <w:rPr>
                <w:b/>
                <w:color w:val="FFFFFF"/>
                <w:sz w:val="17"/>
              </w:rPr>
              <w:t>LTM</w:t>
            </w:r>
          </w:p>
        </w:tc>
        <w:tc>
          <w:tcPr>
            <w:tcW w:type="dxa" w:w="1958"/>
            <w:shd w:fill="1B365D"/>
            <w:tcMar>
              <w:top w:w="80" w:type="dxa"/>
              <w:bottom w:w="80" w:type="dxa"/>
              <w:left w:w="100" w:type="dxa"/>
              <w:right w:w="100" w:type="dxa"/>
            </w:tcMar>
          </w:tcPr>
          <w:p>
            <w:r>
              <w:rPr>
                <w:b/>
                <w:color w:val="FFFFFF"/>
                <w:sz w:val="17"/>
              </w:rPr>
              <w:t>FY2026</w:t>
            </w:r>
          </w:p>
        </w:tc>
        <w:tc>
          <w:tcPr>
            <w:tcW w:type="dxa" w:w="1958"/>
            <w:shd w:fill="1B365D"/>
            <w:tcMar>
              <w:top w:w="80" w:type="dxa"/>
              <w:bottom w:w="80" w:type="dxa"/>
              <w:left w:w="100" w:type="dxa"/>
              <w:right w:w="100" w:type="dxa"/>
            </w:tcMar>
          </w:tcPr>
          <w:p>
            <w:r>
              <w:rPr>
                <w:b/>
                <w:color w:val="FFFFFF"/>
                <w:sz w:val="17"/>
              </w:rPr>
              <w:t>Origen en Balances SEC</w:t>
            </w:r>
          </w:p>
        </w:tc>
        <w:tc>
          <w:tcPr>
            <w:tcW w:type="dxa" w:w="1958"/>
            <w:shd w:fill="1B365D"/>
            <w:tcMar>
              <w:top w:w="80" w:type="dxa"/>
              <w:bottom w:w="80" w:type="dxa"/>
              <w:left w:w="100" w:type="dxa"/>
              <w:right w:w="100" w:type="dxa"/>
            </w:tcMar>
          </w:tcPr>
          <w:p>
            <w:r>
              <w:rPr>
                <w:b/>
                <w:color w:val="FFFFFF"/>
                <w:sz w:val="17"/>
              </w:rPr>
              <w:t>Criterio y Salvaguarda Contable</w:t>
            </w:r>
          </w:p>
        </w:tc>
      </w:tr>
      <w:tr>
        <w:tc>
          <w:tcPr>
            <w:tcW w:type="dxa" w:w="1958"/>
            <w:tcMar>
              <w:top w:w="60" w:type="dxa"/>
              <w:bottom w:w="60" w:type="dxa"/>
              <w:left w:w="100" w:type="dxa"/>
              <w:right w:w="100" w:type="dxa"/>
            </w:tcMar>
          </w:tcPr>
          <w:p>
            <w:r>
              <w:rPr>
                <w:b/>
                <w:sz w:val="17"/>
              </w:rPr>
              <w:t>(+) Beneficio Operativo (EBIT)</w:t>
            </w:r>
          </w:p>
        </w:tc>
        <w:tc>
          <w:tcPr>
            <w:tcW w:type="dxa" w:w="1958"/>
            <w:tcMar>
              <w:top w:w="60" w:type="dxa"/>
              <w:bottom w:w="60" w:type="dxa"/>
              <w:left w:w="100" w:type="dxa"/>
              <w:right w:w="100" w:type="dxa"/>
            </w:tcMar>
          </w:tcPr>
          <w:p>
            <w:r>
              <w:rPr>
                <w:b/>
                <w:sz w:val="17"/>
              </w:rPr>
              <w:t>$1,252.9M</w:t>
            </w:r>
          </w:p>
        </w:tc>
        <w:tc>
          <w:tcPr>
            <w:tcW w:type="dxa" w:w="1958"/>
            <w:tcMar>
              <w:top w:w="60" w:type="dxa"/>
              <w:bottom w:w="60" w:type="dxa"/>
              <w:left w:w="100" w:type="dxa"/>
              <w:right w:w="100" w:type="dxa"/>
            </w:tcMar>
          </w:tcPr>
          <w:p>
            <w:r>
              <w:rPr>
                <w:sz w:val="17"/>
              </w:rPr>
              <w:t>$1,262.9M</w:t>
            </w:r>
          </w:p>
        </w:tc>
        <w:tc>
          <w:tcPr>
            <w:tcW w:type="dxa" w:w="1958"/>
            <w:tcMar>
              <w:top w:w="60" w:type="dxa"/>
              <w:bottom w:w="60" w:type="dxa"/>
              <w:left w:w="100" w:type="dxa"/>
              <w:right w:w="100" w:type="dxa"/>
            </w:tcMar>
          </w:tcPr>
          <w:p>
            <w:r>
              <w:rPr>
                <w:sz w:val="17"/>
              </w:rPr>
              <w:t>Income Statement (Operating Income)</w:t>
            </w:r>
          </w:p>
        </w:tc>
        <w:tc>
          <w:tcPr>
            <w:tcW w:type="dxa" w:w="1958"/>
            <w:tcMar>
              <w:top w:w="60" w:type="dxa"/>
              <w:bottom w:w="60" w:type="dxa"/>
              <w:left w:w="100" w:type="dxa"/>
              <w:right w:w="100" w:type="dxa"/>
            </w:tcMar>
          </w:tcPr>
          <w:p>
            <w:r>
              <w:rPr>
                <w:sz w:val="17"/>
              </w:rPr>
              <w:t>Beneficio operativo puro antes de intereses e impuestos.</w:t>
            </w:r>
          </w:p>
        </w:tc>
      </w:tr>
      <w:tr>
        <w:tc>
          <w:tcPr>
            <w:tcW w:type="dxa" w:w="1958"/>
            <w:tcMar>
              <w:top w:w="60" w:type="dxa"/>
              <w:bottom w:w="60" w:type="dxa"/>
              <w:left w:w="100" w:type="dxa"/>
              <w:right w:w="100" w:type="dxa"/>
            </w:tcMar>
            <w:shd w:fill="F7FAFC"/>
          </w:tcPr>
          <w:p>
            <w:r>
              <w:rPr>
                <w:b/>
                <w:sz w:val="17"/>
              </w:rPr>
              <w:t>(+) Activos Corrientes Operativos</w:t>
            </w:r>
          </w:p>
        </w:tc>
        <w:tc>
          <w:tcPr>
            <w:tcW w:type="dxa" w:w="1958"/>
            <w:tcMar>
              <w:top w:w="60" w:type="dxa"/>
              <w:bottom w:w="60" w:type="dxa"/>
              <w:left w:w="100" w:type="dxa"/>
              <w:right w:w="100" w:type="dxa"/>
            </w:tcMar>
            <w:shd w:fill="F7FAFC"/>
          </w:tcPr>
          <w:p>
            <w:r>
              <w:rPr>
                <w:b/>
                <w:sz w:val="17"/>
              </w:rPr>
              <w:t>$1,319.4M</w:t>
            </w:r>
          </w:p>
        </w:tc>
        <w:tc>
          <w:tcPr>
            <w:tcW w:type="dxa" w:w="1958"/>
            <w:tcMar>
              <w:top w:w="60" w:type="dxa"/>
              <w:bottom w:w="60" w:type="dxa"/>
              <w:left w:w="100" w:type="dxa"/>
              <w:right w:w="100" w:type="dxa"/>
            </w:tcMar>
            <w:shd w:fill="F7FAFC"/>
          </w:tcPr>
          <w:p>
            <w:r>
              <w:rPr>
                <w:sz w:val="17"/>
              </w:rPr>
              <w:t>$943.2M</w:t>
            </w:r>
          </w:p>
        </w:tc>
        <w:tc>
          <w:tcPr>
            <w:tcW w:type="dxa" w:w="1958"/>
            <w:tcMar>
              <w:top w:w="60" w:type="dxa"/>
              <w:bottom w:w="60" w:type="dxa"/>
              <w:left w:w="100" w:type="dxa"/>
              <w:right w:w="100" w:type="dxa"/>
            </w:tcMar>
            <w:shd w:fill="F7FAFC"/>
          </w:tcPr>
          <w:p>
            <w:r>
              <w:rPr>
                <w:sz w:val="17"/>
              </w:rPr>
              <w:t>Balance Sheet (Current Assets)</w:t>
            </w:r>
          </w:p>
        </w:tc>
        <w:tc>
          <w:tcPr>
            <w:tcW w:type="dxa" w:w="1958"/>
            <w:tcMar>
              <w:top w:w="60" w:type="dxa"/>
              <w:bottom w:w="60" w:type="dxa"/>
              <w:left w:w="100" w:type="dxa"/>
              <w:right w:w="100" w:type="dxa"/>
            </w:tcMar>
            <w:shd w:fill="F7FAFC"/>
          </w:tcPr>
          <w:p>
            <w:r>
              <w:rPr>
                <w:sz w:val="17"/>
              </w:rPr>
              <w:t>Total Current Assets menos Efectivo y Valores Negociables.</w:t>
            </w:r>
          </w:p>
        </w:tc>
      </w:tr>
      <w:tr>
        <w:tc>
          <w:tcPr>
            <w:tcW w:type="dxa" w:w="1958"/>
            <w:tcMar>
              <w:top w:w="60" w:type="dxa"/>
              <w:bottom w:w="60" w:type="dxa"/>
              <w:left w:w="100" w:type="dxa"/>
              <w:right w:w="100" w:type="dxa"/>
            </w:tcMar>
          </w:tcPr>
          <w:p>
            <w:r>
              <w:rPr>
                <w:b/>
                <w:sz w:val="17"/>
              </w:rPr>
              <w:t>(-) Pasivos Corrientes Operativos</w:t>
            </w:r>
          </w:p>
        </w:tc>
        <w:tc>
          <w:tcPr>
            <w:tcW w:type="dxa" w:w="1958"/>
            <w:tcMar>
              <w:top w:w="60" w:type="dxa"/>
              <w:bottom w:w="60" w:type="dxa"/>
              <w:left w:w="100" w:type="dxa"/>
              <w:right w:w="100" w:type="dxa"/>
            </w:tcMar>
          </w:tcPr>
          <w:p>
            <w:r>
              <w:rPr>
                <w:b/>
                <w:sz w:val="17"/>
              </w:rPr>
              <w:t>$1,063.6M</w:t>
            </w:r>
          </w:p>
        </w:tc>
        <w:tc>
          <w:tcPr>
            <w:tcW w:type="dxa" w:w="1958"/>
            <w:tcMar>
              <w:top w:w="60" w:type="dxa"/>
              <w:bottom w:w="60" w:type="dxa"/>
              <w:left w:w="100" w:type="dxa"/>
              <w:right w:w="100" w:type="dxa"/>
            </w:tcMar>
          </w:tcPr>
          <w:p>
            <w:r>
              <w:rPr>
                <w:sz w:val="17"/>
              </w:rPr>
              <w:t>$804.1M</w:t>
            </w:r>
          </w:p>
        </w:tc>
        <w:tc>
          <w:tcPr>
            <w:tcW w:type="dxa" w:w="1958"/>
            <w:tcMar>
              <w:top w:w="60" w:type="dxa"/>
              <w:bottom w:w="60" w:type="dxa"/>
              <w:left w:w="100" w:type="dxa"/>
              <w:right w:w="100" w:type="dxa"/>
            </w:tcMar>
          </w:tcPr>
          <w:p>
            <w:r>
              <w:rPr>
                <w:sz w:val="17"/>
              </w:rPr>
              <w:t>Balance Sheet (Current Liabilities)</w:t>
            </w:r>
          </w:p>
        </w:tc>
        <w:tc>
          <w:tcPr>
            <w:tcW w:type="dxa" w:w="1958"/>
            <w:tcMar>
              <w:top w:w="60" w:type="dxa"/>
              <w:bottom w:w="60" w:type="dxa"/>
              <w:left w:w="100" w:type="dxa"/>
              <w:right w:w="100" w:type="dxa"/>
            </w:tcMar>
          </w:tcPr>
          <w:p>
            <w:r>
              <w:rPr>
                <w:sz w:val="17"/>
              </w:rPr>
              <w:t>Total Current Liabilities menos Deuda CP / Papel Comercial.</w:t>
            </w:r>
          </w:p>
        </w:tc>
      </w:tr>
      <w:tr>
        <w:tc>
          <w:tcPr>
            <w:tcW w:type="dxa" w:w="1958"/>
            <w:tcMar>
              <w:top w:w="60" w:type="dxa"/>
              <w:bottom w:w="60" w:type="dxa"/>
              <w:left w:w="100" w:type="dxa"/>
              <w:right w:w="100" w:type="dxa"/>
            </w:tcMar>
            <w:shd w:fill="F7FAFC"/>
          </w:tcPr>
          <w:p>
            <w:r>
              <w:rPr>
                <w:b/>
                <w:sz w:val="17"/>
              </w:rPr>
              <w:t>(=) Capital de Trabajo Neto Operativo (NWC)</w:t>
            </w:r>
          </w:p>
        </w:tc>
        <w:tc>
          <w:tcPr>
            <w:tcW w:type="dxa" w:w="1958"/>
            <w:tcMar>
              <w:top w:w="60" w:type="dxa"/>
              <w:bottom w:w="60" w:type="dxa"/>
              <w:left w:w="100" w:type="dxa"/>
              <w:right w:w="100" w:type="dxa"/>
            </w:tcMar>
            <w:shd w:fill="F7FAFC"/>
          </w:tcPr>
          <w:p>
            <w:r>
              <w:rPr>
                <w:b/>
                <w:sz w:val="17"/>
              </w:rPr>
              <w:t>$255.8M</w:t>
            </w:r>
          </w:p>
        </w:tc>
        <w:tc>
          <w:tcPr>
            <w:tcW w:type="dxa" w:w="1958"/>
            <w:tcMar>
              <w:top w:w="60" w:type="dxa"/>
              <w:bottom w:w="60" w:type="dxa"/>
              <w:left w:w="100" w:type="dxa"/>
              <w:right w:w="100" w:type="dxa"/>
            </w:tcMar>
            <w:shd w:fill="F7FAFC"/>
          </w:tcPr>
          <w:p>
            <w:r>
              <w:rPr>
                <w:sz w:val="17"/>
              </w:rPr>
              <w:t>$139.1M</w:t>
            </w:r>
          </w:p>
        </w:tc>
        <w:tc>
          <w:tcPr>
            <w:tcW w:type="dxa" w:w="1958"/>
            <w:tcMar>
              <w:top w:w="60" w:type="dxa"/>
              <w:bottom w:w="60" w:type="dxa"/>
              <w:left w:w="100" w:type="dxa"/>
              <w:right w:w="100" w:type="dxa"/>
            </w:tcMar>
            <w:shd w:fill="F7FAFC"/>
          </w:tcPr>
          <w:p>
            <w:r>
              <w:rPr>
                <w:sz w:val="17"/>
              </w:rPr>
              <w:t>Cálculo Operativo Derivado</w:t>
            </w:r>
          </w:p>
        </w:tc>
        <w:tc>
          <w:tcPr>
            <w:tcW w:type="dxa" w:w="1958"/>
            <w:tcMar>
              <w:top w:w="60" w:type="dxa"/>
              <w:bottom w:w="60" w:type="dxa"/>
              <w:left w:w="100" w:type="dxa"/>
              <w:right w:w="100" w:type="dxa"/>
            </w:tcMar>
            <w:shd w:fill="F7FAFC"/>
          </w:tcPr>
          <w:p>
            <w:r>
              <w:rPr>
                <w:sz w:val="17"/>
              </w:rPr>
              <w:t>Activos Op. - Pasivos Op. (Financiación espontánea si es negativo).</w:t>
            </w:r>
          </w:p>
        </w:tc>
      </w:tr>
      <w:tr>
        <w:tc>
          <w:tcPr>
            <w:tcW w:type="dxa" w:w="1958"/>
            <w:tcMar>
              <w:top w:w="60" w:type="dxa"/>
              <w:bottom w:w="60" w:type="dxa"/>
              <w:left w:w="100" w:type="dxa"/>
              <w:right w:w="100" w:type="dxa"/>
            </w:tcMar>
          </w:tcPr>
          <w:p>
            <w:r>
              <w:rPr>
                <w:b/>
                <w:sz w:val="17"/>
              </w:rPr>
              <w:t>(+) PP&amp;E Neto (Propiedad, Planta y Equipo)</w:t>
            </w:r>
          </w:p>
        </w:tc>
        <w:tc>
          <w:tcPr>
            <w:tcW w:type="dxa" w:w="1958"/>
            <w:tcMar>
              <w:top w:w="60" w:type="dxa"/>
              <w:bottom w:w="60" w:type="dxa"/>
              <w:left w:w="100" w:type="dxa"/>
              <w:right w:w="100" w:type="dxa"/>
            </w:tcMar>
          </w:tcPr>
          <w:p>
            <w:r>
              <w:rPr>
                <w:b/>
                <w:sz w:val="17"/>
              </w:rPr>
              <w:t>$337.8M</w:t>
            </w:r>
          </w:p>
        </w:tc>
        <w:tc>
          <w:tcPr>
            <w:tcW w:type="dxa" w:w="1958"/>
            <w:tcMar>
              <w:top w:w="60" w:type="dxa"/>
              <w:bottom w:w="60" w:type="dxa"/>
              <w:left w:w="100" w:type="dxa"/>
              <w:right w:w="100" w:type="dxa"/>
            </w:tcMar>
          </w:tcPr>
          <w:p>
            <w:r>
              <w:rPr>
                <w:sz w:val="17"/>
              </w:rPr>
              <w:t>$337.8M</w:t>
            </w:r>
          </w:p>
        </w:tc>
        <w:tc>
          <w:tcPr>
            <w:tcW w:type="dxa" w:w="1958"/>
            <w:tcMar>
              <w:top w:w="60" w:type="dxa"/>
              <w:bottom w:w="60" w:type="dxa"/>
              <w:left w:w="100" w:type="dxa"/>
              <w:right w:w="100" w:type="dxa"/>
            </w:tcMar>
          </w:tcPr>
          <w:p>
            <w:r>
              <w:rPr>
                <w:sz w:val="17"/>
              </w:rPr>
              <w:t>Balance Sheet (Non-Current Assets)</w:t>
            </w:r>
          </w:p>
        </w:tc>
        <w:tc>
          <w:tcPr>
            <w:tcW w:type="dxa" w:w="1958"/>
            <w:tcMar>
              <w:top w:w="60" w:type="dxa"/>
              <w:bottom w:w="60" w:type="dxa"/>
              <w:left w:w="100" w:type="dxa"/>
              <w:right w:w="100" w:type="dxa"/>
            </w:tcMar>
          </w:tcPr>
          <w:p>
            <w:r>
              <w:rPr>
                <w:sz w:val="17"/>
              </w:rPr>
              <w:t>Activos fijos físicos tangibles netos de depreciación acumulada.</w:t>
            </w:r>
          </w:p>
        </w:tc>
      </w:tr>
      <w:tr>
        <w:tc>
          <w:tcPr>
            <w:tcW w:type="dxa" w:w="1958"/>
            <w:tcMar>
              <w:top w:w="60" w:type="dxa"/>
              <w:bottom w:w="60" w:type="dxa"/>
              <w:left w:w="100" w:type="dxa"/>
              <w:right w:w="100" w:type="dxa"/>
            </w:tcMar>
            <w:shd w:fill="F7FAFC"/>
          </w:tcPr>
          <w:p>
            <w:r>
              <w:rPr>
                <w:b/>
                <w:sz w:val="17"/>
              </w:rPr>
              <w:t>(=) Capital Tangible al Cierre</w:t>
            </w:r>
          </w:p>
        </w:tc>
        <w:tc>
          <w:tcPr>
            <w:tcW w:type="dxa" w:w="1958"/>
            <w:tcMar>
              <w:top w:w="60" w:type="dxa"/>
              <w:bottom w:w="60" w:type="dxa"/>
              <w:left w:w="100" w:type="dxa"/>
              <w:right w:w="100" w:type="dxa"/>
            </w:tcMar>
            <w:shd w:fill="F7FAFC"/>
          </w:tcPr>
          <w:p>
            <w:r>
              <w:rPr>
                <w:b/>
                <w:sz w:val="17"/>
              </w:rPr>
              <w:t>$593.6M</w:t>
            </w:r>
          </w:p>
        </w:tc>
        <w:tc>
          <w:tcPr>
            <w:tcW w:type="dxa" w:w="1958"/>
            <w:tcMar>
              <w:top w:w="60" w:type="dxa"/>
              <w:bottom w:w="60" w:type="dxa"/>
              <w:left w:w="100" w:type="dxa"/>
              <w:right w:w="100" w:type="dxa"/>
            </w:tcMar>
            <w:shd w:fill="F7FAFC"/>
          </w:tcPr>
          <w:p>
            <w:r>
              <w:rPr>
                <w:sz w:val="17"/>
              </w:rPr>
              <w:t>$476.9M</w:t>
            </w:r>
          </w:p>
        </w:tc>
        <w:tc>
          <w:tcPr>
            <w:tcW w:type="dxa" w:w="1958"/>
            <w:tcMar>
              <w:top w:w="60" w:type="dxa"/>
              <w:bottom w:w="60" w:type="dxa"/>
              <w:left w:w="100" w:type="dxa"/>
              <w:right w:w="100" w:type="dxa"/>
            </w:tcMar>
            <w:shd w:fill="F7FAFC"/>
          </w:tcPr>
          <w:p>
            <w:r>
              <w:rPr>
                <w:sz w:val="17"/>
              </w:rPr>
              <w:t>Salvaguarda Joel Greenblatt</w:t>
            </w:r>
          </w:p>
        </w:tc>
        <w:tc>
          <w:tcPr>
            <w:tcW w:type="dxa" w:w="1958"/>
            <w:tcMar>
              <w:top w:w="60" w:type="dxa"/>
              <w:bottom w:w="60" w:type="dxa"/>
              <w:left w:w="100" w:type="dxa"/>
              <w:right w:w="100" w:type="dxa"/>
            </w:tcMar>
            <w:shd w:fill="F7FAFC"/>
          </w:tcPr>
          <w:p>
            <w:r>
              <w:rPr>
                <w:sz w:val="17"/>
              </w:rPr>
              <w:t>Si NWC &lt; 0, se acota al PP&amp;E Neto (nunca menor a las plantas físicas).</w:t>
            </w:r>
          </w:p>
        </w:tc>
      </w:tr>
      <w:tr>
        <w:tc>
          <w:tcPr>
            <w:tcW w:type="dxa" w:w="1958"/>
            <w:tcMar>
              <w:top w:w="60" w:type="dxa"/>
              <w:bottom w:w="60" w:type="dxa"/>
              <w:left w:w="100" w:type="dxa"/>
              <w:right w:w="100" w:type="dxa"/>
            </w:tcMar>
          </w:tcPr>
          <w:p>
            <w:r>
              <w:rPr>
                <w:b/>
                <w:sz w:val="17"/>
              </w:rPr>
              <w:t>(=) Capital Tangible Operativo Promedio</w:t>
            </w:r>
          </w:p>
        </w:tc>
        <w:tc>
          <w:tcPr>
            <w:tcW w:type="dxa" w:w="1958"/>
            <w:tcMar>
              <w:top w:w="60" w:type="dxa"/>
              <w:bottom w:w="60" w:type="dxa"/>
              <w:left w:w="100" w:type="dxa"/>
              <w:right w:w="100" w:type="dxa"/>
            </w:tcMar>
          </w:tcPr>
          <w:p>
            <w:r>
              <w:rPr>
                <w:b/>
                <w:sz w:val="17"/>
              </w:rPr>
              <w:t>$535.2M</w:t>
            </w:r>
          </w:p>
        </w:tc>
        <w:tc>
          <w:tcPr>
            <w:tcW w:type="dxa" w:w="1958"/>
            <w:tcMar>
              <w:top w:w="60" w:type="dxa"/>
              <w:bottom w:w="60" w:type="dxa"/>
              <w:left w:w="100" w:type="dxa"/>
              <w:right w:w="100" w:type="dxa"/>
            </w:tcMar>
          </w:tcPr>
          <w:p>
            <w:r>
              <w:rPr>
                <w:sz w:val="17"/>
              </w:rPr>
              <w:t>$501.9M</w:t>
            </w:r>
          </w:p>
        </w:tc>
        <w:tc>
          <w:tcPr>
            <w:tcW w:type="dxa" w:w="1958"/>
            <w:tcMar>
              <w:top w:w="60" w:type="dxa"/>
              <w:bottom w:w="60" w:type="dxa"/>
              <w:left w:w="100" w:type="dxa"/>
              <w:right w:w="100" w:type="dxa"/>
            </w:tcMar>
          </w:tcPr>
          <w:p>
            <w:r>
              <w:rPr>
                <w:sz w:val="17"/>
              </w:rPr>
              <w:t>Denominador (Matching Principle)</w:t>
            </w:r>
          </w:p>
        </w:tc>
        <w:tc>
          <w:tcPr>
            <w:tcW w:type="dxa" w:w="1958"/>
            <w:tcMar>
              <w:top w:w="60" w:type="dxa"/>
              <w:bottom w:w="60" w:type="dxa"/>
              <w:left w:w="100" w:type="dxa"/>
              <w:right w:w="100" w:type="dxa"/>
            </w:tcMar>
          </w:tcPr>
          <w:p>
            <w:r>
              <w:rPr>
                <w:sz w:val="17"/>
              </w:rPr>
              <w:t>Promedio (t + t-1)/2 para sincronizar capital con flujo anual de EBIT.</w:t>
            </w:r>
          </w:p>
        </w:tc>
      </w:tr>
      <w:tr>
        <w:tc>
          <w:tcPr>
            <w:tcW w:type="dxa" w:w="1958"/>
            <w:tcMar>
              <w:top w:w="60" w:type="dxa"/>
              <w:bottom w:w="60" w:type="dxa"/>
              <w:left w:w="100" w:type="dxa"/>
              <w:right w:w="100" w:type="dxa"/>
            </w:tcMar>
            <w:shd w:fill="F7FAFC"/>
            <w:shd w:fill="E2EFDA"/>
          </w:tcPr>
          <w:p>
            <w:r>
              <w:rPr>
                <w:b/>
                <w:sz w:val="17"/>
              </w:rPr>
              <w:t>(=) ROC Greenblatt Tangible (%)</w:t>
            </w:r>
          </w:p>
        </w:tc>
        <w:tc>
          <w:tcPr>
            <w:tcW w:type="dxa" w:w="1958"/>
            <w:tcMar>
              <w:top w:w="60" w:type="dxa"/>
              <w:bottom w:w="60" w:type="dxa"/>
              <w:left w:w="100" w:type="dxa"/>
              <w:right w:w="100" w:type="dxa"/>
            </w:tcMar>
            <w:shd w:fill="F7FAFC"/>
            <w:shd w:fill="E2EFDA"/>
          </w:tcPr>
          <w:p>
            <w:r>
              <w:rPr>
                <w:b/>
                <w:sz w:val="17"/>
              </w:rPr>
              <w:t>234.09%</w:t>
            </w:r>
          </w:p>
        </w:tc>
        <w:tc>
          <w:tcPr>
            <w:tcW w:type="dxa" w:w="1958"/>
            <w:tcMar>
              <w:top w:w="60" w:type="dxa"/>
              <w:bottom w:w="60" w:type="dxa"/>
              <w:left w:w="100" w:type="dxa"/>
              <w:right w:w="100" w:type="dxa"/>
            </w:tcMar>
            <w:shd w:fill="F7FAFC"/>
            <w:shd w:fill="E2EFDA"/>
          </w:tcPr>
          <w:p>
            <w:r>
              <w:rPr>
                <w:b/>
                <w:sz w:val="17"/>
              </w:rPr>
              <w:t>251.62%</w:t>
            </w:r>
          </w:p>
        </w:tc>
        <w:tc>
          <w:tcPr>
            <w:tcW w:type="dxa" w:w="1958"/>
            <w:tcMar>
              <w:top w:w="60" w:type="dxa"/>
              <w:bottom w:w="60" w:type="dxa"/>
              <w:left w:w="100" w:type="dxa"/>
              <w:right w:w="100" w:type="dxa"/>
            </w:tcMar>
            <w:shd w:fill="F7FAFC"/>
            <w:shd w:fill="E2EFDA"/>
          </w:tcPr>
          <w:p>
            <w:r>
              <w:rPr>
                <w:b/>
                <w:sz w:val="17"/>
              </w:rPr>
              <w:t>Ratio Final de Productividad</w:t>
            </w:r>
          </w:p>
        </w:tc>
        <w:tc>
          <w:tcPr>
            <w:tcW w:type="dxa" w:w="1958"/>
            <w:tcMar>
              <w:top w:w="60" w:type="dxa"/>
              <w:bottom w:w="60" w:type="dxa"/>
              <w:left w:w="100" w:type="dxa"/>
              <w:right w:w="100" w:type="dxa"/>
            </w:tcMar>
            <w:shd w:fill="F7FAFC"/>
            <w:shd w:fill="E2EFDA"/>
          </w:tcPr>
          <w:p>
            <w:r>
              <w:rPr>
                <w:b/>
                <w:sz w:val="17"/>
              </w:rPr>
              <w:t>EBIT / Capital Tangible Promedio.</w:t>
            </w:r>
          </w:p>
        </w:tc>
      </w:tr>
    </w:tbl>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top w:val="none"/>
              <w:left w:val="single" w:sz="24" w:space="0" w:color="1B365D"/>
              <w:bottom w:val="none"/>
              <w:right w:val="none"/>
            </w:tcBorders>
          </w:tcPr>
          <w:p>
            <w:pPr>
              <w:spacing w:before="0" w:after="60" w:line="276" w:lineRule="auto"/>
            </w:pPr>
            <w:r>
              <w:rPr>
                <w:rFonts w:ascii="Calibri" w:hAnsi="Calibri"/>
                <w:b/>
                <w:color w:val="1B365D"/>
                <w:sz w:val="21"/>
              </w:rPr>
              <w:t>📌 Guía de Auditoría: Trazabilidad del ROC en los Balances SEC</w:t>
              <w:br/>
            </w:r>
          </w:p>
          <w:p>
            <w:pPr>
              <w:spacing w:before="40" w:after="40" w:line="276" w:lineRule="auto"/>
            </w:pPr>
            <w:r>
              <w:rPr>
                <w:rFonts w:ascii="Calibri" w:hAnsi="Calibri"/>
                <w:color w:val="2D3748"/>
                <w:sz w:val="19"/>
              </w:rPr>
              <w:t>• EBIT (Operating Income): Búsquelo en el Estado Consolidado de Operaciones (Form 10-K / 10-Q).</w:t>
            </w:r>
          </w:p>
          <w:p>
            <w:pPr>
              <w:spacing w:before="40" w:after="40" w:line="276" w:lineRule="auto"/>
            </w:pPr>
            <w:r>
              <w:rPr>
                <w:rFonts w:ascii="Calibri" w:hAnsi="Calibri"/>
                <w:color w:val="2D3748"/>
                <w:sz w:val="19"/>
              </w:rPr>
              <w:t>• Activos Operativos: Tome Total Current Assets del Balance y reste Cash &amp; Marketable Securities.</w:t>
            </w:r>
          </w:p>
          <w:p>
            <w:pPr>
              <w:spacing w:before="40" w:after="40" w:line="276" w:lineRule="auto"/>
            </w:pPr>
            <w:r>
              <w:rPr>
                <w:rFonts w:ascii="Calibri" w:hAnsi="Calibri"/>
                <w:color w:val="2D3748"/>
                <w:sz w:val="19"/>
              </w:rPr>
              <w:t>• Pasivos Operativos: Tome Total Current Liabilities del Balance y reste Commercial Paper y Deuda CP.</w:t>
            </w:r>
          </w:p>
          <w:p>
            <w:pPr>
              <w:spacing w:before="40" w:after="40" w:line="276" w:lineRule="auto"/>
            </w:pPr>
            <w:r>
              <w:rPr>
                <w:rFonts w:ascii="Calibri" w:hAnsi="Calibri"/>
                <w:color w:val="2D3748"/>
                <w:sz w:val="19"/>
              </w:rPr>
              <w:t>• PP&amp;E Neto: Búsquelo en Activos No Corrientes bajo Property, plant and equipment, net.</w:t>
            </w:r>
          </w:p>
          <w:p>
            <w:pPr>
              <w:spacing w:before="40" w:after="40" w:line="276" w:lineRule="auto"/>
            </w:pPr>
            <w:r>
              <w:rPr>
                <w:rFonts w:ascii="Calibri" w:hAnsi="Calibri"/>
                <w:color w:val="2D3748"/>
                <w:sz w:val="19"/>
              </w:rPr>
              <w:t>• Salvaguarda de Capital de Trabajo Negativo: Si NWC &lt; 0, Joel Greenblatt fija el capital tangible en el PP&amp;E neto para impedir denominadores distorsionados o bases de capital negativas.</w:t>
            </w:r>
          </w:p>
        </w:tc>
      </w:tr>
    </w:tbl>
    <w:p>
      <w:pPr>
        <w:spacing w:before="0" w:after="120"/>
      </w:pPr>
    </w:p>
    <w:p>
      <w:pPr>
        <w:pStyle w:val="Heading2"/>
      </w:pPr>
      <w:r>
        <w:t>11.3. Desglose y Explicación del ROIC: Tradicional vs. Ajustado por Intangibles (Damodaran)</w:t>
      </w:r>
    </w:p>
    <w:p>
      <w:r>
        <w:rPr>
          <w:sz w:val="19"/>
        </w:rPr>
        <w:t>El ROIC Tradicional contable (90.86%) sobrestima el retorno al mandar el I+D a gasto inmediato. La metodología Damodaran capitaliza la innovación a 3 años, reconociendo $947.5M de intangibles fuera de balance. El ROIC Ajustado resultante de 53.58% refleja el verdadero retorno económico sobre el capital total invertido ($2,036.9M).</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1440"/>
        <w:gridCol w:w="1440"/>
        <w:gridCol w:w="1440"/>
        <w:gridCol w:w="1440"/>
        <w:gridCol w:w="1440"/>
        <w:gridCol w:w="1440"/>
        <w:gridCol w:w="1152"/>
      </w:tblGrid>
      <w:tr>
        <w:tc>
          <w:tcPr>
            <w:tcW w:type="dxa" w:w="1399"/>
            <w:shd w:fill="1B365D"/>
            <w:tcMar>
              <w:top w:w="80" w:type="dxa"/>
              <w:bottom w:w="80" w:type="dxa"/>
              <w:left w:w="100" w:type="dxa"/>
              <w:right w:w="100" w:type="dxa"/>
            </w:tcMar>
          </w:tcPr>
          <w:p>
            <w:r>
              <w:rPr>
                <w:b/>
                <w:color w:val="FFFFFF"/>
                <w:sz w:val="17"/>
              </w:rPr>
              <w:t>Período Contable</w:t>
            </w:r>
          </w:p>
        </w:tc>
        <w:tc>
          <w:tcPr>
            <w:tcW w:type="dxa" w:w="1399"/>
            <w:shd w:fill="1B365D"/>
            <w:tcMar>
              <w:top w:w="80" w:type="dxa"/>
              <w:bottom w:w="80" w:type="dxa"/>
              <w:left w:w="100" w:type="dxa"/>
              <w:right w:w="100" w:type="dxa"/>
            </w:tcMar>
          </w:tcPr>
          <w:p>
            <w:r>
              <w:rPr>
                <w:b/>
                <w:color w:val="FFFFFF"/>
                <w:sz w:val="17"/>
              </w:rPr>
              <w:t>ROC Greenblatt</w:t>
            </w:r>
          </w:p>
        </w:tc>
        <w:tc>
          <w:tcPr>
            <w:tcW w:type="dxa" w:w="1399"/>
            <w:shd w:fill="1B365D"/>
            <w:tcMar>
              <w:top w:w="80" w:type="dxa"/>
              <w:bottom w:w="80" w:type="dxa"/>
              <w:left w:w="100" w:type="dxa"/>
              <w:right w:w="100" w:type="dxa"/>
            </w:tcMar>
          </w:tcPr>
          <w:p>
            <w:r>
              <w:rPr>
                <w:b/>
                <w:color w:val="FFFFFF"/>
                <w:sz w:val="17"/>
              </w:rPr>
              <w:t>ROIC Tradicional</w:t>
            </w:r>
          </w:p>
        </w:tc>
        <w:tc>
          <w:tcPr>
            <w:tcW w:type="dxa" w:w="1399"/>
            <w:shd w:fill="1B365D"/>
            <w:tcMar>
              <w:top w:w="80" w:type="dxa"/>
              <w:bottom w:w="80" w:type="dxa"/>
              <w:left w:w="100" w:type="dxa"/>
              <w:right w:w="100" w:type="dxa"/>
            </w:tcMar>
          </w:tcPr>
          <w:p>
            <w:r>
              <w:rPr>
                <w:b/>
                <w:color w:val="FFFFFF"/>
                <w:sz w:val="17"/>
              </w:rPr>
              <w:t>ROIC Ajustado</w:t>
            </w:r>
          </w:p>
        </w:tc>
        <w:tc>
          <w:tcPr>
            <w:tcW w:type="dxa" w:w="1399"/>
            <w:shd w:fill="1B365D"/>
            <w:tcMar>
              <w:top w:w="80" w:type="dxa"/>
              <w:bottom w:w="80" w:type="dxa"/>
              <w:left w:w="100" w:type="dxa"/>
              <w:right w:w="100" w:type="dxa"/>
            </w:tcMar>
          </w:tcPr>
          <w:p>
            <w:r>
              <w:rPr>
                <w:b/>
                <w:color w:val="FFFFFF"/>
                <w:sz w:val="17"/>
              </w:rPr>
              <w:t>Stock Intangibles ($M)</w:t>
            </w:r>
          </w:p>
        </w:tc>
        <w:tc>
          <w:tcPr>
            <w:tcW w:type="dxa" w:w="1399"/>
            <w:shd w:fill="1B365D"/>
            <w:tcMar>
              <w:top w:w="80" w:type="dxa"/>
              <w:bottom w:w="80" w:type="dxa"/>
              <w:left w:w="100" w:type="dxa"/>
              <w:right w:w="100" w:type="dxa"/>
            </w:tcMar>
          </w:tcPr>
          <w:p>
            <w:r>
              <w:rPr>
                <w:b/>
                <w:color w:val="FFFFFF"/>
                <w:sz w:val="17"/>
              </w:rPr>
              <w:t>Capital Invertido ($M)</w:t>
            </w:r>
          </w:p>
        </w:tc>
        <w:tc>
          <w:tcPr>
            <w:tcW w:type="dxa" w:w="1399"/>
            <w:shd w:fill="1B365D"/>
            <w:tcMar>
              <w:top w:w="80" w:type="dxa"/>
              <w:bottom w:w="80" w:type="dxa"/>
              <w:left w:w="100" w:type="dxa"/>
              <w:right w:w="100" w:type="dxa"/>
            </w:tcMar>
          </w:tcPr>
          <w:p>
            <w:r>
              <w:rPr>
                <w:b/>
                <w:color w:val="FFFFFF"/>
                <w:sz w:val="17"/>
              </w:rPr>
              <w:t>Spread vs WACC</w:t>
            </w:r>
          </w:p>
        </w:tc>
      </w:tr>
      <w:tr>
        <w:tc>
          <w:tcPr>
            <w:tcW w:type="dxa" w:w="1399"/>
            <w:tcMar>
              <w:top w:w="60" w:type="dxa"/>
              <w:bottom w:w="60" w:type="dxa"/>
              <w:left w:w="100" w:type="dxa"/>
              <w:right w:w="100" w:type="dxa"/>
            </w:tcMar>
          </w:tcPr>
          <w:p>
            <w:r>
              <w:rPr>
                <w:sz w:val="17"/>
              </w:rPr>
              <w:t>FY2022</w:t>
            </w:r>
          </w:p>
        </w:tc>
        <w:tc>
          <w:tcPr>
            <w:tcW w:type="dxa" w:w="1399"/>
            <w:tcMar>
              <w:top w:w="60" w:type="dxa"/>
              <w:bottom w:w="60" w:type="dxa"/>
              <w:left w:w="100" w:type="dxa"/>
              <w:right w:w="100" w:type="dxa"/>
            </w:tcMar>
          </w:tcPr>
          <w:p>
            <w:r>
              <w:rPr>
                <w:b/>
                <w:sz w:val="17"/>
              </w:rPr>
              <w:t>127.09%</w:t>
            </w:r>
          </w:p>
        </w:tc>
        <w:tc>
          <w:tcPr>
            <w:tcW w:type="dxa" w:w="1399"/>
            <w:tcMar>
              <w:top w:w="60" w:type="dxa"/>
              <w:bottom w:w="60" w:type="dxa"/>
              <w:left w:w="100" w:type="dxa"/>
              <w:right w:w="100" w:type="dxa"/>
            </w:tcMar>
          </w:tcPr>
          <w:p>
            <w:r>
              <w:rPr>
                <w:b/>
                <w:sz w:val="17"/>
              </w:rPr>
              <w:t>57.30%</w:t>
            </w:r>
          </w:p>
        </w:tc>
        <w:tc>
          <w:tcPr>
            <w:tcW w:type="dxa" w:w="1399"/>
            <w:tcMar>
              <w:top w:w="60" w:type="dxa"/>
              <w:bottom w:w="60" w:type="dxa"/>
              <w:left w:w="100" w:type="dxa"/>
              <w:right w:w="100" w:type="dxa"/>
            </w:tcMar>
          </w:tcPr>
          <w:p>
            <w:r>
              <w:rPr>
                <w:b/>
                <w:sz w:val="17"/>
              </w:rPr>
              <w:t>40.52%</w:t>
            </w:r>
          </w:p>
        </w:tc>
        <w:tc>
          <w:tcPr>
            <w:tcW w:type="dxa" w:w="1399"/>
            <w:tcMar>
              <w:top w:w="60" w:type="dxa"/>
              <w:bottom w:w="60" w:type="dxa"/>
              <w:left w:w="100" w:type="dxa"/>
              <w:right w:w="100" w:type="dxa"/>
            </w:tcMar>
          </w:tcPr>
          <w:p>
            <w:r>
              <w:rPr>
                <w:sz w:val="17"/>
              </w:rPr>
              <w:t>$504.9M</w:t>
            </w:r>
          </w:p>
        </w:tc>
        <w:tc>
          <w:tcPr>
            <w:tcW w:type="dxa" w:w="1399"/>
            <w:tcMar>
              <w:top w:w="60" w:type="dxa"/>
              <w:bottom w:w="60" w:type="dxa"/>
              <w:left w:w="100" w:type="dxa"/>
              <w:right w:w="100" w:type="dxa"/>
            </w:tcMar>
          </w:tcPr>
          <w:p>
            <w:r>
              <w:rPr>
                <w:sz w:val="17"/>
              </w:rPr>
              <w:t>$1,246.2M</w:t>
            </w:r>
          </w:p>
        </w:tc>
        <w:tc>
          <w:tcPr>
            <w:tcW w:type="dxa" w:w="1399"/>
            <w:tcMar>
              <w:top w:w="60" w:type="dxa"/>
              <w:bottom w:w="60" w:type="dxa"/>
              <w:left w:w="100" w:type="dxa"/>
              <w:right w:w="100" w:type="dxa"/>
            </w:tcMar>
          </w:tcPr>
          <w:p>
            <w:r>
              <w:rPr>
                <w:b/>
                <w:sz w:val="17"/>
              </w:rPr>
              <w:t>+30.21 p.p.</w:t>
            </w:r>
          </w:p>
        </w:tc>
      </w:tr>
      <w:tr>
        <w:tc>
          <w:tcPr>
            <w:tcW w:type="dxa" w:w="1399"/>
            <w:tcMar>
              <w:top w:w="60" w:type="dxa"/>
              <w:bottom w:w="60" w:type="dxa"/>
              <w:left w:w="100" w:type="dxa"/>
              <w:right w:w="100" w:type="dxa"/>
            </w:tcMar>
            <w:shd w:fill="F7FAFC"/>
          </w:tcPr>
          <w:p>
            <w:r>
              <w:rPr>
                <w:sz w:val="17"/>
              </w:rPr>
              <w:t>FY2023</w:t>
            </w:r>
          </w:p>
        </w:tc>
        <w:tc>
          <w:tcPr>
            <w:tcW w:type="dxa" w:w="1399"/>
            <w:tcMar>
              <w:top w:w="60" w:type="dxa"/>
              <w:bottom w:w="60" w:type="dxa"/>
              <w:left w:w="100" w:type="dxa"/>
              <w:right w:w="100" w:type="dxa"/>
            </w:tcMar>
            <w:shd w:fill="F7FAFC"/>
          </w:tcPr>
          <w:p>
            <w:r>
              <w:rPr>
                <w:b/>
                <w:sz w:val="17"/>
              </w:rPr>
              <w:t>101.43%</w:t>
            </w:r>
          </w:p>
        </w:tc>
        <w:tc>
          <w:tcPr>
            <w:tcW w:type="dxa" w:w="1399"/>
            <w:tcMar>
              <w:top w:w="60" w:type="dxa"/>
              <w:bottom w:w="60" w:type="dxa"/>
              <w:left w:w="100" w:type="dxa"/>
              <w:right w:w="100" w:type="dxa"/>
            </w:tcMar>
            <w:shd w:fill="F7FAFC"/>
          </w:tcPr>
          <w:p>
            <w:r>
              <w:rPr>
                <w:b/>
                <w:sz w:val="17"/>
              </w:rPr>
              <w:t>50.95%</w:t>
            </w:r>
          </w:p>
        </w:tc>
        <w:tc>
          <w:tcPr>
            <w:tcW w:type="dxa" w:w="1399"/>
            <w:tcMar>
              <w:top w:w="60" w:type="dxa"/>
              <w:bottom w:w="60" w:type="dxa"/>
              <w:left w:w="100" w:type="dxa"/>
              <w:right w:w="100" w:type="dxa"/>
            </w:tcMar>
            <w:shd w:fill="F7FAFC"/>
          </w:tcPr>
          <w:p>
            <w:r>
              <w:rPr>
                <w:b/>
                <w:sz w:val="17"/>
              </w:rPr>
              <w:t>36.93%</w:t>
            </w:r>
          </w:p>
        </w:tc>
        <w:tc>
          <w:tcPr>
            <w:tcW w:type="dxa" w:w="1399"/>
            <w:tcMar>
              <w:top w:w="60" w:type="dxa"/>
              <w:bottom w:w="60" w:type="dxa"/>
              <w:left w:w="100" w:type="dxa"/>
              <w:right w:w="100" w:type="dxa"/>
            </w:tcMar>
            <w:shd w:fill="F7FAFC"/>
          </w:tcPr>
          <w:p>
            <w:r>
              <w:rPr>
                <w:sz w:val="17"/>
              </w:rPr>
              <w:t>$578.6M</w:t>
            </w:r>
          </w:p>
        </w:tc>
        <w:tc>
          <w:tcPr>
            <w:tcW w:type="dxa" w:w="1399"/>
            <w:tcMar>
              <w:top w:w="60" w:type="dxa"/>
              <w:bottom w:w="60" w:type="dxa"/>
              <w:left w:w="100" w:type="dxa"/>
              <w:right w:w="100" w:type="dxa"/>
            </w:tcMar>
            <w:shd w:fill="F7FAFC"/>
          </w:tcPr>
          <w:p>
            <w:r>
              <w:rPr>
                <w:sz w:val="17"/>
              </w:rPr>
              <w:t>$1,553.8M</w:t>
            </w:r>
          </w:p>
        </w:tc>
        <w:tc>
          <w:tcPr>
            <w:tcW w:type="dxa" w:w="1399"/>
            <w:tcMar>
              <w:top w:w="60" w:type="dxa"/>
              <w:bottom w:w="60" w:type="dxa"/>
              <w:left w:w="100" w:type="dxa"/>
              <w:right w:w="100" w:type="dxa"/>
            </w:tcMar>
            <w:shd w:fill="F7FAFC"/>
          </w:tcPr>
          <w:p>
            <w:r>
              <w:rPr>
                <w:b/>
                <w:sz w:val="17"/>
              </w:rPr>
              <w:t>+26.63 p.p.</w:t>
            </w:r>
          </w:p>
        </w:tc>
      </w:tr>
      <w:tr>
        <w:tc>
          <w:tcPr>
            <w:tcW w:type="dxa" w:w="1399"/>
            <w:tcMar>
              <w:top w:w="60" w:type="dxa"/>
              <w:bottom w:w="60" w:type="dxa"/>
              <w:left w:w="100" w:type="dxa"/>
              <w:right w:w="100" w:type="dxa"/>
            </w:tcMar>
          </w:tcPr>
          <w:p>
            <w:r>
              <w:rPr>
                <w:sz w:val="17"/>
              </w:rPr>
              <w:t>FY2024</w:t>
            </w:r>
          </w:p>
        </w:tc>
        <w:tc>
          <w:tcPr>
            <w:tcW w:type="dxa" w:w="1399"/>
            <w:tcMar>
              <w:top w:w="60" w:type="dxa"/>
              <w:bottom w:w="60" w:type="dxa"/>
              <w:left w:w="100" w:type="dxa"/>
              <w:right w:w="100" w:type="dxa"/>
            </w:tcMar>
          </w:tcPr>
          <w:p>
            <w:r>
              <w:rPr>
                <w:b/>
                <w:sz w:val="17"/>
              </w:rPr>
              <w:t>151.89%</w:t>
            </w:r>
          </w:p>
        </w:tc>
        <w:tc>
          <w:tcPr>
            <w:tcW w:type="dxa" w:w="1399"/>
            <w:tcMar>
              <w:top w:w="60" w:type="dxa"/>
              <w:bottom w:w="60" w:type="dxa"/>
              <w:left w:w="100" w:type="dxa"/>
              <w:right w:w="100" w:type="dxa"/>
            </w:tcMar>
          </w:tcPr>
          <w:p>
            <w:r>
              <w:rPr>
                <w:b/>
                <w:sz w:val="17"/>
              </w:rPr>
              <w:t>73.62%</w:t>
            </w:r>
          </w:p>
        </w:tc>
        <w:tc>
          <w:tcPr>
            <w:tcW w:type="dxa" w:w="1399"/>
            <w:tcMar>
              <w:top w:w="60" w:type="dxa"/>
              <w:bottom w:w="60" w:type="dxa"/>
              <w:left w:w="100" w:type="dxa"/>
              <w:right w:w="100" w:type="dxa"/>
            </w:tcMar>
          </w:tcPr>
          <w:p>
            <w:r>
              <w:rPr>
                <w:b/>
                <w:sz w:val="17"/>
              </w:rPr>
              <w:t>50.67%</w:t>
            </w:r>
          </w:p>
        </w:tc>
        <w:tc>
          <w:tcPr>
            <w:tcW w:type="dxa" w:w="1399"/>
            <w:tcMar>
              <w:top w:w="60" w:type="dxa"/>
              <w:bottom w:w="60" w:type="dxa"/>
              <w:left w:w="100" w:type="dxa"/>
              <w:right w:w="100" w:type="dxa"/>
            </w:tcMar>
          </w:tcPr>
          <w:p>
            <w:r>
              <w:rPr>
                <w:sz w:val="17"/>
              </w:rPr>
              <w:t>$699.3M</w:t>
            </w:r>
          </w:p>
        </w:tc>
        <w:tc>
          <w:tcPr>
            <w:tcW w:type="dxa" w:w="1399"/>
            <w:tcMar>
              <w:top w:w="60" w:type="dxa"/>
              <w:bottom w:w="60" w:type="dxa"/>
              <w:left w:w="100" w:type="dxa"/>
              <w:right w:w="100" w:type="dxa"/>
            </w:tcMar>
          </w:tcPr>
          <w:p>
            <w:r>
              <w:rPr>
                <w:sz w:val="17"/>
              </w:rPr>
              <w:t>$1,634.3M</w:t>
            </w:r>
          </w:p>
        </w:tc>
        <w:tc>
          <w:tcPr>
            <w:tcW w:type="dxa" w:w="1399"/>
            <w:tcMar>
              <w:top w:w="60" w:type="dxa"/>
              <w:bottom w:w="60" w:type="dxa"/>
              <w:left w:w="100" w:type="dxa"/>
              <w:right w:w="100" w:type="dxa"/>
            </w:tcMar>
          </w:tcPr>
          <w:p>
            <w:r>
              <w:rPr>
                <w:b/>
                <w:sz w:val="17"/>
              </w:rPr>
              <w:t>+40.36 p.p.</w:t>
            </w:r>
          </w:p>
        </w:tc>
      </w:tr>
      <w:tr>
        <w:tc>
          <w:tcPr>
            <w:tcW w:type="dxa" w:w="1399"/>
            <w:tcMar>
              <w:top w:w="60" w:type="dxa"/>
              <w:bottom w:w="60" w:type="dxa"/>
              <w:left w:w="100" w:type="dxa"/>
              <w:right w:w="100" w:type="dxa"/>
            </w:tcMar>
            <w:shd w:fill="F7FAFC"/>
          </w:tcPr>
          <w:p>
            <w:r>
              <w:rPr>
                <w:sz w:val="17"/>
              </w:rPr>
              <w:t>FY2025</w:t>
            </w:r>
          </w:p>
        </w:tc>
        <w:tc>
          <w:tcPr>
            <w:tcW w:type="dxa" w:w="1399"/>
            <w:tcMar>
              <w:top w:w="60" w:type="dxa"/>
              <w:bottom w:w="60" w:type="dxa"/>
              <w:left w:w="100" w:type="dxa"/>
              <w:right w:w="100" w:type="dxa"/>
            </w:tcMar>
            <w:shd w:fill="F7FAFC"/>
          </w:tcPr>
          <w:p>
            <w:r>
              <w:rPr>
                <w:b/>
                <w:sz w:val="17"/>
              </w:rPr>
              <w:t>224.48%</w:t>
            </w:r>
          </w:p>
        </w:tc>
        <w:tc>
          <w:tcPr>
            <w:tcW w:type="dxa" w:w="1399"/>
            <w:tcMar>
              <w:top w:w="60" w:type="dxa"/>
              <w:bottom w:w="60" w:type="dxa"/>
              <w:left w:w="100" w:type="dxa"/>
              <w:right w:w="100" w:type="dxa"/>
            </w:tcMar>
            <w:shd w:fill="F7FAFC"/>
          </w:tcPr>
          <w:p>
            <w:r>
              <w:rPr>
                <w:b/>
                <w:sz w:val="17"/>
              </w:rPr>
              <w:t>102.10%</w:t>
            </w:r>
          </w:p>
        </w:tc>
        <w:tc>
          <w:tcPr>
            <w:tcW w:type="dxa" w:w="1399"/>
            <w:tcMar>
              <w:top w:w="60" w:type="dxa"/>
              <w:bottom w:w="60" w:type="dxa"/>
              <w:left w:w="100" w:type="dxa"/>
              <w:right w:w="100" w:type="dxa"/>
            </w:tcMar>
            <w:shd w:fill="F7FAFC"/>
          </w:tcPr>
          <w:p>
            <w:r>
              <w:rPr>
                <w:b/>
                <w:sz w:val="17"/>
              </w:rPr>
              <w:t>61.79%</w:t>
            </w:r>
          </w:p>
        </w:tc>
        <w:tc>
          <w:tcPr>
            <w:tcW w:type="dxa" w:w="1399"/>
            <w:tcMar>
              <w:top w:w="60" w:type="dxa"/>
              <w:bottom w:w="60" w:type="dxa"/>
              <w:left w:w="100" w:type="dxa"/>
              <w:right w:w="100" w:type="dxa"/>
            </w:tcMar>
            <w:shd w:fill="F7FAFC"/>
          </w:tcPr>
          <w:p>
            <w:r>
              <w:rPr>
                <w:sz w:val="17"/>
              </w:rPr>
              <w:t>$833.0M</w:t>
            </w:r>
          </w:p>
        </w:tc>
        <w:tc>
          <w:tcPr>
            <w:tcW w:type="dxa" w:w="1399"/>
            <w:tcMar>
              <w:top w:w="60" w:type="dxa"/>
              <w:bottom w:w="60" w:type="dxa"/>
              <w:left w:w="100" w:type="dxa"/>
              <w:right w:w="100" w:type="dxa"/>
            </w:tcMar>
            <w:shd w:fill="F7FAFC"/>
          </w:tcPr>
          <w:p>
            <w:r>
              <w:rPr>
                <w:sz w:val="17"/>
              </w:rPr>
              <w:t>$1,678.5M</w:t>
            </w:r>
          </w:p>
        </w:tc>
        <w:tc>
          <w:tcPr>
            <w:tcW w:type="dxa" w:w="1399"/>
            <w:tcMar>
              <w:top w:w="60" w:type="dxa"/>
              <w:bottom w:w="60" w:type="dxa"/>
              <w:left w:w="100" w:type="dxa"/>
              <w:right w:w="100" w:type="dxa"/>
            </w:tcMar>
            <w:shd w:fill="F7FAFC"/>
          </w:tcPr>
          <w:p>
            <w:r>
              <w:rPr>
                <w:b/>
                <w:sz w:val="17"/>
              </w:rPr>
              <w:t>+51.48 p.p.</w:t>
            </w:r>
          </w:p>
        </w:tc>
      </w:tr>
      <w:tr>
        <w:tc>
          <w:tcPr>
            <w:tcW w:type="dxa" w:w="1399"/>
            <w:tcMar>
              <w:top w:w="60" w:type="dxa"/>
              <w:bottom w:w="60" w:type="dxa"/>
              <w:left w:w="100" w:type="dxa"/>
              <w:right w:w="100" w:type="dxa"/>
            </w:tcMar>
          </w:tcPr>
          <w:p>
            <w:r>
              <w:rPr>
                <w:sz w:val="17"/>
              </w:rPr>
              <w:t>FY2026</w:t>
            </w:r>
          </w:p>
        </w:tc>
        <w:tc>
          <w:tcPr>
            <w:tcW w:type="dxa" w:w="1399"/>
            <w:tcMar>
              <w:top w:w="60" w:type="dxa"/>
              <w:bottom w:w="60" w:type="dxa"/>
              <w:left w:w="100" w:type="dxa"/>
              <w:right w:w="100" w:type="dxa"/>
            </w:tcMar>
          </w:tcPr>
          <w:p>
            <w:r>
              <w:rPr>
                <w:b/>
                <w:sz w:val="17"/>
              </w:rPr>
              <w:t>251.62%</w:t>
            </w:r>
          </w:p>
        </w:tc>
        <w:tc>
          <w:tcPr>
            <w:tcW w:type="dxa" w:w="1399"/>
            <w:tcMar>
              <w:top w:w="60" w:type="dxa"/>
              <w:bottom w:w="60" w:type="dxa"/>
              <w:left w:w="100" w:type="dxa"/>
              <w:right w:w="100" w:type="dxa"/>
            </w:tcMar>
          </w:tcPr>
          <w:p>
            <w:r>
              <w:rPr>
                <w:b/>
                <w:sz w:val="17"/>
              </w:rPr>
              <w:t>105.71%</w:t>
            </w:r>
          </w:p>
        </w:tc>
        <w:tc>
          <w:tcPr>
            <w:tcW w:type="dxa" w:w="1399"/>
            <w:tcMar>
              <w:top w:w="60" w:type="dxa"/>
              <w:bottom w:w="60" w:type="dxa"/>
              <w:left w:w="100" w:type="dxa"/>
              <w:right w:w="100" w:type="dxa"/>
            </w:tcMar>
          </w:tcPr>
          <w:p>
            <w:r>
              <w:rPr>
                <w:b/>
                <w:sz w:val="17"/>
              </w:rPr>
              <w:t>59.33%</w:t>
            </w:r>
          </w:p>
        </w:tc>
        <w:tc>
          <w:tcPr>
            <w:tcW w:type="dxa" w:w="1399"/>
            <w:tcMar>
              <w:top w:w="60" w:type="dxa"/>
              <w:bottom w:w="60" w:type="dxa"/>
              <w:left w:w="100" w:type="dxa"/>
              <w:right w:w="100" w:type="dxa"/>
            </w:tcMar>
          </w:tcPr>
          <w:p>
            <w:r>
              <w:rPr>
                <w:sz w:val="17"/>
              </w:rPr>
              <w:t>$947.5M</w:t>
            </w:r>
          </w:p>
        </w:tc>
        <w:tc>
          <w:tcPr>
            <w:tcW w:type="dxa" w:w="1399"/>
            <w:tcMar>
              <w:top w:w="60" w:type="dxa"/>
              <w:bottom w:w="60" w:type="dxa"/>
              <w:left w:w="100" w:type="dxa"/>
              <w:right w:w="100" w:type="dxa"/>
            </w:tcMar>
          </w:tcPr>
          <w:p>
            <w:r>
              <w:rPr>
                <w:sz w:val="17"/>
              </w:rPr>
              <w:t>$1,834.0M</w:t>
            </w:r>
          </w:p>
        </w:tc>
        <w:tc>
          <w:tcPr>
            <w:tcW w:type="dxa" w:w="1399"/>
            <w:tcMar>
              <w:top w:w="60" w:type="dxa"/>
              <w:bottom w:w="60" w:type="dxa"/>
              <w:left w:w="100" w:type="dxa"/>
              <w:right w:w="100" w:type="dxa"/>
            </w:tcMar>
          </w:tcPr>
          <w:p>
            <w:r>
              <w:rPr>
                <w:b/>
                <w:sz w:val="17"/>
              </w:rPr>
              <w:t>+49.02 p.p.</w:t>
            </w:r>
          </w:p>
        </w:tc>
      </w:tr>
      <w:tr>
        <w:tc>
          <w:tcPr>
            <w:tcW w:type="dxa" w:w="1399"/>
            <w:tcMar>
              <w:top w:w="60" w:type="dxa"/>
              <w:bottom w:w="60" w:type="dxa"/>
              <w:left w:w="100" w:type="dxa"/>
              <w:right w:w="100" w:type="dxa"/>
            </w:tcMar>
            <w:shd w:fill="F7FAFC"/>
            <w:shd w:fill="E2EFDA"/>
          </w:tcPr>
          <w:p>
            <w:r>
              <w:rPr>
                <w:sz w:val="17"/>
              </w:rPr>
              <w:t>LTM</w:t>
            </w:r>
          </w:p>
        </w:tc>
        <w:tc>
          <w:tcPr>
            <w:tcW w:type="dxa" w:w="1399"/>
            <w:tcMar>
              <w:top w:w="60" w:type="dxa"/>
              <w:bottom w:w="60" w:type="dxa"/>
              <w:left w:w="100" w:type="dxa"/>
              <w:right w:w="100" w:type="dxa"/>
            </w:tcMar>
            <w:shd w:fill="F7FAFC"/>
            <w:shd w:fill="E2EFDA"/>
          </w:tcPr>
          <w:p>
            <w:r>
              <w:rPr>
                <w:b/>
                <w:sz w:val="17"/>
              </w:rPr>
              <w:t>234.09%</w:t>
            </w:r>
          </w:p>
        </w:tc>
        <w:tc>
          <w:tcPr>
            <w:tcW w:type="dxa" w:w="1399"/>
            <w:tcMar>
              <w:top w:w="60" w:type="dxa"/>
              <w:bottom w:w="60" w:type="dxa"/>
              <w:left w:w="100" w:type="dxa"/>
              <w:right w:w="100" w:type="dxa"/>
            </w:tcMar>
            <w:shd w:fill="F7FAFC"/>
            <w:shd w:fill="E2EFDA"/>
          </w:tcPr>
          <w:p>
            <w:r>
              <w:rPr>
                <w:b/>
                <w:sz w:val="17"/>
              </w:rPr>
              <w:t>90.86%</w:t>
            </w:r>
          </w:p>
        </w:tc>
        <w:tc>
          <w:tcPr>
            <w:tcW w:type="dxa" w:w="1399"/>
            <w:tcMar>
              <w:top w:w="60" w:type="dxa"/>
              <w:bottom w:w="60" w:type="dxa"/>
              <w:left w:w="100" w:type="dxa"/>
              <w:right w:w="100" w:type="dxa"/>
            </w:tcMar>
            <w:shd w:fill="F7FAFC"/>
            <w:shd w:fill="E2EFDA"/>
          </w:tcPr>
          <w:p>
            <w:r>
              <w:rPr>
                <w:b/>
                <w:sz w:val="17"/>
              </w:rPr>
              <w:t>53.58%</w:t>
            </w:r>
          </w:p>
        </w:tc>
        <w:tc>
          <w:tcPr>
            <w:tcW w:type="dxa" w:w="1399"/>
            <w:tcMar>
              <w:top w:w="60" w:type="dxa"/>
              <w:bottom w:w="60" w:type="dxa"/>
              <w:left w:w="100" w:type="dxa"/>
              <w:right w:w="100" w:type="dxa"/>
            </w:tcMar>
            <w:shd w:fill="F7FAFC"/>
            <w:shd w:fill="E2EFDA"/>
          </w:tcPr>
          <w:p>
            <w:r>
              <w:rPr>
                <w:sz w:val="17"/>
              </w:rPr>
              <w:t>$947.5M</w:t>
            </w:r>
          </w:p>
        </w:tc>
        <w:tc>
          <w:tcPr>
            <w:tcW w:type="dxa" w:w="1399"/>
            <w:tcMar>
              <w:top w:w="60" w:type="dxa"/>
              <w:bottom w:w="60" w:type="dxa"/>
              <w:left w:w="100" w:type="dxa"/>
              <w:right w:w="100" w:type="dxa"/>
            </w:tcMar>
            <w:shd w:fill="F7FAFC"/>
            <w:shd w:fill="E2EFDA"/>
          </w:tcPr>
          <w:p>
            <w:r>
              <w:rPr>
                <w:sz w:val="17"/>
              </w:rPr>
              <w:t>$2,036.9M</w:t>
            </w:r>
          </w:p>
        </w:tc>
        <w:tc>
          <w:tcPr>
            <w:tcW w:type="dxa" w:w="1399"/>
            <w:tcMar>
              <w:top w:w="60" w:type="dxa"/>
              <w:bottom w:w="60" w:type="dxa"/>
              <w:left w:w="100" w:type="dxa"/>
              <w:right w:w="100" w:type="dxa"/>
            </w:tcMar>
            <w:shd w:fill="F7FAFC"/>
            <w:shd w:fill="E2EFDA"/>
          </w:tcPr>
          <w:p>
            <w:r>
              <w:rPr>
                <w:b/>
                <w:sz w:val="17"/>
              </w:rPr>
              <w:t>+43.28 p.p.</w:t>
            </w:r>
          </w:p>
        </w:tc>
      </w:tr>
    </w:tbl>
    <w:p>
      <w:pPr>
        <w:spacing w:before="160" w:after="160"/>
      </w:pPr>
      <w:r>
        <w:rPr>
          <w:i/>
          <w:sz w:val="18"/>
        </w:rPr>
        <w:t>Matriz de Sensibilidad de Vida Útil: N-1 (2a) = 54.08% | N Base (3a) = 53.58% | N+1 (4a) = 53.14%.</w:t>
      </w:r>
    </w:p>
    <w:p>
      <w:pPr>
        <w:pStyle w:val="Heading2"/>
      </w:pPr>
      <w:r>
        <w:t>11.4. Creación de Valor Económico (EVA) y Durabilidad del Foso Defensivo</w:t>
      </w:r>
    </w:p>
    <w:p>
      <w:r>
        <w:rPr>
          <w:sz w:val="19"/>
        </w:rPr>
        <w:t>Spread Económico = ROIC Ajustado (53.58%) − WACC (10.31%) = +43.28 p.p.</w:t>
        <w:br/>
        <w:t>Dictamen: 🏰 WIDE MOAT / COMPOUNDING MACHINE. La compañía supera holgadamente su costo de capital, generando más de $43.28 anuales de valor neto por cada $100 invertidos.</w:t>
      </w:r>
    </w:p>
    <w:p>
      <w:pPr>
        <w:pStyle w:val="Heading2"/>
      </w:pPr>
      <w:r>
        <w:t>11.5. Cuadro de Mando Consolidado de Ratios de Capital, Retornos y Valor</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016"/>
        <w:gridCol w:w="2880"/>
        <w:gridCol w:w="1296"/>
        <w:gridCol w:w="1584"/>
        <w:gridCol w:w="2016"/>
      </w:tblGrid>
      <w:tr>
        <w:tc>
          <w:tcPr>
            <w:tcW w:type="dxa" w:w="1958"/>
            <w:shd w:fill="1B365D"/>
            <w:tcMar>
              <w:top w:w="80" w:type="dxa"/>
              <w:bottom w:w="80" w:type="dxa"/>
              <w:left w:w="100" w:type="dxa"/>
              <w:right w:w="100" w:type="dxa"/>
            </w:tcMar>
          </w:tcPr>
          <w:p>
            <w:r>
              <w:rPr>
                <w:b/>
                <w:color w:val="FFFFFF"/>
                <w:sz w:val="17"/>
              </w:rPr>
              <w:t>Categoría Analítica</w:t>
            </w:r>
          </w:p>
        </w:tc>
        <w:tc>
          <w:tcPr>
            <w:tcW w:type="dxa" w:w="1958"/>
            <w:shd w:fill="1B365D"/>
            <w:tcMar>
              <w:top w:w="80" w:type="dxa"/>
              <w:bottom w:w="80" w:type="dxa"/>
              <w:left w:w="100" w:type="dxa"/>
              <w:right w:w="100" w:type="dxa"/>
            </w:tcMar>
          </w:tcPr>
          <w:p>
            <w:r>
              <w:rPr>
                <w:b/>
                <w:color w:val="FFFFFF"/>
                <w:sz w:val="17"/>
              </w:rPr>
              <w:t>Métrica / Ratio Institucional</w:t>
            </w:r>
          </w:p>
        </w:tc>
        <w:tc>
          <w:tcPr>
            <w:tcW w:type="dxa" w:w="1958"/>
            <w:shd w:fill="1B365D"/>
            <w:tcMar>
              <w:top w:w="80" w:type="dxa"/>
              <w:bottom w:w="80" w:type="dxa"/>
              <w:left w:w="100" w:type="dxa"/>
              <w:right w:w="100" w:type="dxa"/>
            </w:tcMar>
          </w:tcPr>
          <w:p>
            <w:r>
              <w:rPr>
                <w:b/>
                <w:color w:val="FFFFFF"/>
                <w:sz w:val="17"/>
              </w:rPr>
              <w:t>Valor LTM</w:t>
            </w:r>
          </w:p>
        </w:tc>
        <w:tc>
          <w:tcPr>
            <w:tcW w:type="dxa" w:w="1958"/>
            <w:shd w:fill="1B365D"/>
            <w:tcMar>
              <w:top w:w="80" w:type="dxa"/>
              <w:bottom w:w="80" w:type="dxa"/>
              <w:left w:w="100" w:type="dxa"/>
              <w:right w:w="100" w:type="dxa"/>
            </w:tcMar>
          </w:tcPr>
          <w:p>
            <w:r>
              <w:rPr>
                <w:b/>
                <w:color w:val="FFFFFF"/>
                <w:sz w:val="17"/>
              </w:rPr>
              <w:t>Benchmark / Ref.</w:t>
            </w:r>
          </w:p>
        </w:tc>
        <w:tc>
          <w:tcPr>
            <w:tcW w:type="dxa" w:w="1958"/>
            <w:shd w:fill="1B365D"/>
            <w:tcMar>
              <w:top w:w="80" w:type="dxa"/>
              <w:bottom w:w="80" w:type="dxa"/>
              <w:left w:w="100" w:type="dxa"/>
              <w:right w:w="100" w:type="dxa"/>
            </w:tcMar>
          </w:tcPr>
          <w:p>
            <w:r>
              <w:rPr>
                <w:b/>
                <w:color w:val="FFFFFF"/>
                <w:sz w:val="17"/>
              </w:rPr>
              <w:t>Diagnóstico para el Inversor</w:t>
            </w:r>
          </w:p>
        </w:tc>
      </w:tr>
      <w:tr>
        <w:tc>
          <w:tcPr>
            <w:tcW w:type="dxa" w:w="1958"/>
            <w:tcMar>
              <w:top w:w="60" w:type="dxa"/>
              <w:bottom w:w="60" w:type="dxa"/>
              <w:left w:w="100" w:type="dxa"/>
              <w:right w:w="100" w:type="dxa"/>
            </w:tcMar>
          </w:tcPr>
          <w:p>
            <w:r>
              <w:rPr>
                <w:sz w:val="17"/>
              </w:rPr>
              <w:t>Parámetros Macro y Mercado</w:t>
            </w:r>
          </w:p>
        </w:tc>
        <w:tc>
          <w:tcPr>
            <w:tcW w:type="dxa" w:w="1958"/>
            <w:tcMar>
              <w:top w:w="60" w:type="dxa"/>
              <w:bottom w:w="60" w:type="dxa"/>
              <w:left w:w="100" w:type="dxa"/>
              <w:right w:w="100" w:type="dxa"/>
            </w:tcMar>
          </w:tcPr>
          <w:p>
            <w:r>
              <w:rPr>
                <w:b/>
                <w:sz w:val="17"/>
              </w:rPr>
              <w:t>Tasa Libre de Riesgo (Rf - Bono 10Y)</w:t>
            </w:r>
          </w:p>
        </w:tc>
        <w:tc>
          <w:tcPr>
            <w:tcW w:type="dxa" w:w="1958"/>
            <w:tcMar>
              <w:top w:w="60" w:type="dxa"/>
              <w:bottom w:w="60" w:type="dxa"/>
              <w:left w:w="100" w:type="dxa"/>
              <w:right w:w="100" w:type="dxa"/>
            </w:tcMar>
          </w:tcPr>
          <w:p>
            <w:r>
              <w:rPr>
                <w:b/>
                <w:sz w:val="17"/>
              </w:rPr>
              <w:t>4.94%</w:t>
            </w:r>
          </w:p>
        </w:tc>
        <w:tc>
          <w:tcPr>
            <w:tcW w:type="dxa" w:w="1958"/>
            <w:tcMar>
              <w:top w:w="60" w:type="dxa"/>
              <w:bottom w:w="60" w:type="dxa"/>
              <w:left w:w="100" w:type="dxa"/>
              <w:right w:w="100" w:type="dxa"/>
            </w:tcMar>
          </w:tcPr>
          <w:p>
            <w:r>
              <w:rPr>
                <w:sz w:val="17"/>
              </w:rPr>
              <w:t>US Treasury Yield</w:t>
            </w:r>
          </w:p>
        </w:tc>
        <w:tc>
          <w:tcPr>
            <w:tcW w:type="dxa" w:w="1958"/>
            <w:tcMar>
              <w:top w:w="60" w:type="dxa"/>
              <w:bottom w:w="60" w:type="dxa"/>
              <w:left w:w="100" w:type="dxa"/>
              <w:right w:w="100" w:type="dxa"/>
            </w:tcMar>
          </w:tcPr>
          <w:p>
            <w:r>
              <w:rPr>
                <w:sz w:val="17"/>
              </w:rPr>
              <w:t>Costo de oportunidad libre de riesgo macroeconómico.</w:t>
            </w:r>
          </w:p>
        </w:tc>
      </w:tr>
      <w:tr>
        <w:tc>
          <w:tcPr>
            <w:tcW w:type="dxa" w:w="1958"/>
            <w:tcMar>
              <w:top w:w="60" w:type="dxa"/>
              <w:bottom w:w="60" w:type="dxa"/>
              <w:left w:w="100" w:type="dxa"/>
              <w:right w:w="100" w:type="dxa"/>
            </w:tcMar>
            <w:shd w:fill="F7FAFC"/>
          </w:tcPr>
          <w:p>
            <w:r>
              <w:rPr>
                <w:sz w:val="17"/>
              </w:rPr>
              <w:t>Parámetros Macro y Mercado</w:t>
            </w:r>
          </w:p>
        </w:tc>
        <w:tc>
          <w:tcPr>
            <w:tcW w:type="dxa" w:w="1958"/>
            <w:tcMar>
              <w:top w:w="60" w:type="dxa"/>
              <w:bottom w:w="60" w:type="dxa"/>
              <w:left w:w="100" w:type="dxa"/>
              <w:right w:w="100" w:type="dxa"/>
            </w:tcMar>
            <w:shd w:fill="F7FAFC"/>
          </w:tcPr>
          <w:p>
            <w:r>
              <w:rPr>
                <w:b/>
                <w:sz w:val="17"/>
              </w:rPr>
              <w:t>Beta de la Acción (β)</w:t>
            </w:r>
          </w:p>
        </w:tc>
        <w:tc>
          <w:tcPr>
            <w:tcW w:type="dxa" w:w="1958"/>
            <w:tcMar>
              <w:top w:w="60" w:type="dxa"/>
              <w:bottom w:w="60" w:type="dxa"/>
              <w:left w:w="100" w:type="dxa"/>
              <w:right w:w="100" w:type="dxa"/>
            </w:tcMar>
            <w:shd w:fill="F7FAFC"/>
          </w:tcPr>
          <w:p>
            <w:r>
              <w:rPr>
                <w:b/>
                <w:sz w:val="17"/>
              </w:rPr>
              <w:t>1.13</w:t>
            </w:r>
          </w:p>
        </w:tc>
        <w:tc>
          <w:tcPr>
            <w:tcW w:type="dxa" w:w="1958"/>
            <w:tcMar>
              <w:top w:w="60" w:type="dxa"/>
              <w:bottom w:w="60" w:type="dxa"/>
              <w:left w:w="100" w:type="dxa"/>
              <w:right w:w="100" w:type="dxa"/>
            </w:tcMar>
            <w:shd w:fill="F7FAFC"/>
          </w:tcPr>
          <w:p>
            <w:r>
              <w:rPr>
                <w:sz w:val="17"/>
              </w:rPr>
              <w:t>S&amp;P 500 = 1.00x</w:t>
            </w:r>
          </w:p>
        </w:tc>
        <w:tc>
          <w:tcPr>
            <w:tcW w:type="dxa" w:w="1958"/>
            <w:tcMar>
              <w:top w:w="60" w:type="dxa"/>
              <w:bottom w:w="60" w:type="dxa"/>
              <w:left w:w="100" w:type="dxa"/>
              <w:right w:w="100" w:type="dxa"/>
            </w:tcMar>
            <w:shd w:fill="F7FAFC"/>
          </w:tcPr>
          <w:p>
            <w:r>
              <w:rPr>
                <w:sz w:val="17"/>
              </w:rPr>
              <w:t>Sensibilidad cíclica moderada y alineada al mercado.</w:t>
            </w:r>
          </w:p>
        </w:tc>
      </w:tr>
      <w:tr>
        <w:tc>
          <w:tcPr>
            <w:tcW w:type="dxa" w:w="1958"/>
            <w:tcMar>
              <w:top w:w="60" w:type="dxa"/>
              <w:bottom w:w="60" w:type="dxa"/>
              <w:left w:w="100" w:type="dxa"/>
              <w:right w:w="100" w:type="dxa"/>
            </w:tcMar>
          </w:tcPr>
          <w:p>
            <w:r>
              <w:rPr>
                <w:sz w:val="17"/>
              </w:rPr>
              <w:t>Parámetros Macro y Mercado</w:t>
            </w:r>
          </w:p>
        </w:tc>
        <w:tc>
          <w:tcPr>
            <w:tcW w:type="dxa" w:w="1958"/>
            <w:tcMar>
              <w:top w:w="60" w:type="dxa"/>
              <w:bottom w:w="60" w:type="dxa"/>
              <w:left w:w="100" w:type="dxa"/>
              <w:right w:w="100" w:type="dxa"/>
            </w:tcMar>
          </w:tcPr>
          <w:p>
            <w:r>
              <w:rPr>
                <w:b/>
                <w:sz w:val="17"/>
              </w:rPr>
              <w:t>Prima de Riesgo de Mercado (ERP)</w:t>
            </w:r>
          </w:p>
        </w:tc>
        <w:tc>
          <w:tcPr>
            <w:tcW w:type="dxa" w:w="1958"/>
            <w:tcMar>
              <w:top w:w="60" w:type="dxa"/>
              <w:bottom w:w="60" w:type="dxa"/>
              <w:left w:w="100" w:type="dxa"/>
              <w:right w:w="100" w:type="dxa"/>
            </w:tcMar>
          </w:tcPr>
          <w:p>
            <w:r>
              <w:rPr>
                <w:b/>
                <w:sz w:val="17"/>
              </w:rPr>
              <w:t>4.75%</w:t>
            </w:r>
          </w:p>
        </w:tc>
        <w:tc>
          <w:tcPr>
            <w:tcW w:type="dxa" w:w="1958"/>
            <w:tcMar>
              <w:top w:w="60" w:type="dxa"/>
              <w:bottom w:w="60" w:type="dxa"/>
              <w:left w:w="100" w:type="dxa"/>
              <w:right w:w="100" w:type="dxa"/>
            </w:tcMar>
          </w:tcPr>
          <w:p>
            <w:r>
              <w:rPr>
                <w:sz w:val="17"/>
              </w:rPr>
              <w:t>NYU Stern Damodaran</w:t>
            </w:r>
          </w:p>
        </w:tc>
        <w:tc>
          <w:tcPr>
            <w:tcW w:type="dxa" w:w="1958"/>
            <w:tcMar>
              <w:top w:w="60" w:type="dxa"/>
              <w:bottom w:w="60" w:type="dxa"/>
              <w:left w:w="100" w:type="dxa"/>
              <w:right w:w="100" w:type="dxa"/>
            </w:tcMar>
          </w:tcPr>
          <w:p>
            <w:r>
              <w:rPr>
                <w:sz w:val="17"/>
              </w:rPr>
              <w:t>Exigencia de prima de retorno sobre el activo libre de riesgo.</w:t>
            </w:r>
          </w:p>
        </w:tc>
      </w:tr>
      <w:tr>
        <w:tc>
          <w:tcPr>
            <w:tcW w:type="dxa" w:w="1958"/>
            <w:tcMar>
              <w:top w:w="60" w:type="dxa"/>
              <w:bottom w:w="60" w:type="dxa"/>
              <w:left w:w="100" w:type="dxa"/>
              <w:right w:w="100" w:type="dxa"/>
            </w:tcMar>
            <w:shd w:fill="F7FAFC"/>
          </w:tcPr>
          <w:p>
            <w:r>
              <w:rPr>
                <w:sz w:val="17"/>
              </w:rPr>
              <w:t>Costo de Capital (WACC)</w:t>
            </w:r>
          </w:p>
        </w:tc>
        <w:tc>
          <w:tcPr>
            <w:tcW w:type="dxa" w:w="1958"/>
            <w:tcMar>
              <w:top w:w="60" w:type="dxa"/>
              <w:bottom w:w="60" w:type="dxa"/>
              <w:left w:w="100" w:type="dxa"/>
              <w:right w:w="100" w:type="dxa"/>
            </w:tcMar>
            <w:shd w:fill="F7FAFC"/>
          </w:tcPr>
          <w:p>
            <w:r>
              <w:rPr>
                <w:b/>
                <w:sz w:val="17"/>
              </w:rPr>
              <w:t>Costo del Capital Propio (Ke)</w:t>
            </w:r>
          </w:p>
        </w:tc>
        <w:tc>
          <w:tcPr>
            <w:tcW w:type="dxa" w:w="1958"/>
            <w:tcMar>
              <w:top w:w="60" w:type="dxa"/>
              <w:bottom w:w="60" w:type="dxa"/>
              <w:left w:w="100" w:type="dxa"/>
              <w:right w:w="100" w:type="dxa"/>
            </w:tcMar>
            <w:shd w:fill="F7FAFC"/>
          </w:tcPr>
          <w:p>
            <w:r>
              <w:rPr>
                <w:b/>
                <w:sz w:val="17"/>
              </w:rPr>
              <w:t>10.31%</w:t>
            </w:r>
          </w:p>
        </w:tc>
        <w:tc>
          <w:tcPr>
            <w:tcW w:type="dxa" w:w="1958"/>
            <w:tcMar>
              <w:top w:w="60" w:type="dxa"/>
              <w:bottom w:w="60" w:type="dxa"/>
              <w:left w:w="100" w:type="dxa"/>
              <w:right w:w="100" w:type="dxa"/>
            </w:tcMar>
            <w:shd w:fill="F7FAFC"/>
          </w:tcPr>
          <w:p>
            <w:r>
              <w:rPr>
                <w:sz w:val="17"/>
              </w:rPr>
              <w:t>Rango 9.5% - 10.5%</w:t>
            </w:r>
          </w:p>
        </w:tc>
        <w:tc>
          <w:tcPr>
            <w:tcW w:type="dxa" w:w="1958"/>
            <w:tcMar>
              <w:top w:w="60" w:type="dxa"/>
              <w:bottom w:w="60" w:type="dxa"/>
              <w:left w:w="100" w:type="dxa"/>
              <w:right w:w="100" w:type="dxa"/>
            </w:tcMar>
            <w:shd w:fill="F7FAFC"/>
          </w:tcPr>
          <w:p>
            <w:r>
              <w:rPr>
                <w:sz w:val="17"/>
              </w:rPr>
              <w:t>Retorno anual exigido por los tenedores de acciones comunes.</w:t>
            </w:r>
          </w:p>
        </w:tc>
      </w:tr>
      <w:tr>
        <w:tc>
          <w:tcPr>
            <w:tcW w:type="dxa" w:w="1958"/>
            <w:tcMar>
              <w:top w:w="60" w:type="dxa"/>
              <w:bottom w:w="60" w:type="dxa"/>
              <w:left w:w="100" w:type="dxa"/>
              <w:right w:w="100" w:type="dxa"/>
            </w:tcMar>
          </w:tcPr>
          <w:p>
            <w:r>
              <w:rPr>
                <w:sz w:val="17"/>
              </w:rPr>
              <w:t>Costo de Capital (WACC)</w:t>
            </w:r>
          </w:p>
        </w:tc>
        <w:tc>
          <w:tcPr>
            <w:tcW w:type="dxa" w:w="1958"/>
            <w:tcMar>
              <w:top w:w="60" w:type="dxa"/>
              <w:bottom w:w="60" w:type="dxa"/>
              <w:left w:w="100" w:type="dxa"/>
              <w:right w:w="100" w:type="dxa"/>
            </w:tcMar>
          </w:tcPr>
          <w:p>
            <w:r>
              <w:rPr>
                <w:b/>
                <w:sz w:val="17"/>
              </w:rPr>
              <w:t>Costo de Deuda Neta (Kd)</w:t>
            </w:r>
          </w:p>
        </w:tc>
        <w:tc>
          <w:tcPr>
            <w:tcW w:type="dxa" w:w="1958"/>
            <w:tcMar>
              <w:top w:w="60" w:type="dxa"/>
              <w:bottom w:w="60" w:type="dxa"/>
              <w:left w:w="100" w:type="dxa"/>
              <w:right w:w="100" w:type="dxa"/>
            </w:tcMar>
          </w:tcPr>
          <w:p>
            <w:r>
              <w:rPr>
                <w:b/>
                <w:sz w:val="17"/>
              </w:rPr>
              <w:t>0.00%</w:t>
            </w:r>
          </w:p>
        </w:tc>
        <w:tc>
          <w:tcPr>
            <w:tcW w:type="dxa" w:w="1958"/>
            <w:tcMar>
              <w:top w:w="60" w:type="dxa"/>
              <w:bottom w:w="60" w:type="dxa"/>
              <w:left w:w="100" w:type="dxa"/>
              <w:right w:w="100" w:type="dxa"/>
            </w:tcMar>
          </w:tcPr>
          <w:p>
            <w:r>
              <w:rPr>
                <w:sz w:val="17"/>
              </w:rPr>
              <w:t>Tasa cupón efectiva</w:t>
            </w:r>
          </w:p>
        </w:tc>
        <w:tc>
          <w:tcPr>
            <w:tcW w:type="dxa" w:w="1958"/>
            <w:tcMar>
              <w:top w:w="60" w:type="dxa"/>
              <w:bottom w:w="60" w:type="dxa"/>
              <w:left w:w="100" w:type="dxa"/>
              <w:right w:w="100" w:type="dxa"/>
            </w:tcMar>
          </w:tcPr>
          <w:p>
            <w:r>
              <w:rPr>
                <w:sz w:val="17"/>
              </w:rPr>
              <w:t>Financiación crediticia con escudo fiscal del 21.0%.</w:t>
            </w:r>
          </w:p>
        </w:tc>
      </w:tr>
      <w:tr>
        <w:tc>
          <w:tcPr>
            <w:tcW w:type="dxa" w:w="1958"/>
            <w:tcMar>
              <w:top w:w="60" w:type="dxa"/>
              <w:bottom w:w="60" w:type="dxa"/>
              <w:left w:w="100" w:type="dxa"/>
              <w:right w:w="100" w:type="dxa"/>
            </w:tcMar>
            <w:shd w:fill="F7FAFC"/>
          </w:tcPr>
          <w:p>
            <w:r>
              <w:rPr>
                <w:sz w:val="17"/>
              </w:rPr>
              <w:t>Costo de Capital (WACC)</w:t>
            </w:r>
          </w:p>
        </w:tc>
        <w:tc>
          <w:tcPr>
            <w:tcW w:type="dxa" w:w="1958"/>
            <w:tcMar>
              <w:top w:w="60" w:type="dxa"/>
              <w:bottom w:w="60" w:type="dxa"/>
              <w:left w:w="100" w:type="dxa"/>
              <w:right w:w="100" w:type="dxa"/>
            </w:tcMar>
            <w:shd w:fill="F7FAFC"/>
          </w:tcPr>
          <w:p>
            <w:r>
              <w:rPr>
                <w:b/>
                <w:sz w:val="17"/>
              </w:rPr>
              <w:t>WACC Consolidado</w:t>
            </w:r>
          </w:p>
        </w:tc>
        <w:tc>
          <w:tcPr>
            <w:tcW w:type="dxa" w:w="1958"/>
            <w:tcMar>
              <w:top w:w="60" w:type="dxa"/>
              <w:bottom w:w="60" w:type="dxa"/>
              <w:left w:w="100" w:type="dxa"/>
              <w:right w:w="100" w:type="dxa"/>
            </w:tcMar>
            <w:shd w:fill="F7FAFC"/>
          </w:tcPr>
          <w:p>
            <w:r>
              <w:rPr>
                <w:b/>
                <w:sz w:val="17"/>
              </w:rPr>
              <w:t>10.31%</w:t>
            </w:r>
          </w:p>
        </w:tc>
        <w:tc>
          <w:tcPr>
            <w:tcW w:type="dxa" w:w="1958"/>
            <w:tcMar>
              <w:top w:w="60" w:type="dxa"/>
              <w:bottom w:w="60" w:type="dxa"/>
              <w:left w:w="100" w:type="dxa"/>
              <w:right w:w="100" w:type="dxa"/>
            </w:tcMar>
            <w:shd w:fill="F7FAFC"/>
          </w:tcPr>
          <w:p>
            <w:r>
              <w:rPr>
                <w:sz w:val="17"/>
              </w:rPr>
              <w:t>Mediana Sector (8.50%)</w:t>
            </w:r>
          </w:p>
        </w:tc>
        <w:tc>
          <w:tcPr>
            <w:tcW w:type="dxa" w:w="1958"/>
            <w:tcMar>
              <w:top w:w="60" w:type="dxa"/>
              <w:bottom w:w="60" w:type="dxa"/>
              <w:left w:w="100" w:type="dxa"/>
              <w:right w:w="100" w:type="dxa"/>
            </w:tcMar>
            <w:shd w:fill="F7FAFC"/>
          </w:tcPr>
          <w:p>
            <w:r>
              <w:rPr>
                <w:sz w:val="17"/>
              </w:rPr>
              <w:t>Tasa de corte u obstáculo financiero mínimo para crear valor.</w:t>
            </w:r>
          </w:p>
        </w:tc>
      </w:tr>
      <w:tr>
        <w:tc>
          <w:tcPr>
            <w:tcW w:type="dxa" w:w="1958"/>
            <w:tcMar>
              <w:top w:w="60" w:type="dxa"/>
              <w:bottom w:w="60" w:type="dxa"/>
              <w:left w:w="100" w:type="dxa"/>
              <w:right w:w="100" w:type="dxa"/>
            </w:tcMar>
            <w:shd w:fill="E2EFDA"/>
          </w:tcPr>
          <w:p>
            <w:r>
              <w:rPr>
                <w:sz w:val="17"/>
              </w:rPr>
              <w:t>Productividad Tangible</w:t>
            </w:r>
          </w:p>
        </w:tc>
        <w:tc>
          <w:tcPr>
            <w:tcW w:type="dxa" w:w="1958"/>
            <w:tcMar>
              <w:top w:w="60" w:type="dxa"/>
              <w:bottom w:w="60" w:type="dxa"/>
              <w:left w:w="100" w:type="dxa"/>
              <w:right w:w="100" w:type="dxa"/>
            </w:tcMar>
            <w:shd w:fill="E2EFDA"/>
          </w:tcPr>
          <w:p>
            <w:r>
              <w:rPr>
                <w:b/>
                <w:sz w:val="17"/>
              </w:rPr>
              <w:t>ROC Greenblatt (Pre-Tax)</w:t>
            </w:r>
          </w:p>
        </w:tc>
        <w:tc>
          <w:tcPr>
            <w:tcW w:type="dxa" w:w="1958"/>
            <w:tcMar>
              <w:top w:w="60" w:type="dxa"/>
              <w:bottom w:w="60" w:type="dxa"/>
              <w:left w:w="100" w:type="dxa"/>
              <w:right w:w="100" w:type="dxa"/>
            </w:tcMar>
            <w:shd w:fill="E2EFDA"/>
          </w:tcPr>
          <w:p>
            <w:r>
              <w:rPr>
                <w:b/>
                <w:sz w:val="17"/>
              </w:rPr>
              <w:t>234.09%</w:t>
            </w:r>
          </w:p>
        </w:tc>
        <w:tc>
          <w:tcPr>
            <w:tcW w:type="dxa" w:w="1958"/>
            <w:tcMar>
              <w:top w:w="60" w:type="dxa"/>
              <w:bottom w:w="60" w:type="dxa"/>
              <w:left w:w="100" w:type="dxa"/>
              <w:right w:w="100" w:type="dxa"/>
            </w:tcMar>
            <w:shd w:fill="E2EFDA"/>
          </w:tcPr>
          <w:p>
            <w:r>
              <w:rPr>
                <w:sz w:val="17"/>
              </w:rPr>
              <w:t>Mediana Sector (29.85%)</w:t>
            </w:r>
          </w:p>
        </w:tc>
        <w:tc>
          <w:tcPr>
            <w:tcW w:type="dxa" w:w="1958"/>
            <w:tcMar>
              <w:top w:w="60" w:type="dxa"/>
              <w:bottom w:w="60" w:type="dxa"/>
              <w:left w:w="100" w:type="dxa"/>
              <w:right w:w="100" w:type="dxa"/>
            </w:tcMar>
            <w:shd w:fill="E2EFDA"/>
          </w:tcPr>
          <w:p>
            <w:r>
              <w:rPr>
                <w:sz w:val="17"/>
              </w:rPr>
              <w:t>Asset-Light extremo; supera al sector por ++204.2 pp.</w:t>
            </w:r>
          </w:p>
        </w:tc>
      </w:tr>
      <w:tr>
        <w:tc>
          <w:tcPr>
            <w:tcW w:type="dxa" w:w="1958"/>
            <w:tcMar>
              <w:top w:w="60" w:type="dxa"/>
              <w:bottom w:w="60" w:type="dxa"/>
              <w:left w:w="100" w:type="dxa"/>
              <w:right w:w="100" w:type="dxa"/>
            </w:tcMar>
            <w:shd w:fill="F7FAFC"/>
          </w:tcPr>
          <w:p>
            <w:r>
              <w:rPr>
                <w:sz w:val="17"/>
              </w:rPr>
              <w:t>Productividad Tangible</w:t>
            </w:r>
          </w:p>
        </w:tc>
        <w:tc>
          <w:tcPr>
            <w:tcW w:type="dxa" w:w="1958"/>
            <w:tcMar>
              <w:top w:w="60" w:type="dxa"/>
              <w:bottom w:w="60" w:type="dxa"/>
              <w:left w:w="100" w:type="dxa"/>
              <w:right w:w="100" w:type="dxa"/>
            </w:tcMar>
            <w:shd w:fill="F7FAFC"/>
          </w:tcPr>
          <w:p>
            <w:r>
              <w:rPr>
                <w:b/>
                <w:sz w:val="17"/>
              </w:rPr>
              <w:t>Capital Tangible Promedio</w:t>
            </w:r>
          </w:p>
        </w:tc>
        <w:tc>
          <w:tcPr>
            <w:tcW w:type="dxa" w:w="1958"/>
            <w:tcMar>
              <w:top w:w="60" w:type="dxa"/>
              <w:bottom w:w="60" w:type="dxa"/>
              <w:left w:w="100" w:type="dxa"/>
              <w:right w:w="100" w:type="dxa"/>
            </w:tcMar>
            <w:shd w:fill="F7FAFC"/>
          </w:tcPr>
          <w:p>
            <w:r>
              <w:rPr>
                <w:b/>
                <w:sz w:val="17"/>
              </w:rPr>
              <w:t>$535.2M</w:t>
            </w:r>
          </w:p>
        </w:tc>
        <w:tc>
          <w:tcPr>
            <w:tcW w:type="dxa" w:w="1958"/>
            <w:tcMar>
              <w:top w:w="60" w:type="dxa"/>
              <w:bottom w:w="60" w:type="dxa"/>
              <w:left w:w="100" w:type="dxa"/>
              <w:right w:w="100" w:type="dxa"/>
            </w:tcMar>
            <w:shd w:fill="F7FAFC"/>
          </w:tcPr>
          <w:p>
            <w:r>
              <w:rPr>
                <w:sz w:val="17"/>
              </w:rPr>
              <w:t>Balance SEC Form 10-Q</w:t>
            </w:r>
          </w:p>
        </w:tc>
        <w:tc>
          <w:tcPr>
            <w:tcW w:type="dxa" w:w="1958"/>
            <w:tcMar>
              <w:top w:w="60" w:type="dxa"/>
              <w:bottom w:w="60" w:type="dxa"/>
              <w:left w:w="100" w:type="dxa"/>
              <w:right w:w="100" w:type="dxa"/>
            </w:tcMar>
            <w:shd w:fill="F7FAFC"/>
          </w:tcPr>
          <w:p>
            <w:r>
              <w:rPr>
                <w:sz w:val="17"/>
              </w:rPr>
              <w:t>Base física mínima gracias a capital de trabajo negativo.</w:t>
            </w:r>
          </w:p>
        </w:tc>
      </w:tr>
      <w:tr>
        <w:tc>
          <w:tcPr>
            <w:tcW w:type="dxa" w:w="1958"/>
            <w:tcMar>
              <w:top w:w="60" w:type="dxa"/>
              <w:bottom w:w="60" w:type="dxa"/>
              <w:left w:w="100" w:type="dxa"/>
              <w:right w:w="100" w:type="dxa"/>
            </w:tcMar>
          </w:tcPr>
          <w:p>
            <w:r>
              <w:rPr>
                <w:sz w:val="17"/>
              </w:rPr>
              <w:t>Retorno Reconstituido</w:t>
            </w:r>
          </w:p>
        </w:tc>
        <w:tc>
          <w:tcPr>
            <w:tcW w:type="dxa" w:w="1958"/>
            <w:tcMar>
              <w:top w:w="60" w:type="dxa"/>
              <w:bottom w:w="60" w:type="dxa"/>
              <w:left w:w="100" w:type="dxa"/>
              <w:right w:w="100" w:type="dxa"/>
            </w:tcMar>
          </w:tcPr>
          <w:p>
            <w:r>
              <w:rPr>
                <w:b/>
                <w:sz w:val="17"/>
              </w:rPr>
              <w:t>ROIC Contable Tradicional</w:t>
            </w:r>
          </w:p>
        </w:tc>
        <w:tc>
          <w:tcPr>
            <w:tcW w:type="dxa" w:w="1958"/>
            <w:tcMar>
              <w:top w:w="60" w:type="dxa"/>
              <w:bottom w:w="60" w:type="dxa"/>
              <w:left w:w="100" w:type="dxa"/>
              <w:right w:w="100" w:type="dxa"/>
            </w:tcMar>
          </w:tcPr>
          <w:p>
            <w:r>
              <w:rPr>
                <w:b/>
                <w:sz w:val="17"/>
              </w:rPr>
              <w:t>90.86%</w:t>
            </w:r>
          </w:p>
        </w:tc>
        <w:tc>
          <w:tcPr>
            <w:tcW w:type="dxa" w:w="1958"/>
            <w:tcMar>
              <w:top w:w="60" w:type="dxa"/>
              <w:bottom w:w="60" w:type="dxa"/>
              <w:left w:w="100" w:type="dxa"/>
              <w:right w:w="100" w:type="dxa"/>
            </w:tcMar>
          </w:tcPr>
          <w:p>
            <w:r>
              <w:rPr>
                <w:sz w:val="17"/>
              </w:rPr>
              <w:t>ROIC sin ajustes</w:t>
            </w:r>
          </w:p>
        </w:tc>
        <w:tc>
          <w:tcPr>
            <w:tcW w:type="dxa" w:w="1958"/>
            <w:tcMar>
              <w:top w:w="60" w:type="dxa"/>
              <w:bottom w:w="60" w:type="dxa"/>
              <w:left w:w="100" w:type="dxa"/>
              <w:right w:w="100" w:type="dxa"/>
            </w:tcMar>
          </w:tcPr>
          <w:p>
            <w:r>
              <w:rPr>
                <w:sz w:val="17"/>
              </w:rPr>
              <w:t>Métrica distorsionada por no capitalizar gasto de innovación.</w:t>
            </w:r>
          </w:p>
        </w:tc>
      </w:tr>
      <w:tr>
        <w:tc>
          <w:tcPr>
            <w:tcW w:type="dxa" w:w="1958"/>
            <w:tcMar>
              <w:top w:w="60" w:type="dxa"/>
              <w:bottom w:w="60" w:type="dxa"/>
              <w:left w:w="100" w:type="dxa"/>
              <w:right w:w="100" w:type="dxa"/>
            </w:tcMar>
            <w:shd w:fill="F7FAFC"/>
          </w:tcPr>
          <w:p>
            <w:r>
              <w:rPr>
                <w:sz w:val="17"/>
              </w:rPr>
              <w:t>Retorno Reconstituido</w:t>
            </w:r>
          </w:p>
        </w:tc>
        <w:tc>
          <w:tcPr>
            <w:tcW w:type="dxa" w:w="1958"/>
            <w:tcMar>
              <w:top w:w="60" w:type="dxa"/>
              <w:bottom w:w="60" w:type="dxa"/>
              <w:left w:w="100" w:type="dxa"/>
              <w:right w:w="100" w:type="dxa"/>
            </w:tcMar>
            <w:shd w:fill="F7FAFC"/>
          </w:tcPr>
          <w:p>
            <w:r>
              <w:rPr>
                <w:b/>
                <w:sz w:val="17"/>
              </w:rPr>
              <w:t>Stock Intangibles I+D</w:t>
            </w:r>
          </w:p>
        </w:tc>
        <w:tc>
          <w:tcPr>
            <w:tcW w:type="dxa" w:w="1958"/>
            <w:tcMar>
              <w:top w:w="60" w:type="dxa"/>
              <w:bottom w:w="60" w:type="dxa"/>
              <w:left w:w="100" w:type="dxa"/>
              <w:right w:w="100" w:type="dxa"/>
            </w:tcMar>
            <w:shd w:fill="F7FAFC"/>
          </w:tcPr>
          <w:p>
            <w:r>
              <w:rPr>
                <w:b/>
                <w:sz w:val="17"/>
              </w:rPr>
              <w:t>$947.5M</w:t>
            </w:r>
          </w:p>
        </w:tc>
        <w:tc>
          <w:tcPr>
            <w:tcW w:type="dxa" w:w="1958"/>
            <w:tcMar>
              <w:top w:w="60" w:type="dxa"/>
              <w:bottom w:w="60" w:type="dxa"/>
              <w:left w:w="100" w:type="dxa"/>
              <w:right w:w="100" w:type="dxa"/>
            </w:tcMar>
            <w:shd w:fill="F7FAFC"/>
          </w:tcPr>
          <w:p>
            <w:r>
              <w:rPr>
                <w:sz w:val="17"/>
              </w:rPr>
              <w:t>Amortización 3 Años</w:t>
            </w:r>
          </w:p>
        </w:tc>
        <w:tc>
          <w:tcPr>
            <w:tcW w:type="dxa" w:w="1958"/>
            <w:tcMar>
              <w:top w:w="60" w:type="dxa"/>
              <w:bottom w:w="60" w:type="dxa"/>
              <w:left w:w="100" w:type="dxa"/>
              <w:right w:w="100" w:type="dxa"/>
            </w:tcMar>
            <w:shd w:fill="F7FAFC"/>
          </w:tcPr>
          <w:p>
            <w:r>
              <w:rPr>
                <w:sz w:val="17"/>
              </w:rPr>
              <w:t>Valor acumulado de patentes, silicio y software.</w:t>
            </w:r>
          </w:p>
        </w:tc>
      </w:tr>
      <w:tr>
        <w:tc>
          <w:tcPr>
            <w:tcW w:type="dxa" w:w="1958"/>
            <w:tcMar>
              <w:top w:w="60" w:type="dxa"/>
              <w:bottom w:w="60" w:type="dxa"/>
              <w:left w:w="100" w:type="dxa"/>
              <w:right w:w="100" w:type="dxa"/>
            </w:tcMar>
          </w:tcPr>
          <w:p>
            <w:r>
              <w:rPr>
                <w:sz w:val="17"/>
              </w:rPr>
              <w:t>Retorno Reconstituido</w:t>
            </w:r>
          </w:p>
        </w:tc>
        <w:tc>
          <w:tcPr>
            <w:tcW w:type="dxa" w:w="1958"/>
            <w:tcMar>
              <w:top w:w="60" w:type="dxa"/>
              <w:bottom w:w="60" w:type="dxa"/>
              <w:left w:w="100" w:type="dxa"/>
              <w:right w:w="100" w:type="dxa"/>
            </w:tcMar>
          </w:tcPr>
          <w:p>
            <w:r>
              <w:rPr>
                <w:b/>
                <w:sz w:val="17"/>
              </w:rPr>
              <w:t>Capital Invertido Promedio</w:t>
            </w:r>
          </w:p>
        </w:tc>
        <w:tc>
          <w:tcPr>
            <w:tcW w:type="dxa" w:w="1958"/>
            <w:tcMar>
              <w:top w:w="60" w:type="dxa"/>
              <w:bottom w:w="60" w:type="dxa"/>
              <w:left w:w="100" w:type="dxa"/>
              <w:right w:w="100" w:type="dxa"/>
            </w:tcMar>
          </w:tcPr>
          <w:p>
            <w:r>
              <w:rPr>
                <w:b/>
                <w:sz w:val="17"/>
              </w:rPr>
              <w:t>$2,036.9M</w:t>
            </w:r>
          </w:p>
        </w:tc>
        <w:tc>
          <w:tcPr>
            <w:tcW w:type="dxa" w:w="1958"/>
            <w:tcMar>
              <w:top w:w="60" w:type="dxa"/>
              <w:bottom w:w="60" w:type="dxa"/>
              <w:left w:w="100" w:type="dxa"/>
              <w:right w:w="100" w:type="dxa"/>
            </w:tcMar>
          </w:tcPr>
          <w:p>
            <w:r>
              <w:rPr>
                <w:sz w:val="17"/>
              </w:rPr>
              <w:t>Base Económica Total</w:t>
            </w:r>
          </w:p>
        </w:tc>
        <w:tc>
          <w:tcPr>
            <w:tcW w:type="dxa" w:w="1958"/>
            <w:tcMar>
              <w:top w:w="60" w:type="dxa"/>
              <w:bottom w:w="60" w:type="dxa"/>
              <w:left w:w="100" w:type="dxa"/>
              <w:right w:w="100" w:type="dxa"/>
            </w:tcMar>
          </w:tcPr>
          <w:p>
            <w:r>
              <w:rPr>
                <w:sz w:val="17"/>
              </w:rPr>
              <w:t>Base de capital honesta que absorbe las inversiones en I+D.</w:t>
            </w:r>
          </w:p>
        </w:tc>
      </w:tr>
      <w:tr>
        <w:tc>
          <w:tcPr>
            <w:tcW w:type="dxa" w:w="1958"/>
            <w:tcMar>
              <w:top w:w="60" w:type="dxa"/>
              <w:bottom w:w="60" w:type="dxa"/>
              <w:left w:w="100" w:type="dxa"/>
              <w:right w:w="100" w:type="dxa"/>
            </w:tcMar>
            <w:shd w:fill="F7FAFC"/>
            <w:shd w:fill="E2EFDA"/>
          </w:tcPr>
          <w:p>
            <w:r>
              <w:rPr>
                <w:b/>
                <w:sz w:val="17"/>
              </w:rPr>
              <w:t>Retorno Reconstituido</w:t>
            </w:r>
          </w:p>
        </w:tc>
        <w:tc>
          <w:tcPr>
            <w:tcW w:type="dxa" w:w="1958"/>
            <w:tcMar>
              <w:top w:w="60" w:type="dxa"/>
              <w:bottom w:w="60" w:type="dxa"/>
              <w:left w:w="100" w:type="dxa"/>
              <w:right w:w="100" w:type="dxa"/>
            </w:tcMar>
            <w:shd w:fill="F7FAFC"/>
            <w:shd w:fill="E2EFDA"/>
          </w:tcPr>
          <w:p>
            <w:r>
              <w:rPr>
                <w:b/>
                <w:sz w:val="17"/>
              </w:rPr>
              <w:t>ROIC Ajustado por Intangibles</w:t>
            </w:r>
          </w:p>
        </w:tc>
        <w:tc>
          <w:tcPr>
            <w:tcW w:type="dxa" w:w="1958"/>
            <w:tcMar>
              <w:top w:w="60" w:type="dxa"/>
              <w:bottom w:w="60" w:type="dxa"/>
              <w:left w:w="100" w:type="dxa"/>
              <w:right w:w="100" w:type="dxa"/>
            </w:tcMar>
            <w:shd w:fill="F7FAFC"/>
            <w:shd w:fill="E2EFDA"/>
          </w:tcPr>
          <w:p>
            <w:r>
              <w:rPr>
                <w:b/>
                <w:sz w:val="17"/>
              </w:rPr>
              <w:t>53.58%</w:t>
            </w:r>
          </w:p>
        </w:tc>
        <w:tc>
          <w:tcPr>
            <w:tcW w:type="dxa" w:w="1958"/>
            <w:tcMar>
              <w:top w:w="60" w:type="dxa"/>
              <w:bottom w:w="60" w:type="dxa"/>
              <w:left w:w="100" w:type="dxa"/>
              <w:right w:w="100" w:type="dxa"/>
            </w:tcMar>
            <w:shd w:fill="F7FAFC"/>
            <w:shd w:fill="E2EFDA"/>
          </w:tcPr>
          <w:p>
            <w:r>
              <w:rPr>
                <w:b/>
                <w:sz w:val="17"/>
              </w:rPr>
              <w:t>Mediana Sector (18.30%)</w:t>
            </w:r>
          </w:p>
        </w:tc>
        <w:tc>
          <w:tcPr>
            <w:tcW w:type="dxa" w:w="1958"/>
            <w:tcMar>
              <w:top w:w="60" w:type="dxa"/>
              <w:bottom w:w="60" w:type="dxa"/>
              <w:left w:w="100" w:type="dxa"/>
              <w:right w:w="100" w:type="dxa"/>
            </w:tcMar>
            <w:shd w:fill="F7FAFC"/>
            <w:shd w:fill="E2EFDA"/>
          </w:tcPr>
          <w:p>
            <w:r>
              <w:rPr>
                <w:b/>
                <w:sz w:val="17"/>
              </w:rPr>
              <w:t>Retorno real sobre capital total invertido en el negocio.</w:t>
            </w:r>
          </w:p>
        </w:tc>
      </w:tr>
      <w:tr>
        <w:tc>
          <w:tcPr>
            <w:tcW w:type="dxa" w:w="1958"/>
            <w:tcMar>
              <w:top w:w="60" w:type="dxa"/>
              <w:bottom w:w="60" w:type="dxa"/>
              <w:left w:w="100" w:type="dxa"/>
              <w:right w:w="100" w:type="dxa"/>
            </w:tcMar>
            <w:shd w:fill="E2EFDA"/>
          </w:tcPr>
          <w:p>
            <w:r>
              <w:rPr>
                <w:b/>
                <w:sz w:val="17"/>
              </w:rPr>
              <w:t>Creación de Valor (EVA)</w:t>
            </w:r>
          </w:p>
        </w:tc>
        <w:tc>
          <w:tcPr>
            <w:tcW w:type="dxa" w:w="1958"/>
            <w:tcMar>
              <w:top w:w="60" w:type="dxa"/>
              <w:bottom w:w="60" w:type="dxa"/>
              <w:left w:w="100" w:type="dxa"/>
              <w:right w:w="100" w:type="dxa"/>
            </w:tcMar>
            <w:shd w:fill="E2EFDA"/>
          </w:tcPr>
          <w:p>
            <w:r>
              <w:rPr>
                <w:b/>
                <w:sz w:val="17"/>
              </w:rPr>
              <w:t>Spread Económico Neto</w:t>
            </w:r>
          </w:p>
        </w:tc>
        <w:tc>
          <w:tcPr>
            <w:tcW w:type="dxa" w:w="1958"/>
            <w:tcMar>
              <w:top w:w="60" w:type="dxa"/>
              <w:bottom w:w="60" w:type="dxa"/>
              <w:left w:w="100" w:type="dxa"/>
              <w:right w:w="100" w:type="dxa"/>
            </w:tcMar>
            <w:shd w:fill="E2EFDA"/>
          </w:tcPr>
          <w:p>
            <w:r>
              <w:rPr>
                <w:b/>
                <w:sz w:val="17"/>
              </w:rPr>
              <w:t>+43.28 pp</w:t>
            </w:r>
          </w:p>
        </w:tc>
        <w:tc>
          <w:tcPr>
            <w:tcW w:type="dxa" w:w="1958"/>
            <w:tcMar>
              <w:top w:w="60" w:type="dxa"/>
              <w:bottom w:w="60" w:type="dxa"/>
              <w:left w:w="100" w:type="dxa"/>
              <w:right w:w="100" w:type="dxa"/>
            </w:tcMar>
            <w:shd w:fill="E2EFDA"/>
          </w:tcPr>
          <w:p>
            <w:r>
              <w:rPr>
                <w:b/>
                <w:sz w:val="17"/>
              </w:rPr>
              <w:t>Mediana Sector (+9.20 pp)</w:t>
            </w:r>
          </w:p>
        </w:tc>
        <w:tc>
          <w:tcPr>
            <w:tcW w:type="dxa" w:w="1958"/>
            <w:tcMar>
              <w:top w:w="60" w:type="dxa"/>
              <w:bottom w:w="60" w:type="dxa"/>
              <w:left w:w="100" w:type="dxa"/>
              <w:right w:w="100" w:type="dxa"/>
            </w:tcMar>
            <w:shd w:fill="E2EFDA"/>
          </w:tcPr>
          <w:p>
            <w:r>
              <w:rPr>
                <w:b/>
                <w:sz w:val="17"/>
              </w:rPr>
              <w:t>Extraordinaria generación de riqueza neta sobre el coste de capital.</w:t>
            </w:r>
          </w:p>
        </w:tc>
      </w:tr>
      <w:tr>
        <w:tc>
          <w:tcPr>
            <w:tcW w:type="dxa" w:w="1958"/>
            <w:tcMar>
              <w:top w:w="60" w:type="dxa"/>
              <w:bottom w:w="60" w:type="dxa"/>
              <w:left w:w="100" w:type="dxa"/>
              <w:right w:w="100" w:type="dxa"/>
            </w:tcMar>
            <w:shd w:fill="F7FAFC"/>
          </w:tcPr>
          <w:p>
            <w:r>
              <w:rPr>
                <w:sz w:val="17"/>
              </w:rPr>
              <w:t>Creación de Valor (EVA)</w:t>
            </w:r>
          </w:p>
        </w:tc>
        <w:tc>
          <w:tcPr>
            <w:tcW w:type="dxa" w:w="1958"/>
            <w:tcMar>
              <w:top w:w="60" w:type="dxa"/>
              <w:bottom w:w="60" w:type="dxa"/>
              <w:left w:w="100" w:type="dxa"/>
              <w:right w:w="100" w:type="dxa"/>
            </w:tcMar>
            <w:shd w:fill="F7FAFC"/>
          </w:tcPr>
          <w:p>
            <w:r>
              <w:rPr>
                <w:b/>
                <w:sz w:val="17"/>
              </w:rPr>
              <w:t>Dictamen Foso Defensivo</w:t>
            </w:r>
          </w:p>
        </w:tc>
        <w:tc>
          <w:tcPr>
            <w:tcW w:type="dxa" w:w="1958"/>
            <w:tcMar>
              <w:top w:w="60" w:type="dxa"/>
              <w:bottom w:w="60" w:type="dxa"/>
              <w:left w:w="100" w:type="dxa"/>
              <w:right w:w="100" w:type="dxa"/>
            </w:tcMar>
            <w:shd w:fill="F7FAFC"/>
          </w:tcPr>
          <w:p>
            <w:r>
              <w:rPr>
                <w:b/>
                <w:sz w:val="17"/>
              </w:rPr>
              <w:t>🏰 WIDE MOAT / COMPOUNDING MACHINE</w:t>
            </w:r>
          </w:p>
        </w:tc>
        <w:tc>
          <w:tcPr>
            <w:tcW w:type="dxa" w:w="1958"/>
            <w:tcMar>
              <w:top w:w="60" w:type="dxa"/>
              <w:bottom w:w="60" w:type="dxa"/>
              <w:left w:w="100" w:type="dxa"/>
              <w:right w:w="100" w:type="dxa"/>
            </w:tcMar>
            <w:shd w:fill="F7FAFC"/>
          </w:tcPr>
          <w:p>
            <w:r>
              <w:rPr>
                <w:sz w:val="17"/>
              </w:rPr>
              <w:t>Compounding Machine</w:t>
            </w:r>
          </w:p>
        </w:tc>
        <w:tc>
          <w:tcPr>
            <w:tcW w:type="dxa" w:w="1958"/>
            <w:tcMar>
              <w:top w:w="60" w:type="dxa"/>
              <w:bottom w:w="60" w:type="dxa"/>
              <w:left w:w="100" w:type="dxa"/>
              <w:right w:w="100" w:type="dxa"/>
            </w:tcMar>
            <w:shd w:fill="F7FAFC"/>
          </w:tcPr>
          <w:p>
            <w:r>
              <w:rPr>
                <w:sz w:val="17"/>
              </w:rPr>
              <w:t>Fortaleza estructural inquebrantable de largo plazo.</w:t>
            </w:r>
          </w:p>
        </w:tc>
      </w:tr>
    </w:tbl>
    <w:p/>
    <w:p>
      <w:pPr>
        <w:pStyle w:val="Heading1"/>
        <w:spacing w:before="280" w:after="80"/>
      </w:pPr>
      <w:r>
        <w:rPr>
          <w:rFonts w:ascii="Calibri" w:hAnsi="Calibri"/>
          <w:b/>
          <w:color w:val="1B365D"/>
          <w:sz w:val="28"/>
        </w:rPr>
        <w:t>12. Auditoría Forense Contable y Calidad de Beneficios (Detección de Trampas Contables)</w:t>
      </w:r>
    </w:p>
    <w:p>
      <w:pPr>
        <w:spacing w:before="80" w:after="160"/>
        <w:ind w:left="288" w:right="288"/>
      </w:pPr>
      <w:r>
        <w:rPr>
          <w:rFonts w:ascii="Calibri" w:hAnsi="Calibri"/>
          <w:b/>
          <w:color w:val="1B365D"/>
          <w:sz w:val="21"/>
        </w:rPr>
        <w:t>DICTAMEN FORENSE INSTITUCIONAL (LTM): ZONA DE VIGILANCIA</w:t>
        <w:br/>
      </w:r>
      <w:r>
        <w:rPr>
          <w:rFonts w:ascii="Calibri" w:hAnsi="Calibri"/>
          <w:color w:val="2D3748"/>
          <w:sz w:val="19"/>
        </w:rPr>
        <w:t>• Ratio Sloan de Devengos: -4.73% [ALTA CONVERSIÓN DE CAJA (CFO &gt; NI)]</w:t>
        <w:br/>
        <w:t>• Montier C-Score: 3 / 6 [RIESGO MODERADO / ALERTA PREVENTIVA (&lt; 5% PROBABILIDAD DE MANIPULACIÓN)]</w:t>
        <w:br/>
        <w:t>• Dictamen: ZONA DE VIGILANCIA POR DESFASES OPERATIVOS: Montier C-Score de 3/6 con divergencias puntuales en capital de trabajo. Revisar ciclos estacionales de inventarios y condiciones comerciales de cobro.</w:t>
      </w:r>
    </w:p>
    <w:p>
      <w:pPr>
        <w:spacing w:after="120"/>
      </w:pPr>
      <w:r>
        <w:rPr>
          <w:rFonts w:ascii="Calibri" w:hAnsi="Calibri"/>
          <w:color w:val="2D3748"/>
          <w:sz w:val="19"/>
        </w:rPr>
        <w:t>A fin de verificar la autenticidad intrínseca de las ganancias reportadas ante los reguladores (SEC) y descartar de forma exhaustiva el riesgo de 'beneficios de papel', inflación artificial de márgenes o reconocimiento agresivo de ventas, se auditan tres instrumentos cuantitativos especializados no redundantes: el Ratio de Devengos de Sloan (1996), la Matriz de Divergencias de Alerta Temprana en balance y el Montier C-Score (2008).</w:t>
      </w:r>
    </w:p>
    <w:p>
      <w:pPr>
        <w:pStyle w:val="Heading2"/>
      </w:pPr>
      <w:r>
        <w:rPr>
          <w:rFonts w:ascii="Calibri" w:hAnsi="Calibri"/>
          <w:b/>
          <w:color w:val="1B365D"/>
          <w:sz w:val="23"/>
        </w:rPr>
        <w:t>12.1. Ratio de Devengos de Sloan (The Accrual Anomaly)</w:t>
      </w:r>
    </w:p>
    <w:p>
      <w:pPr>
        <w:spacing w:after="120"/>
      </w:pPr>
      <w:r>
        <w:rPr>
          <w:rFonts w:ascii="Calibri" w:hAnsi="Calibri"/>
          <w:color w:val="2D3748"/>
          <w:sz w:val="18"/>
        </w:rPr>
        <w:t>El profesor Richard Sloan (University of Michigan, 1996) demostró que los beneficios contables generados mediante asientos de ajuste o partidas no monetarias exhiben una persistencia temporal muy inferior a las ganancias respaldadas por cobros efectivos. Un ratio de devengos negativo —donde el flujo de caja operativo supera a la utilidad neta— constituye un foso de máxima calidad contable:</w:t>
        <w:br/>
        <w:t>Sloan Accrual Ratio = (Utilidad Neta GAAP − Flujo de Caja Operativo CFO) / Activos Totales Promedio</w:t>
        <w:br/>
        <w:t>• &lt; -3.0%: Excelente / Calidad Superior  |  • -3.0% a +7.0%: Rango Saludable  |  • +7.0% a +10.0%: Precaución  |  • &gt; +10.0%: Alerta Roja</w:t>
      </w:r>
    </w:p>
    <w:tbl>
      <w:tblPr>
        <w:tblW w:type="auto" w:w="0"/>
        <w:jc w:val="center"/>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592"/>
        <w:gridCol w:w="1094"/>
        <w:gridCol w:w="1094"/>
        <w:gridCol w:w="1094"/>
        <w:gridCol w:w="1094"/>
        <w:gridCol w:w="1094"/>
        <w:gridCol w:w="1728"/>
      </w:tblGrid>
      <w:tr>
        <w:tc>
          <w:tcPr>
            <w:tcW w:type="dxa" w:w="2592"/>
            <w:shd w:fill="1B365D"/>
            <w:tcMar>
              <w:top w:w="80" w:type="dxa"/>
              <w:bottom w:w="80" w:type="dxa"/>
              <w:left w:w="80" w:type="dxa"/>
              <w:right w:w="80" w:type="dxa"/>
            </w:tcMar>
          </w:tcPr>
          <w:p>
            <w:pPr>
              <w:jc w:val="left"/>
            </w:pPr>
            <w:r>
              <w:rPr>
                <w:rFonts w:ascii="Calibri" w:hAnsi="Calibri"/>
                <w:b/>
                <w:color w:val="FFFFFF"/>
                <w:sz w:val="17"/>
              </w:rPr>
              <w:t>Métrica Contable Forense</w:t>
            </w:r>
          </w:p>
        </w:tc>
        <w:tc>
          <w:tcPr>
            <w:tcW w:type="dxa" w:w="1094"/>
            <w:shd w:fill="0A3641"/>
            <w:tcMar>
              <w:top w:w="80" w:type="dxa"/>
              <w:bottom w:w="80" w:type="dxa"/>
              <w:left w:w="80" w:type="dxa"/>
              <w:right w:w="80" w:type="dxa"/>
            </w:tcMar>
          </w:tcPr>
          <w:p>
            <w:pPr>
              <w:jc w:val="center"/>
            </w:pPr>
            <w:r>
              <w:rPr>
                <w:rFonts w:ascii="Calibri" w:hAnsi="Calibri"/>
                <w:b/>
                <w:color w:val="FFD700"/>
                <w:sz w:val="17"/>
              </w:rPr>
              <w:t>LTM</w:t>
            </w:r>
          </w:p>
        </w:tc>
        <w:tc>
          <w:tcPr>
            <w:tcW w:type="dxa" w:w="1094"/>
            <w:shd w:fill="1B365D"/>
            <w:tcMar>
              <w:top w:w="80" w:type="dxa"/>
              <w:bottom w:w="80" w:type="dxa"/>
              <w:left w:w="80" w:type="dxa"/>
              <w:right w:w="80" w:type="dxa"/>
            </w:tcMar>
          </w:tcPr>
          <w:p>
            <w:pPr>
              <w:jc w:val="center"/>
            </w:pPr>
            <w:r>
              <w:rPr>
                <w:rFonts w:ascii="Calibri" w:hAnsi="Calibri"/>
                <w:b/>
                <w:color w:val="FFFFFF"/>
                <w:sz w:val="17"/>
              </w:rPr>
              <w:t>FY2026</w:t>
            </w:r>
          </w:p>
        </w:tc>
        <w:tc>
          <w:tcPr>
            <w:tcW w:type="dxa" w:w="1094"/>
            <w:shd w:fill="1B365D"/>
            <w:tcMar>
              <w:top w:w="80" w:type="dxa"/>
              <w:bottom w:w="80" w:type="dxa"/>
              <w:left w:w="80" w:type="dxa"/>
              <w:right w:w="80" w:type="dxa"/>
            </w:tcMar>
          </w:tcPr>
          <w:p>
            <w:pPr>
              <w:jc w:val="center"/>
            </w:pPr>
            <w:r>
              <w:rPr>
                <w:rFonts w:ascii="Calibri" w:hAnsi="Calibri"/>
                <w:b/>
                <w:color w:val="FFFFFF"/>
                <w:sz w:val="17"/>
              </w:rPr>
              <w:t>FY2025</w:t>
            </w:r>
          </w:p>
        </w:tc>
        <w:tc>
          <w:tcPr>
            <w:tcW w:type="dxa" w:w="1094"/>
            <w:shd w:fill="1B365D"/>
            <w:tcMar>
              <w:top w:w="80" w:type="dxa"/>
              <w:bottom w:w="80" w:type="dxa"/>
              <w:left w:w="80" w:type="dxa"/>
              <w:right w:w="80" w:type="dxa"/>
            </w:tcMar>
          </w:tcPr>
          <w:p>
            <w:pPr>
              <w:jc w:val="center"/>
            </w:pPr>
            <w:r>
              <w:rPr>
                <w:rFonts w:ascii="Calibri" w:hAnsi="Calibri"/>
                <w:b/>
                <w:color w:val="FFFFFF"/>
                <w:sz w:val="17"/>
              </w:rPr>
              <w:t>FY2024</w:t>
            </w:r>
          </w:p>
        </w:tc>
        <w:tc>
          <w:tcPr>
            <w:tcW w:type="dxa" w:w="1094"/>
            <w:shd w:fill="1B365D"/>
            <w:tcMar>
              <w:top w:w="80" w:type="dxa"/>
              <w:bottom w:w="80" w:type="dxa"/>
              <w:left w:w="80" w:type="dxa"/>
              <w:right w:w="80" w:type="dxa"/>
            </w:tcMar>
          </w:tcPr>
          <w:p>
            <w:pPr>
              <w:jc w:val="center"/>
            </w:pPr>
            <w:r>
              <w:rPr>
                <w:rFonts w:ascii="Calibri" w:hAnsi="Calibri"/>
                <w:b/>
                <w:color w:val="FFFFFF"/>
                <w:sz w:val="17"/>
              </w:rPr>
              <w:t>FY2023</w:t>
            </w:r>
          </w:p>
        </w:tc>
        <w:tc>
          <w:tcPr>
            <w:tcW w:type="dxa" w:w="1728"/>
            <w:shd w:fill="1B365D"/>
            <w:tcMar>
              <w:top w:w="80" w:type="dxa"/>
              <w:bottom w:w="80" w:type="dxa"/>
              <w:left w:w="80" w:type="dxa"/>
              <w:right w:w="80" w:type="dxa"/>
            </w:tcMar>
          </w:tcPr>
          <w:p>
            <w:pPr>
              <w:jc w:val="center"/>
            </w:pPr>
            <w:r>
              <w:rPr>
                <w:rFonts w:ascii="Calibri" w:hAnsi="Calibri"/>
                <w:b/>
                <w:color w:val="FFFFFF"/>
                <w:sz w:val="17"/>
              </w:rPr>
              <w:t>Umbral Institucional</w:t>
            </w:r>
          </w:p>
        </w:tc>
      </w:tr>
      <w:tr>
        <w:tc>
          <w:tcPr>
            <w:tcW w:type="dxa" w:w="2592"/>
            <w:tcMar>
              <w:top w:w="60" w:type="dxa"/>
              <w:bottom w:w="60" w:type="dxa"/>
              <w:left w:w="80" w:type="dxa"/>
              <w:right w:w="80" w:type="dxa"/>
            </w:tcMar>
          </w:tcPr>
          <w:p>
            <w:r>
              <w:rPr>
                <w:rFonts w:ascii="Calibri" w:hAnsi="Calibri"/>
                <w:b w:val="0"/>
                <w:sz w:val="17"/>
              </w:rPr>
              <w:t>(+) Utilidad Neta GAAP ($M)</w:t>
            </w:r>
          </w:p>
        </w:tc>
        <w:tc>
          <w:tcPr>
            <w:tcW w:type="dxa" w:w="1094"/>
            <w:tcMar>
              <w:top w:w="60" w:type="dxa"/>
              <w:bottom w:w="60" w:type="dxa"/>
              <w:left w:w="60" w:type="dxa"/>
              <w:right w:w="60" w:type="dxa"/>
            </w:tcMar>
          </w:tcPr>
          <w:p>
            <w:pPr>
              <w:jc w:val="right"/>
            </w:pPr>
            <w:r>
              <w:rPr>
                <w:rFonts w:ascii="Calibri" w:hAnsi="Calibri"/>
                <w:b w:val="0"/>
                <w:sz w:val="17"/>
              </w:rPr>
              <w:t>$1,014.8M</w:t>
            </w:r>
          </w:p>
        </w:tc>
        <w:tc>
          <w:tcPr>
            <w:tcW w:type="dxa" w:w="1094"/>
            <w:tcMar>
              <w:top w:w="60" w:type="dxa"/>
              <w:bottom w:w="60" w:type="dxa"/>
              <w:left w:w="60" w:type="dxa"/>
              <w:right w:w="60" w:type="dxa"/>
            </w:tcMar>
          </w:tcPr>
          <w:p>
            <w:pPr>
              <w:jc w:val="right"/>
            </w:pPr>
            <w:r>
              <w:rPr>
                <w:rFonts w:ascii="Calibri" w:hAnsi="Calibri"/>
                <w:b w:val="0"/>
                <w:sz w:val="17"/>
              </w:rPr>
              <w:t>$1,024.1M</w:t>
            </w:r>
          </w:p>
        </w:tc>
        <w:tc>
          <w:tcPr>
            <w:tcW w:type="dxa" w:w="1094"/>
            <w:tcMar>
              <w:top w:w="60" w:type="dxa"/>
              <w:bottom w:w="60" w:type="dxa"/>
              <w:left w:w="60" w:type="dxa"/>
              <w:right w:w="60" w:type="dxa"/>
            </w:tcMar>
          </w:tcPr>
          <w:p>
            <w:pPr>
              <w:jc w:val="right"/>
            </w:pPr>
            <w:r>
              <w:rPr>
                <w:rFonts w:ascii="Calibri" w:hAnsi="Calibri"/>
                <w:b w:val="0"/>
                <w:sz w:val="17"/>
              </w:rPr>
              <w:t>$966.1M</w:t>
            </w:r>
          </w:p>
        </w:tc>
        <w:tc>
          <w:tcPr>
            <w:tcW w:type="dxa" w:w="1094"/>
            <w:tcMar>
              <w:top w:w="60" w:type="dxa"/>
              <w:bottom w:w="60" w:type="dxa"/>
              <w:left w:w="60" w:type="dxa"/>
              <w:right w:w="60" w:type="dxa"/>
            </w:tcMar>
          </w:tcPr>
          <w:p>
            <w:pPr>
              <w:jc w:val="right"/>
            </w:pPr>
            <w:r>
              <w:rPr>
                <w:rFonts w:ascii="Calibri" w:hAnsi="Calibri"/>
                <w:b w:val="0"/>
                <w:sz w:val="17"/>
              </w:rPr>
              <w:t>$759.6M</w:t>
            </w:r>
          </w:p>
        </w:tc>
        <w:tc>
          <w:tcPr>
            <w:tcW w:type="dxa" w:w="1094"/>
            <w:tcMar>
              <w:top w:w="60" w:type="dxa"/>
              <w:bottom w:w="60" w:type="dxa"/>
              <w:left w:w="60" w:type="dxa"/>
              <w:right w:w="60" w:type="dxa"/>
            </w:tcMar>
          </w:tcPr>
          <w:p>
            <w:pPr>
              <w:jc w:val="right"/>
            </w:pPr>
            <w:r>
              <w:rPr>
                <w:rFonts w:ascii="Calibri" w:hAnsi="Calibri"/>
                <w:b w:val="0"/>
                <w:sz w:val="17"/>
              </w:rPr>
              <w:t>$516.8M</w:t>
            </w:r>
          </w:p>
        </w:tc>
        <w:tc>
          <w:tcPr>
            <w:tcW w:type="dxa" w:w="1728"/>
            <w:tcMar>
              <w:top w:w="60" w:type="dxa"/>
              <w:bottom w:w="60" w:type="dxa"/>
              <w:left w:w="60" w:type="dxa"/>
              <w:right w:w="60" w:type="dxa"/>
            </w:tcMar>
          </w:tcPr>
          <w:p>
            <w:pPr>
              <w:jc w:val="center"/>
            </w:pPr>
            <w:r>
              <w:rPr>
                <w:rFonts w:ascii="Calibri" w:hAnsi="Calibri"/>
                <w:i/>
                <w:sz w:val="17"/>
              </w:rPr>
              <w:t>Base Devengada</w:t>
            </w:r>
          </w:p>
        </w:tc>
      </w:tr>
      <w:tr>
        <w:tc>
          <w:tcPr>
            <w:tcW w:type="dxa" w:w="2592"/>
            <w:tcMar>
              <w:top w:w="60" w:type="dxa"/>
              <w:bottom w:w="60" w:type="dxa"/>
              <w:left w:w="80" w:type="dxa"/>
              <w:right w:w="80" w:type="dxa"/>
            </w:tcMar>
          </w:tcPr>
          <w:p>
            <w:r>
              <w:rPr>
                <w:rFonts w:ascii="Calibri" w:hAnsi="Calibri"/>
                <w:b w:val="0"/>
                <w:sz w:val="17"/>
              </w:rPr>
              <w:t>(-) Flujo Operativo CFO ($M)</w:t>
            </w:r>
          </w:p>
        </w:tc>
        <w:tc>
          <w:tcPr>
            <w:tcW w:type="dxa" w:w="1094"/>
            <w:tcMar>
              <w:top w:w="60" w:type="dxa"/>
              <w:bottom w:w="60" w:type="dxa"/>
              <w:left w:w="60" w:type="dxa"/>
              <w:right w:w="60" w:type="dxa"/>
            </w:tcMar>
          </w:tcPr>
          <w:p>
            <w:pPr>
              <w:jc w:val="right"/>
            </w:pPr>
            <w:r>
              <w:rPr>
                <w:rFonts w:ascii="Calibri" w:hAnsi="Calibri"/>
                <w:b w:val="0"/>
                <w:sz w:val="17"/>
              </w:rPr>
              <w:t>$1,193.7M</w:t>
            </w:r>
          </w:p>
        </w:tc>
        <w:tc>
          <w:tcPr>
            <w:tcW w:type="dxa" w:w="1094"/>
            <w:tcMar>
              <w:top w:w="60" w:type="dxa"/>
              <w:bottom w:w="60" w:type="dxa"/>
              <w:left w:w="60" w:type="dxa"/>
              <w:right w:w="60" w:type="dxa"/>
            </w:tcMar>
          </w:tcPr>
          <w:p>
            <w:pPr>
              <w:jc w:val="right"/>
            </w:pPr>
            <w:r>
              <w:rPr>
                <w:rFonts w:ascii="Calibri" w:hAnsi="Calibri"/>
                <w:b w:val="0"/>
                <w:sz w:val="17"/>
              </w:rPr>
              <w:t>$1,182.0M</w:t>
            </w:r>
          </w:p>
        </w:tc>
        <w:tc>
          <w:tcPr>
            <w:tcW w:type="dxa" w:w="1094"/>
            <w:tcMar>
              <w:top w:w="60" w:type="dxa"/>
              <w:bottom w:w="60" w:type="dxa"/>
              <w:left w:w="60" w:type="dxa"/>
              <w:right w:w="60" w:type="dxa"/>
            </w:tcMar>
          </w:tcPr>
          <w:p>
            <w:pPr>
              <w:jc w:val="right"/>
            </w:pPr>
            <w:r>
              <w:rPr>
                <w:rFonts w:ascii="Calibri" w:hAnsi="Calibri"/>
                <w:b w:val="0"/>
                <w:sz w:val="17"/>
              </w:rPr>
              <w:t>$1,044.5M</w:t>
            </w:r>
          </w:p>
        </w:tc>
        <w:tc>
          <w:tcPr>
            <w:tcW w:type="dxa" w:w="1094"/>
            <w:tcMar>
              <w:top w:w="60" w:type="dxa"/>
              <w:bottom w:w="60" w:type="dxa"/>
              <w:left w:w="60" w:type="dxa"/>
              <w:right w:w="60" w:type="dxa"/>
            </w:tcMar>
          </w:tcPr>
          <w:p>
            <w:pPr>
              <w:jc w:val="right"/>
            </w:pPr>
            <w:r>
              <w:rPr>
                <w:rFonts w:ascii="Calibri" w:hAnsi="Calibri"/>
                <w:b w:val="0"/>
                <w:sz w:val="17"/>
              </w:rPr>
              <w:t>$1,033.2M</w:t>
            </w:r>
          </w:p>
        </w:tc>
        <w:tc>
          <w:tcPr>
            <w:tcW w:type="dxa" w:w="1094"/>
            <w:tcMar>
              <w:top w:w="60" w:type="dxa"/>
              <w:bottom w:w="60" w:type="dxa"/>
              <w:left w:w="60" w:type="dxa"/>
              <w:right w:w="60" w:type="dxa"/>
            </w:tcMar>
          </w:tcPr>
          <w:p>
            <w:pPr>
              <w:jc w:val="right"/>
            </w:pPr>
            <w:r>
              <w:rPr>
                <w:rFonts w:ascii="Calibri" w:hAnsi="Calibri"/>
                <w:b w:val="0"/>
                <w:sz w:val="17"/>
              </w:rPr>
              <w:t>$537.4M</w:t>
            </w:r>
          </w:p>
        </w:tc>
        <w:tc>
          <w:tcPr>
            <w:tcW w:type="dxa" w:w="1728"/>
            <w:tcMar>
              <w:top w:w="60" w:type="dxa"/>
              <w:bottom w:w="60" w:type="dxa"/>
              <w:left w:w="60" w:type="dxa"/>
              <w:right w:w="60" w:type="dxa"/>
            </w:tcMar>
          </w:tcPr>
          <w:p>
            <w:pPr>
              <w:jc w:val="center"/>
            </w:pPr>
            <w:r>
              <w:rPr>
                <w:rFonts w:ascii="Calibri" w:hAnsi="Calibri"/>
                <w:i/>
                <w:sz w:val="17"/>
              </w:rPr>
              <w:t>Caja Líquida Real</w:t>
            </w:r>
          </w:p>
        </w:tc>
      </w:tr>
      <w:tr>
        <w:tc>
          <w:tcPr>
            <w:tcW w:type="dxa" w:w="2592"/>
            <w:tcMar>
              <w:top w:w="60" w:type="dxa"/>
              <w:bottom w:w="60" w:type="dxa"/>
              <w:left w:w="80" w:type="dxa"/>
              <w:right w:w="80" w:type="dxa"/>
            </w:tcMar>
          </w:tcPr>
          <w:p>
            <w:r>
              <w:rPr>
                <w:rFonts w:ascii="Calibri" w:hAnsi="Calibri"/>
                <w:b/>
                <w:sz w:val="17"/>
              </w:rPr>
              <w:t>(=) Devengos Totales (NI − CFO)</w:t>
            </w:r>
          </w:p>
        </w:tc>
        <w:tc>
          <w:tcPr>
            <w:tcW w:type="dxa" w:w="1094"/>
            <w:tcMar>
              <w:top w:w="60" w:type="dxa"/>
              <w:bottom w:w="60" w:type="dxa"/>
              <w:left w:w="60" w:type="dxa"/>
              <w:right w:w="60" w:type="dxa"/>
            </w:tcMar>
          </w:tcPr>
          <w:p>
            <w:pPr>
              <w:jc w:val="right"/>
            </w:pPr>
            <w:r>
              <w:rPr>
                <w:rFonts w:ascii="Calibri" w:hAnsi="Calibri"/>
                <w:b/>
                <w:sz w:val="17"/>
              </w:rPr>
              <w:t>$-178.9M</w:t>
            </w:r>
          </w:p>
        </w:tc>
        <w:tc>
          <w:tcPr>
            <w:tcW w:type="dxa" w:w="1094"/>
            <w:tcMar>
              <w:top w:w="60" w:type="dxa"/>
              <w:bottom w:w="60" w:type="dxa"/>
              <w:left w:w="60" w:type="dxa"/>
              <w:right w:w="60" w:type="dxa"/>
            </w:tcMar>
          </w:tcPr>
          <w:p>
            <w:pPr>
              <w:jc w:val="right"/>
            </w:pPr>
            <w:r>
              <w:rPr>
                <w:rFonts w:ascii="Calibri" w:hAnsi="Calibri"/>
                <w:b/>
                <w:sz w:val="17"/>
              </w:rPr>
              <w:t>$-157.9M</w:t>
            </w:r>
          </w:p>
        </w:tc>
        <w:tc>
          <w:tcPr>
            <w:tcW w:type="dxa" w:w="1094"/>
            <w:tcMar>
              <w:top w:w="60" w:type="dxa"/>
              <w:bottom w:w="60" w:type="dxa"/>
              <w:left w:w="60" w:type="dxa"/>
              <w:right w:w="60" w:type="dxa"/>
            </w:tcMar>
          </w:tcPr>
          <w:p>
            <w:pPr>
              <w:jc w:val="right"/>
            </w:pPr>
            <w:r>
              <w:rPr>
                <w:rFonts w:ascii="Calibri" w:hAnsi="Calibri"/>
                <w:b/>
                <w:sz w:val="17"/>
              </w:rPr>
              <w:t>$-78.4M</w:t>
            </w:r>
          </w:p>
        </w:tc>
        <w:tc>
          <w:tcPr>
            <w:tcW w:type="dxa" w:w="1094"/>
            <w:tcMar>
              <w:top w:w="60" w:type="dxa"/>
              <w:bottom w:w="60" w:type="dxa"/>
              <w:left w:w="60" w:type="dxa"/>
              <w:right w:w="60" w:type="dxa"/>
            </w:tcMar>
          </w:tcPr>
          <w:p>
            <w:pPr>
              <w:jc w:val="right"/>
            </w:pPr>
            <w:r>
              <w:rPr>
                <w:rFonts w:ascii="Calibri" w:hAnsi="Calibri"/>
                <w:b/>
                <w:sz w:val="17"/>
              </w:rPr>
              <w:t>$-273.6M</w:t>
            </w:r>
          </w:p>
        </w:tc>
        <w:tc>
          <w:tcPr>
            <w:tcW w:type="dxa" w:w="1094"/>
            <w:tcMar>
              <w:top w:w="60" w:type="dxa"/>
              <w:bottom w:w="60" w:type="dxa"/>
              <w:left w:w="60" w:type="dxa"/>
              <w:right w:w="60" w:type="dxa"/>
            </w:tcMar>
          </w:tcPr>
          <w:p>
            <w:pPr>
              <w:jc w:val="right"/>
            </w:pPr>
            <w:r>
              <w:rPr>
                <w:rFonts w:ascii="Calibri" w:hAnsi="Calibri"/>
                <w:b/>
                <w:sz w:val="17"/>
              </w:rPr>
              <w:t>$-20.6M</w:t>
            </w:r>
          </w:p>
        </w:tc>
        <w:tc>
          <w:tcPr>
            <w:tcW w:type="dxa" w:w="1728"/>
            <w:tcMar>
              <w:top w:w="60" w:type="dxa"/>
              <w:bottom w:w="60" w:type="dxa"/>
              <w:left w:w="60" w:type="dxa"/>
              <w:right w:w="60" w:type="dxa"/>
            </w:tcMar>
          </w:tcPr>
          <w:p>
            <w:pPr>
              <w:jc w:val="center"/>
            </w:pPr>
            <w:r>
              <w:rPr>
                <w:rFonts w:ascii="Calibri" w:hAnsi="Calibri"/>
                <w:i/>
                <w:sz w:val="17"/>
              </w:rPr>
              <w:t>CFO &gt; NI</w:t>
            </w:r>
          </w:p>
        </w:tc>
      </w:tr>
      <w:tr>
        <w:tc>
          <w:tcPr>
            <w:tcW w:type="dxa" w:w="2592"/>
            <w:tcMar>
              <w:top w:w="60" w:type="dxa"/>
              <w:bottom w:w="60" w:type="dxa"/>
              <w:left w:w="80" w:type="dxa"/>
              <w:right w:w="80" w:type="dxa"/>
            </w:tcMar>
          </w:tcPr>
          <w:p>
            <w:r>
              <w:rPr>
                <w:rFonts w:ascii="Calibri" w:hAnsi="Calibri"/>
                <w:b w:val="0"/>
                <w:sz w:val="17"/>
              </w:rPr>
              <w:t>Activos Totales Promedio ($M)</w:t>
            </w:r>
          </w:p>
        </w:tc>
        <w:tc>
          <w:tcPr>
            <w:tcW w:type="dxa" w:w="1094"/>
            <w:tcMar>
              <w:top w:w="60" w:type="dxa"/>
              <w:bottom w:w="60" w:type="dxa"/>
              <w:left w:w="60" w:type="dxa"/>
              <w:right w:w="60" w:type="dxa"/>
            </w:tcMar>
          </w:tcPr>
          <w:p>
            <w:pPr>
              <w:jc w:val="right"/>
            </w:pPr>
            <w:r>
              <w:rPr>
                <w:rFonts w:ascii="Calibri" w:hAnsi="Calibri"/>
                <w:b w:val="0"/>
                <w:sz w:val="17"/>
              </w:rPr>
              <w:t>$3,778.2M</w:t>
            </w:r>
          </w:p>
        </w:tc>
        <w:tc>
          <w:tcPr>
            <w:tcW w:type="dxa" w:w="1094"/>
            <w:tcMar>
              <w:top w:w="60" w:type="dxa"/>
              <w:bottom w:w="60" w:type="dxa"/>
              <w:left w:w="60" w:type="dxa"/>
              <w:right w:w="60" w:type="dxa"/>
            </w:tcMar>
          </w:tcPr>
          <w:p>
            <w:pPr>
              <w:jc w:val="right"/>
            </w:pPr>
            <w:r>
              <w:rPr>
                <w:rFonts w:ascii="Calibri" w:hAnsi="Calibri"/>
                <w:b w:val="0"/>
                <w:sz w:val="17"/>
              </w:rPr>
              <w:t>$3,629.0M</w:t>
            </w:r>
          </w:p>
        </w:tc>
        <w:tc>
          <w:tcPr>
            <w:tcW w:type="dxa" w:w="1094"/>
            <w:tcMar>
              <w:top w:w="60" w:type="dxa"/>
              <w:bottom w:w="60" w:type="dxa"/>
              <w:left w:w="60" w:type="dxa"/>
              <w:right w:w="60" w:type="dxa"/>
            </w:tcMar>
          </w:tcPr>
          <w:p>
            <w:pPr>
              <w:jc w:val="right"/>
            </w:pPr>
            <w:r>
              <w:rPr>
                <w:rFonts w:ascii="Calibri" w:hAnsi="Calibri"/>
                <w:b w:val="0"/>
                <w:sz w:val="17"/>
              </w:rPr>
              <w:t>$3,352.9M</w:t>
            </w:r>
          </w:p>
        </w:tc>
        <w:tc>
          <w:tcPr>
            <w:tcW w:type="dxa" w:w="1094"/>
            <w:tcMar>
              <w:top w:w="60" w:type="dxa"/>
              <w:bottom w:w="60" w:type="dxa"/>
              <w:left w:w="60" w:type="dxa"/>
              <w:right w:w="60" w:type="dxa"/>
            </w:tcMar>
          </w:tcPr>
          <w:p>
            <w:pPr>
              <w:jc w:val="right"/>
            </w:pPr>
            <w:r>
              <w:rPr>
                <w:rFonts w:ascii="Calibri" w:hAnsi="Calibri"/>
                <w:b w:val="0"/>
                <w:sz w:val="17"/>
              </w:rPr>
              <w:t>$2,845.9M</w:t>
            </w:r>
          </w:p>
        </w:tc>
        <w:tc>
          <w:tcPr>
            <w:tcW w:type="dxa" w:w="1094"/>
            <w:tcMar>
              <w:top w:w="60" w:type="dxa"/>
              <w:bottom w:w="60" w:type="dxa"/>
              <w:left w:w="60" w:type="dxa"/>
              <w:right w:w="60" w:type="dxa"/>
            </w:tcMar>
          </w:tcPr>
          <w:p>
            <w:pPr>
              <w:jc w:val="right"/>
            </w:pPr>
            <w:r>
              <w:rPr>
                <w:rFonts w:ascii="Calibri" w:hAnsi="Calibri"/>
                <w:b w:val="0"/>
                <w:sz w:val="17"/>
              </w:rPr>
              <w:t>$2,444.2M</w:t>
            </w:r>
          </w:p>
        </w:tc>
        <w:tc>
          <w:tcPr>
            <w:tcW w:type="dxa" w:w="1728"/>
            <w:tcMar>
              <w:top w:w="60" w:type="dxa"/>
              <w:bottom w:w="60" w:type="dxa"/>
              <w:left w:w="60" w:type="dxa"/>
              <w:right w:w="60" w:type="dxa"/>
            </w:tcMar>
          </w:tcPr>
          <w:p>
            <w:pPr>
              <w:jc w:val="center"/>
            </w:pPr>
            <w:r>
              <w:rPr>
                <w:rFonts w:ascii="Calibri" w:hAnsi="Calibri"/>
                <w:i/>
                <w:sz w:val="17"/>
              </w:rPr>
              <w:t>Base Activos</w:t>
            </w:r>
          </w:p>
        </w:tc>
      </w:tr>
      <w:tr>
        <w:tc>
          <w:tcPr>
            <w:tcW w:type="dxa" w:w="2592"/>
            <w:tcMar>
              <w:top w:w="60" w:type="dxa"/>
              <w:bottom w:w="60" w:type="dxa"/>
              <w:left w:w="80" w:type="dxa"/>
              <w:right w:w="80" w:type="dxa"/>
            </w:tcMar>
          </w:tcPr>
          <w:p>
            <w:r>
              <w:rPr>
                <w:rFonts w:ascii="Calibri" w:hAnsi="Calibri"/>
                <w:b/>
                <w:sz w:val="17"/>
              </w:rPr>
              <w:t>(=) Ratio Devengos Sloan (%)</w:t>
            </w:r>
          </w:p>
        </w:tc>
        <w:tc>
          <w:tcPr>
            <w:tcW w:type="dxa" w:w="1094"/>
            <w:tcMar>
              <w:top w:w="60" w:type="dxa"/>
              <w:bottom w:w="60" w:type="dxa"/>
              <w:left w:w="60" w:type="dxa"/>
              <w:right w:w="60" w:type="dxa"/>
            </w:tcMar>
          </w:tcPr>
          <w:p>
            <w:pPr>
              <w:jc w:val="right"/>
            </w:pPr>
            <w:r>
              <w:rPr>
                <w:rFonts w:ascii="Calibri" w:hAnsi="Calibri"/>
                <w:b/>
                <w:sz w:val="17"/>
              </w:rPr>
              <w:t>-4.73%</w:t>
            </w:r>
          </w:p>
        </w:tc>
        <w:tc>
          <w:tcPr>
            <w:tcW w:type="dxa" w:w="1094"/>
            <w:tcMar>
              <w:top w:w="60" w:type="dxa"/>
              <w:bottom w:w="60" w:type="dxa"/>
              <w:left w:w="60" w:type="dxa"/>
              <w:right w:w="60" w:type="dxa"/>
            </w:tcMar>
          </w:tcPr>
          <w:p>
            <w:pPr>
              <w:jc w:val="right"/>
            </w:pPr>
            <w:r>
              <w:rPr>
                <w:rFonts w:ascii="Calibri" w:hAnsi="Calibri"/>
                <w:b/>
                <w:sz w:val="17"/>
              </w:rPr>
              <w:t>-4.35%</w:t>
            </w:r>
          </w:p>
        </w:tc>
        <w:tc>
          <w:tcPr>
            <w:tcW w:type="dxa" w:w="1094"/>
            <w:tcMar>
              <w:top w:w="60" w:type="dxa"/>
              <w:bottom w:w="60" w:type="dxa"/>
              <w:left w:w="60" w:type="dxa"/>
              <w:right w:w="60" w:type="dxa"/>
            </w:tcMar>
          </w:tcPr>
          <w:p>
            <w:pPr>
              <w:jc w:val="right"/>
            </w:pPr>
            <w:r>
              <w:rPr>
                <w:rFonts w:ascii="Calibri" w:hAnsi="Calibri"/>
                <w:b/>
                <w:sz w:val="17"/>
              </w:rPr>
              <w:t>-2.34%</w:t>
            </w:r>
          </w:p>
        </w:tc>
        <w:tc>
          <w:tcPr>
            <w:tcW w:type="dxa" w:w="1094"/>
            <w:tcMar>
              <w:top w:w="60" w:type="dxa"/>
              <w:bottom w:w="60" w:type="dxa"/>
              <w:left w:w="60" w:type="dxa"/>
              <w:right w:w="60" w:type="dxa"/>
            </w:tcMar>
          </w:tcPr>
          <w:p>
            <w:pPr>
              <w:jc w:val="right"/>
            </w:pPr>
            <w:r>
              <w:rPr>
                <w:rFonts w:ascii="Calibri" w:hAnsi="Calibri"/>
                <w:b/>
                <w:sz w:val="17"/>
              </w:rPr>
              <w:t>-9.61%</w:t>
            </w:r>
          </w:p>
        </w:tc>
        <w:tc>
          <w:tcPr>
            <w:tcW w:type="dxa" w:w="1094"/>
            <w:tcMar>
              <w:top w:w="60" w:type="dxa"/>
              <w:bottom w:w="60" w:type="dxa"/>
              <w:left w:w="60" w:type="dxa"/>
              <w:right w:w="60" w:type="dxa"/>
            </w:tcMar>
          </w:tcPr>
          <w:p>
            <w:pPr>
              <w:jc w:val="right"/>
            </w:pPr>
            <w:r>
              <w:rPr>
                <w:rFonts w:ascii="Calibri" w:hAnsi="Calibri"/>
                <w:b/>
                <w:sz w:val="17"/>
              </w:rPr>
              <w:t>-0.84%</w:t>
            </w:r>
          </w:p>
        </w:tc>
        <w:tc>
          <w:tcPr>
            <w:tcW w:type="dxa" w:w="1728"/>
            <w:tcMar>
              <w:top w:w="60" w:type="dxa"/>
              <w:bottom w:w="60" w:type="dxa"/>
              <w:left w:w="60" w:type="dxa"/>
              <w:right w:w="60" w:type="dxa"/>
            </w:tcMar>
          </w:tcPr>
          <w:p>
            <w:pPr>
              <w:jc w:val="center"/>
            </w:pPr>
            <w:r>
              <w:rPr>
                <w:rFonts w:ascii="Calibri" w:hAnsi="Calibri"/>
                <w:i/>
                <w:sz w:val="17"/>
              </w:rPr>
              <w:t>&lt; -3.0% (Excelente)</w:t>
            </w:r>
          </w:p>
        </w:tc>
      </w:tr>
      <w:tr>
        <w:tc>
          <w:tcPr>
            <w:tcW w:type="dxa" w:w="2592"/>
            <w:tcMar>
              <w:top w:w="60" w:type="dxa"/>
              <w:bottom w:w="60" w:type="dxa"/>
              <w:left w:w="80" w:type="dxa"/>
              <w:right w:w="80" w:type="dxa"/>
            </w:tcMar>
          </w:tcPr>
          <w:p>
            <w:r>
              <w:rPr>
                <w:rFonts w:ascii="Calibri" w:hAnsi="Calibri"/>
                <w:b w:val="0"/>
                <w:sz w:val="17"/>
              </w:rPr>
              <w:t>Diagnóstico de Fidelidad</w:t>
            </w:r>
          </w:p>
        </w:tc>
        <w:tc>
          <w:tcPr>
            <w:tcW w:type="dxa" w:w="1094"/>
            <w:tcMar>
              <w:top w:w="60" w:type="dxa"/>
              <w:bottom w:w="60" w:type="dxa"/>
              <w:left w:w="60" w:type="dxa"/>
              <w:right w:w="60" w:type="dxa"/>
            </w:tcMar>
          </w:tcPr>
          <w:p>
            <w:pPr>
              <w:jc w:val="center"/>
            </w:pPr>
            <w:r>
              <w:rPr>
                <w:rFonts w:ascii="Calibri" w:hAnsi="Calibri"/>
                <w:b w:val="0"/>
                <w:sz w:val="17"/>
              </w:rPr>
              <w:t>EXCELENTE</w:t>
            </w:r>
          </w:p>
        </w:tc>
        <w:tc>
          <w:tcPr>
            <w:tcW w:type="dxa" w:w="1094"/>
            <w:tcMar>
              <w:top w:w="60" w:type="dxa"/>
              <w:bottom w:w="60" w:type="dxa"/>
              <w:left w:w="60" w:type="dxa"/>
              <w:right w:w="60" w:type="dxa"/>
            </w:tcMar>
          </w:tcPr>
          <w:p>
            <w:pPr>
              <w:jc w:val="center"/>
            </w:pPr>
            <w:r>
              <w:rPr>
                <w:rFonts w:ascii="Calibri" w:hAnsi="Calibri"/>
                <w:b w:val="0"/>
                <w:sz w:val="17"/>
              </w:rPr>
              <w:t>EXCELENTE</w:t>
            </w:r>
          </w:p>
        </w:tc>
        <w:tc>
          <w:tcPr>
            <w:tcW w:type="dxa" w:w="1094"/>
            <w:tcMar>
              <w:top w:w="60" w:type="dxa"/>
              <w:bottom w:w="60" w:type="dxa"/>
              <w:left w:w="60" w:type="dxa"/>
              <w:right w:w="60" w:type="dxa"/>
            </w:tcMar>
          </w:tcPr>
          <w:p>
            <w:pPr>
              <w:jc w:val="center"/>
            </w:pPr>
            <w:r>
              <w:rPr>
                <w:rFonts w:ascii="Calibri" w:hAnsi="Calibri"/>
                <w:b w:val="0"/>
                <w:sz w:val="17"/>
              </w:rPr>
              <w:t>SALUDABLE</w:t>
            </w:r>
          </w:p>
        </w:tc>
        <w:tc>
          <w:tcPr>
            <w:tcW w:type="dxa" w:w="1094"/>
            <w:tcMar>
              <w:top w:w="60" w:type="dxa"/>
              <w:bottom w:w="60" w:type="dxa"/>
              <w:left w:w="60" w:type="dxa"/>
              <w:right w:w="60" w:type="dxa"/>
            </w:tcMar>
          </w:tcPr>
          <w:p>
            <w:pPr>
              <w:jc w:val="center"/>
            </w:pPr>
            <w:r>
              <w:rPr>
                <w:rFonts w:ascii="Calibri" w:hAnsi="Calibri"/>
                <w:b w:val="0"/>
                <w:sz w:val="17"/>
              </w:rPr>
              <w:t>EXCELENTE</w:t>
            </w:r>
          </w:p>
        </w:tc>
        <w:tc>
          <w:tcPr>
            <w:tcW w:type="dxa" w:w="1094"/>
            <w:tcMar>
              <w:top w:w="60" w:type="dxa"/>
              <w:bottom w:w="60" w:type="dxa"/>
              <w:left w:w="60" w:type="dxa"/>
              <w:right w:w="60" w:type="dxa"/>
            </w:tcMar>
          </w:tcPr>
          <w:p>
            <w:pPr>
              <w:jc w:val="center"/>
            </w:pPr>
            <w:r>
              <w:rPr>
                <w:rFonts w:ascii="Calibri" w:hAnsi="Calibri"/>
                <w:b w:val="0"/>
                <w:sz w:val="17"/>
              </w:rPr>
              <w:t>SALUDABLE</w:t>
            </w:r>
          </w:p>
        </w:tc>
        <w:tc>
          <w:tcPr>
            <w:tcW w:type="dxa" w:w="1728"/>
            <w:tcMar>
              <w:top w:w="60" w:type="dxa"/>
              <w:bottom w:w="60" w:type="dxa"/>
              <w:left w:w="60" w:type="dxa"/>
              <w:right w:w="60" w:type="dxa"/>
            </w:tcMar>
          </w:tcPr>
          <w:p>
            <w:pPr>
              <w:jc w:val="center"/>
            </w:pPr>
            <w:r>
              <w:rPr>
                <w:rFonts w:ascii="Calibri" w:hAnsi="Calibri"/>
                <w:i/>
                <w:sz w:val="17"/>
              </w:rPr>
              <w:t>Calidad Saludable</w:t>
            </w:r>
          </w:p>
        </w:tc>
      </w:tr>
    </w:tbl>
    <w:p>
      <w:pPr>
        <w:spacing w:before="80" w:after="160"/>
      </w:pPr>
      <w:r>
        <w:rPr>
          <w:rFonts w:ascii="Calibri" w:hAnsi="Calibri"/>
          <w:i/>
          <w:color w:val="2D3748"/>
          <w:sz w:val="17"/>
        </w:rPr>
        <w:t>Interpretación para el Inversor: En LTM, Deckers Outdoor Corporation generó $1.2B de CFO frente a $1.0B de beneficio neto, arrojando una tasa de conversión de caja del 117.6% (cada dólar reportado está respaldado por $1.18 de efectivo). El Ratio Sloan de -4.73% descarta por completo el riesgo de beneficios ficticios.</w:t>
      </w:r>
    </w:p>
    <w:p>
      <w:pPr>
        <w:pStyle w:val="Heading2"/>
      </w:pPr>
      <w:r>
        <w:rPr>
          <w:rFonts w:ascii="Calibri" w:hAnsi="Calibri"/>
          <w:b/>
          <w:color w:val="1B365D"/>
          <w:sz w:val="23"/>
        </w:rPr>
        <w:t>12.2. Matriz de Divergencias de Alerta Temprana (Early Warning Spreads)</w:t>
      </w:r>
    </w:p>
    <w:p>
      <w:pPr>
        <w:spacing w:after="80"/>
      </w:pPr>
      <w:r>
        <w:rPr>
          <w:rFonts w:ascii="Calibri" w:hAnsi="Calibri"/>
          <w:color w:val="2D3748"/>
          <w:sz w:val="18"/>
        </w:rPr>
        <w:t>Rastrea desacoplamientos de velocidad entre partidas circulantes y resultados para prevenir Channel Stuffing, acumulación de inventario diferido y activación fraudulenta de costes en activos blandos.</w:t>
      </w:r>
    </w:p>
    <w:tbl>
      <w:tblPr>
        <w:tblW w:type="auto" w:w="0"/>
        <w:jc w:val="center"/>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160"/>
        <w:gridCol w:w="1872"/>
        <w:gridCol w:w="1440"/>
        <w:gridCol w:w="1440"/>
        <w:gridCol w:w="2880"/>
      </w:tblGrid>
      <w:tr>
        <w:tc>
          <w:tcPr>
            <w:tcW w:type="dxa" w:w="2160"/>
            <w:shd w:fill="1B365D"/>
            <w:tcMar>
              <w:top w:w="80" w:type="dxa"/>
              <w:bottom w:w="80" w:type="dxa"/>
              <w:left w:w="80" w:type="dxa"/>
              <w:right w:w="80" w:type="dxa"/>
            </w:tcMar>
          </w:tcPr>
          <w:p>
            <w:pPr>
              <w:jc w:val="left"/>
            </w:pPr>
            <w:r>
              <w:rPr>
                <w:rFonts w:ascii="Calibri" w:hAnsi="Calibri"/>
                <w:b/>
                <w:color w:val="FFFFFF"/>
                <w:sz w:val="17"/>
              </w:rPr>
              <w:t>Vector de Alerta Temprana</w:t>
            </w:r>
          </w:p>
        </w:tc>
        <w:tc>
          <w:tcPr>
            <w:tcW w:type="dxa" w:w="1872"/>
            <w:shd w:fill="1B365D"/>
            <w:tcMar>
              <w:top w:w="80" w:type="dxa"/>
              <w:bottom w:w="80" w:type="dxa"/>
              <w:left w:w="80" w:type="dxa"/>
              <w:right w:w="80" w:type="dxa"/>
            </w:tcMar>
          </w:tcPr>
          <w:p>
            <w:pPr>
              <w:jc w:val="left"/>
            </w:pPr>
            <w:r>
              <w:rPr>
                <w:rFonts w:ascii="Calibri" w:hAnsi="Calibri"/>
                <w:b/>
                <w:color w:val="FFFFFF"/>
                <w:sz w:val="17"/>
              </w:rPr>
              <w:t>Métrica Auditada</w:t>
            </w:r>
          </w:p>
        </w:tc>
        <w:tc>
          <w:tcPr>
            <w:tcW w:type="dxa" w:w="1440"/>
            <w:shd w:fill="1B365D"/>
            <w:tcMar>
              <w:top w:w="80" w:type="dxa"/>
              <w:bottom w:w="80" w:type="dxa"/>
              <w:left w:w="80" w:type="dxa"/>
              <w:right w:w="80" w:type="dxa"/>
            </w:tcMar>
          </w:tcPr>
          <w:p>
            <w:pPr>
              <w:jc w:val="center"/>
            </w:pPr>
            <w:r>
              <w:rPr>
                <w:rFonts w:ascii="Calibri" w:hAnsi="Calibri"/>
                <w:b/>
                <w:color w:val="FFFFFF"/>
                <w:sz w:val="17"/>
              </w:rPr>
              <w:t>Spread LTM</w:t>
            </w:r>
          </w:p>
        </w:tc>
        <w:tc>
          <w:tcPr>
            <w:tcW w:type="dxa" w:w="1440"/>
            <w:shd w:fill="1B365D"/>
            <w:tcMar>
              <w:top w:w="80" w:type="dxa"/>
              <w:bottom w:w="80" w:type="dxa"/>
              <w:left w:w="80" w:type="dxa"/>
              <w:right w:w="80" w:type="dxa"/>
            </w:tcMar>
          </w:tcPr>
          <w:p>
            <w:pPr>
              <w:jc w:val="center"/>
            </w:pPr>
            <w:r>
              <w:rPr>
                <w:rFonts w:ascii="Calibri" w:hAnsi="Calibri"/>
                <w:b/>
                <w:color w:val="FFFFFF"/>
                <w:sz w:val="17"/>
              </w:rPr>
              <w:t>Rotación / Ciclo</w:t>
            </w:r>
          </w:p>
        </w:tc>
        <w:tc>
          <w:tcPr>
            <w:tcW w:type="dxa" w:w="2880"/>
            <w:shd w:fill="1B365D"/>
            <w:tcMar>
              <w:top w:w="80" w:type="dxa"/>
              <w:bottom w:w="80" w:type="dxa"/>
              <w:left w:w="80" w:type="dxa"/>
              <w:right w:w="80" w:type="dxa"/>
            </w:tcMar>
          </w:tcPr>
          <w:p>
            <w:pPr>
              <w:jc w:val="left"/>
            </w:pPr>
            <w:r>
              <w:rPr>
                <w:rFonts w:ascii="Calibri" w:hAnsi="Calibri"/>
                <w:b/>
                <w:color w:val="FFFFFF"/>
                <w:sz w:val="17"/>
              </w:rPr>
              <w:t>Diagnóstico Forense</w:t>
            </w:r>
          </w:p>
        </w:tc>
      </w:tr>
      <w:tr>
        <w:tc>
          <w:tcPr>
            <w:tcW w:type="dxa" w:w="2160"/>
            <w:tcMar>
              <w:top w:w="60" w:type="dxa"/>
              <w:bottom w:w="60" w:type="dxa"/>
              <w:left w:w="80" w:type="dxa"/>
              <w:right w:w="80" w:type="dxa"/>
            </w:tcMar>
          </w:tcPr>
          <w:p>
            <w:pPr>
              <w:jc w:val="left"/>
            </w:pPr>
            <w:r>
              <w:rPr>
                <w:rFonts w:ascii="Calibri" w:hAnsi="Calibri"/>
                <w:b/>
                <w:sz w:val="17"/>
              </w:rPr>
              <w:t>1. Clientes vs. Ventas (Channel Stuffing)</w:t>
            </w:r>
          </w:p>
        </w:tc>
        <w:tc>
          <w:tcPr>
            <w:tcW w:type="dxa" w:w="1872"/>
            <w:tcMar>
              <w:top w:w="60" w:type="dxa"/>
              <w:bottom w:w="60" w:type="dxa"/>
              <w:left w:w="80" w:type="dxa"/>
              <w:right w:w="80" w:type="dxa"/>
            </w:tcMar>
          </w:tcPr>
          <w:p>
            <w:pPr>
              <w:jc w:val="left"/>
            </w:pPr>
            <w:r>
              <w:rPr>
                <w:rFonts w:ascii="Calibri" w:hAnsi="Calibri"/>
                <w:sz w:val="17"/>
              </w:rPr>
              <w:t>Crecimiento AR vs. Ventas</w:t>
            </w:r>
          </w:p>
        </w:tc>
        <w:tc>
          <w:tcPr>
            <w:tcW w:type="dxa" w:w="1440"/>
            <w:tcMar>
              <w:top w:w="60" w:type="dxa"/>
              <w:bottom w:w="60" w:type="dxa"/>
              <w:left w:w="80" w:type="dxa"/>
              <w:right w:w="80" w:type="dxa"/>
            </w:tcMar>
          </w:tcPr>
          <w:p>
            <w:pPr>
              <w:jc w:val="center"/>
            </w:pPr>
            <w:r>
              <w:rPr>
                <w:rFonts w:ascii="Calibri" w:hAnsi="Calibri"/>
                <w:sz w:val="17"/>
              </w:rPr>
              <w:t>+17.6%</w:t>
            </w:r>
          </w:p>
        </w:tc>
        <w:tc>
          <w:tcPr>
            <w:tcW w:type="dxa" w:w="1440"/>
            <w:tcMar>
              <w:top w:w="60" w:type="dxa"/>
              <w:bottom w:w="60" w:type="dxa"/>
              <w:left w:w="80" w:type="dxa"/>
              <w:right w:w="80" w:type="dxa"/>
            </w:tcMar>
          </w:tcPr>
          <w:p>
            <w:pPr>
              <w:jc w:val="center"/>
            </w:pPr>
            <w:r>
              <w:rPr>
                <w:rFonts w:ascii="Calibri" w:hAnsi="Calibri"/>
                <w:sz w:val="17"/>
              </w:rPr>
              <w:t>DSO: 25.0d (+3.7d)</w:t>
            </w:r>
          </w:p>
        </w:tc>
        <w:tc>
          <w:tcPr>
            <w:tcW w:type="dxa" w:w="2880"/>
            <w:tcMar>
              <w:top w:w="60" w:type="dxa"/>
              <w:bottom w:w="60" w:type="dxa"/>
              <w:left w:w="80" w:type="dxa"/>
              <w:right w:w="80" w:type="dxa"/>
            </w:tcMar>
          </w:tcPr>
          <w:p>
            <w:pPr>
              <w:jc w:val="center"/>
            </w:pPr>
            <w:r>
              <w:rPr>
                <w:rFonts w:ascii="Calibri" w:hAnsi="Calibri"/>
                <w:b/>
                <w:color w:val="276A3C"/>
                <w:sz w:val="17"/>
              </w:rPr>
              <w:t>COBRANZA DISCIPLINADA (OK)</w:t>
            </w:r>
          </w:p>
        </w:tc>
      </w:tr>
      <w:tr>
        <w:tc>
          <w:tcPr>
            <w:tcW w:type="dxa" w:w="2160"/>
            <w:tcMar>
              <w:top w:w="60" w:type="dxa"/>
              <w:bottom w:w="60" w:type="dxa"/>
              <w:left w:w="80" w:type="dxa"/>
              <w:right w:w="80" w:type="dxa"/>
            </w:tcMar>
          </w:tcPr>
          <w:p>
            <w:pPr>
              <w:jc w:val="left"/>
            </w:pPr>
            <w:r>
              <w:rPr>
                <w:rFonts w:ascii="Calibri" w:hAnsi="Calibri"/>
                <w:b/>
                <w:sz w:val="17"/>
              </w:rPr>
              <w:t>2. Inventarios vs. Coste Ventas (COGS)</w:t>
            </w:r>
          </w:p>
        </w:tc>
        <w:tc>
          <w:tcPr>
            <w:tcW w:type="dxa" w:w="1872"/>
            <w:tcMar>
              <w:top w:w="60" w:type="dxa"/>
              <w:bottom w:w="60" w:type="dxa"/>
              <w:left w:w="80" w:type="dxa"/>
              <w:right w:w="80" w:type="dxa"/>
            </w:tcMar>
          </w:tcPr>
          <w:p>
            <w:pPr>
              <w:jc w:val="left"/>
            </w:pPr>
            <w:r>
              <w:rPr>
                <w:rFonts w:ascii="Calibri" w:hAnsi="Calibri"/>
                <w:sz w:val="17"/>
              </w:rPr>
              <w:t>Crecimiento Inv vs. COGS</w:t>
            </w:r>
          </w:p>
        </w:tc>
        <w:tc>
          <w:tcPr>
            <w:tcW w:type="dxa" w:w="1440"/>
            <w:tcMar>
              <w:top w:w="60" w:type="dxa"/>
              <w:bottom w:w="60" w:type="dxa"/>
              <w:left w:w="80" w:type="dxa"/>
              <w:right w:w="80" w:type="dxa"/>
            </w:tcMar>
          </w:tcPr>
          <w:p>
            <w:pPr>
              <w:jc w:val="center"/>
            </w:pPr>
            <w:r>
              <w:rPr>
                <w:rFonts w:ascii="Calibri" w:hAnsi="Calibri"/>
                <w:sz w:val="17"/>
              </w:rPr>
              <w:t>+65.1%</w:t>
            </w:r>
          </w:p>
        </w:tc>
        <w:tc>
          <w:tcPr>
            <w:tcW w:type="dxa" w:w="1440"/>
            <w:tcMar>
              <w:top w:w="60" w:type="dxa"/>
              <w:bottom w:w="60" w:type="dxa"/>
              <w:left w:w="80" w:type="dxa"/>
              <w:right w:w="80" w:type="dxa"/>
            </w:tcMar>
          </w:tcPr>
          <w:p>
            <w:pPr>
              <w:jc w:val="center"/>
            </w:pPr>
            <w:r>
              <w:rPr>
                <w:rFonts w:ascii="Calibri" w:hAnsi="Calibri"/>
                <w:sz w:val="17"/>
              </w:rPr>
              <w:t>DIO: 126.4d (+49.6d)</w:t>
            </w:r>
          </w:p>
        </w:tc>
        <w:tc>
          <w:tcPr>
            <w:tcW w:type="dxa" w:w="2880"/>
            <w:tcMar>
              <w:top w:w="60" w:type="dxa"/>
              <w:bottom w:w="60" w:type="dxa"/>
              <w:left w:w="80" w:type="dxa"/>
              <w:right w:w="80" w:type="dxa"/>
            </w:tcMar>
          </w:tcPr>
          <w:p>
            <w:pPr>
              <w:jc w:val="center"/>
            </w:pPr>
            <w:r>
              <w:rPr>
                <w:rFonts w:ascii="Calibri" w:hAnsi="Calibri"/>
                <w:b/>
                <w:color w:val="C00000"/>
                <w:sz w:val="17"/>
              </w:rPr>
              <w:t>ALERTA PREVENTIVA (RAMP-UP)</w:t>
            </w:r>
          </w:p>
        </w:tc>
      </w:tr>
      <w:tr>
        <w:tc>
          <w:tcPr>
            <w:tcW w:type="dxa" w:w="2160"/>
            <w:tcMar>
              <w:top w:w="60" w:type="dxa"/>
              <w:bottom w:w="60" w:type="dxa"/>
              <w:left w:w="80" w:type="dxa"/>
              <w:right w:w="80" w:type="dxa"/>
            </w:tcMar>
          </w:tcPr>
          <w:p>
            <w:pPr>
              <w:jc w:val="left"/>
            </w:pPr>
            <w:r>
              <w:rPr>
                <w:rFonts w:ascii="Calibri" w:hAnsi="Calibri"/>
                <w:b/>
                <w:sz w:val="17"/>
              </w:rPr>
              <w:t>3. Índice de Activos Blandos</w:t>
            </w:r>
          </w:p>
        </w:tc>
        <w:tc>
          <w:tcPr>
            <w:tcW w:type="dxa" w:w="1872"/>
            <w:tcMar>
              <w:top w:w="60" w:type="dxa"/>
              <w:bottom w:w="60" w:type="dxa"/>
              <w:left w:w="80" w:type="dxa"/>
              <w:right w:w="80" w:type="dxa"/>
            </w:tcMar>
          </w:tcPr>
          <w:p>
            <w:pPr>
              <w:jc w:val="left"/>
            </w:pPr>
            <w:r>
              <w:rPr>
                <w:rFonts w:ascii="Calibri" w:hAnsi="Calibri"/>
                <w:sz w:val="17"/>
              </w:rPr>
              <w:t>Partidas No Físicas / Activos</w:t>
            </w:r>
          </w:p>
        </w:tc>
        <w:tc>
          <w:tcPr>
            <w:tcW w:type="dxa" w:w="1440"/>
            <w:tcMar>
              <w:top w:w="60" w:type="dxa"/>
              <w:bottom w:w="60" w:type="dxa"/>
              <w:left w:w="80" w:type="dxa"/>
              <w:right w:w="80" w:type="dxa"/>
            </w:tcMar>
          </w:tcPr>
          <w:p>
            <w:pPr>
              <w:jc w:val="center"/>
            </w:pPr>
            <w:r>
              <w:rPr>
                <w:rFonts w:ascii="Calibri" w:hAnsi="Calibri"/>
                <w:sz w:val="17"/>
              </w:rPr>
              <w:t>49.8%</w:t>
            </w:r>
          </w:p>
        </w:tc>
        <w:tc>
          <w:tcPr>
            <w:tcW w:type="dxa" w:w="1440"/>
            <w:tcMar>
              <w:top w:w="60" w:type="dxa"/>
              <w:bottom w:w="60" w:type="dxa"/>
              <w:left w:w="80" w:type="dxa"/>
              <w:right w:w="80" w:type="dxa"/>
            </w:tcMar>
          </w:tcPr>
          <w:p>
            <w:pPr>
              <w:jc w:val="center"/>
            </w:pPr>
            <w:r>
              <w:rPr>
                <w:rFonts w:ascii="Calibri" w:hAnsi="Calibri"/>
                <w:sz w:val="17"/>
              </w:rPr>
              <w:t>Δ: +10.7 pp</w:t>
            </w:r>
          </w:p>
        </w:tc>
        <w:tc>
          <w:tcPr>
            <w:tcW w:type="dxa" w:w="2880"/>
            <w:tcMar>
              <w:top w:w="60" w:type="dxa"/>
              <w:bottom w:w="60" w:type="dxa"/>
              <w:left w:w="80" w:type="dxa"/>
              <w:right w:w="80" w:type="dxa"/>
            </w:tcMar>
          </w:tcPr>
          <w:p>
            <w:pPr>
              <w:jc w:val="center"/>
            </w:pPr>
            <w:r>
              <w:rPr>
                <w:rFonts w:ascii="Calibri" w:hAnsi="Calibri"/>
                <w:b/>
                <w:color w:val="276A3C"/>
                <w:sz w:val="17"/>
              </w:rPr>
              <w:t>BALANCE SÓLIDO (OK)</w:t>
            </w:r>
          </w:p>
        </w:tc>
      </w:tr>
    </w:tbl>
    <w:p>
      <w:pPr>
        <w:spacing w:before="80" w:after="160"/>
      </w:pPr>
      <w:r>
        <w:rPr>
          <w:rFonts w:ascii="Calibri" w:hAnsi="Calibri"/>
          <w:i/>
          <w:color w:val="2D3748"/>
          <w:sz w:val="17"/>
        </w:rPr>
        <w:t>Nota Forense sobre Inventario (DECK): Las existencias crecen 65.1% por encima del coste de ventas, elevando el inventario en +49.6 días (DIO: 126.4d). Evaluar si responde a preparación estacional de lanzamientos o acumulación no vendida.</w:t>
      </w:r>
    </w:p>
    <w:p>
      <w:pPr>
        <w:pStyle w:val="Heading2"/>
      </w:pPr>
      <w:r>
        <w:rPr>
          <w:rFonts w:ascii="Calibri" w:hAnsi="Calibri"/>
          <w:b/>
          <w:color w:val="1B365D"/>
          <w:sz w:val="23"/>
        </w:rPr>
        <w:t>12.3. Desglose Forense Montier C-Score (3/6 Banderas)</w:t>
      </w:r>
    </w:p>
    <w:p>
      <w:pPr>
        <w:spacing w:after="80"/>
      </w:pPr>
      <w:r>
        <w:rPr>
          <w:rFonts w:ascii="Calibri" w:hAnsi="Calibri"/>
          <w:color w:val="2D3748"/>
          <w:sz w:val="18"/>
        </w:rPr>
        <w:t>James Montier (Société Générale / GMO, 2008) desarrolló este sistema de 6 banderas para detectar manipulación deliberada. Puntajes de 0 a 1 reflejan menos de 5% de probabilidad de fraude contable, mientras que firmas con &gt;= 4 banderas colapsan en bolsa.</w:t>
      </w:r>
    </w:p>
    <w:tbl>
      <w:tblPr>
        <w:tblW w:type="auto" w:w="0"/>
        <w:jc w:val="center"/>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160"/>
        <w:gridCol w:w="2016"/>
        <w:gridCol w:w="1872"/>
        <w:gridCol w:w="1152"/>
        <w:gridCol w:w="2592"/>
      </w:tblGrid>
      <w:tr>
        <w:tc>
          <w:tcPr>
            <w:tcW w:type="dxa" w:w="2160"/>
            <w:shd w:fill="1B365D"/>
            <w:tcMar>
              <w:top w:w="80" w:type="dxa"/>
              <w:bottom w:w="80" w:type="dxa"/>
              <w:left w:w="80" w:type="dxa"/>
              <w:right w:w="80" w:type="dxa"/>
            </w:tcMar>
          </w:tcPr>
          <w:p>
            <w:pPr>
              <w:jc w:val="left"/>
            </w:pPr>
            <w:r>
              <w:rPr>
                <w:rFonts w:ascii="Calibri" w:hAnsi="Calibri"/>
                <w:b/>
                <w:color w:val="FFFFFF"/>
                <w:sz w:val="17"/>
              </w:rPr>
              <w:t>Bandera de Manipulación (C-Score)</w:t>
            </w:r>
          </w:p>
        </w:tc>
        <w:tc>
          <w:tcPr>
            <w:tcW w:type="dxa" w:w="2016"/>
            <w:shd w:fill="1B365D"/>
            <w:tcMar>
              <w:top w:w="80" w:type="dxa"/>
              <w:bottom w:w="80" w:type="dxa"/>
              <w:left w:w="80" w:type="dxa"/>
              <w:right w:w="80" w:type="dxa"/>
            </w:tcMar>
          </w:tcPr>
          <w:p>
            <w:pPr>
              <w:jc w:val="left"/>
            </w:pPr>
            <w:r>
              <w:rPr>
                <w:rFonts w:ascii="Calibri" w:hAnsi="Calibri"/>
                <w:b/>
                <w:color w:val="FFFFFF"/>
                <w:sz w:val="17"/>
              </w:rPr>
              <w:t>Condición de Alerta</w:t>
            </w:r>
          </w:p>
        </w:tc>
        <w:tc>
          <w:tcPr>
            <w:tcW w:type="dxa" w:w="1872"/>
            <w:shd w:fill="1B365D"/>
            <w:tcMar>
              <w:top w:w="80" w:type="dxa"/>
              <w:bottom w:w="80" w:type="dxa"/>
              <w:left w:w="80" w:type="dxa"/>
              <w:right w:w="80" w:type="dxa"/>
            </w:tcMar>
          </w:tcPr>
          <w:p>
            <w:pPr>
              <w:jc w:val="left"/>
            </w:pPr>
            <w:r>
              <w:rPr>
                <w:rFonts w:ascii="Calibri" w:hAnsi="Calibri"/>
                <w:b/>
                <w:color w:val="FFFFFF"/>
                <w:sz w:val="17"/>
              </w:rPr>
              <w:t>Valor Auditado (LTM)</w:t>
            </w:r>
          </w:p>
        </w:tc>
        <w:tc>
          <w:tcPr>
            <w:tcW w:type="dxa" w:w="1152"/>
            <w:shd w:fill="1B365D"/>
            <w:tcMar>
              <w:top w:w="80" w:type="dxa"/>
              <w:bottom w:w="80" w:type="dxa"/>
              <w:left w:w="80" w:type="dxa"/>
              <w:right w:w="80" w:type="dxa"/>
            </w:tcMar>
          </w:tcPr>
          <w:p>
            <w:pPr>
              <w:jc w:val="center"/>
            </w:pPr>
            <w:r>
              <w:rPr>
                <w:rFonts w:ascii="Calibri" w:hAnsi="Calibri"/>
                <w:b/>
                <w:color w:val="FFFFFF"/>
                <w:sz w:val="17"/>
              </w:rPr>
              <w:t>Estado</w:t>
            </w:r>
          </w:p>
        </w:tc>
        <w:tc>
          <w:tcPr>
            <w:tcW w:type="dxa" w:w="2592"/>
            <w:shd w:fill="1B365D"/>
            <w:tcMar>
              <w:top w:w="80" w:type="dxa"/>
              <w:bottom w:w="80" w:type="dxa"/>
              <w:left w:w="80" w:type="dxa"/>
              <w:right w:w="80" w:type="dxa"/>
            </w:tcMar>
          </w:tcPr>
          <w:p>
            <w:pPr>
              <w:jc w:val="left"/>
            </w:pPr>
            <w:r>
              <w:rPr>
                <w:rFonts w:ascii="Calibri" w:hAnsi="Calibri"/>
                <w:b/>
                <w:color w:val="FFFFFF"/>
                <w:sz w:val="17"/>
              </w:rPr>
              <w:t>Trampa Contable que Previene</w:t>
            </w:r>
          </w:p>
        </w:tc>
      </w:tr>
      <w:tr>
        <w:tc>
          <w:tcPr>
            <w:tcW w:type="dxa" w:w="2160"/>
            <w:tcMar>
              <w:top w:w="60" w:type="dxa"/>
              <w:bottom w:w="60" w:type="dxa"/>
              <w:left w:w="80" w:type="dxa"/>
              <w:right w:w="80" w:type="dxa"/>
            </w:tcMar>
          </w:tcPr>
          <w:p>
            <w:pPr>
              <w:jc w:val="left"/>
            </w:pPr>
            <w:r>
              <w:rPr>
                <w:rFonts w:ascii="Calibri" w:hAnsi="Calibri"/>
                <w:sz w:val="16"/>
              </w:rPr>
              <w:t>1. Divergencia Beneficio vs. Flujo de Caja</w:t>
            </w:r>
          </w:p>
        </w:tc>
        <w:tc>
          <w:tcPr>
            <w:tcW w:type="dxa" w:w="2016"/>
            <w:tcMar>
              <w:top w:w="60" w:type="dxa"/>
              <w:bottom w:w="60" w:type="dxa"/>
              <w:left w:w="80" w:type="dxa"/>
              <w:right w:w="80" w:type="dxa"/>
            </w:tcMar>
          </w:tcPr>
          <w:p>
            <w:pPr>
              <w:jc w:val="left"/>
            </w:pPr>
            <w:r>
              <w:rPr>
                <w:rFonts w:ascii="Calibri" w:hAnsi="Calibri"/>
                <w:sz w:val="16"/>
              </w:rPr>
              <w:t>Utilidad Neta &gt; Flujo de Caja Operativo (NI &gt; CFO)</w:t>
            </w:r>
          </w:p>
        </w:tc>
        <w:tc>
          <w:tcPr>
            <w:tcW w:type="dxa" w:w="1872"/>
            <w:tcMar>
              <w:top w:w="60" w:type="dxa"/>
              <w:bottom w:w="60" w:type="dxa"/>
              <w:left w:w="80" w:type="dxa"/>
              <w:right w:w="80" w:type="dxa"/>
            </w:tcMar>
          </w:tcPr>
          <w:p>
            <w:pPr>
              <w:jc w:val="left"/>
            </w:pPr>
            <w:r>
              <w:rPr>
                <w:rFonts w:ascii="Calibri" w:hAnsi="Calibri"/>
                <w:sz w:val="16"/>
              </w:rPr>
              <w:t>NI: $1,014.8M vs CFO: $1,193.7M</w:t>
            </w:r>
          </w:p>
        </w:tc>
        <w:tc>
          <w:tcPr>
            <w:tcW w:type="dxa" w:w="1152"/>
            <w:tcMar>
              <w:top w:w="60" w:type="dxa"/>
              <w:bottom w:w="60" w:type="dxa"/>
              <w:left w:w="80" w:type="dxa"/>
              <w:right w:w="80" w:type="dxa"/>
            </w:tcMar>
          </w:tcPr>
          <w:p>
            <w:pPr>
              <w:jc w:val="center"/>
            </w:pPr>
            <w:r>
              <w:rPr>
                <w:rFonts w:ascii="Calibri" w:hAnsi="Calibri"/>
                <w:b/>
                <w:color w:val="276A3C"/>
                <w:sz w:val="16"/>
              </w:rPr>
              <w:t>✅ OK</w:t>
            </w:r>
          </w:p>
        </w:tc>
        <w:tc>
          <w:tcPr>
            <w:tcW w:type="dxa" w:w="2592"/>
            <w:tcMar>
              <w:top w:w="60" w:type="dxa"/>
              <w:bottom w:w="60" w:type="dxa"/>
              <w:left w:w="80" w:type="dxa"/>
              <w:right w:w="80" w:type="dxa"/>
            </w:tcMar>
          </w:tcPr>
          <w:p>
            <w:pPr>
              <w:jc w:val="left"/>
            </w:pPr>
            <w:r>
              <w:rPr>
                <w:rFonts w:ascii="Calibri" w:hAnsi="Calibri"/>
                <w:sz w:val="16"/>
              </w:rPr>
              <w:t>La utilidad contable no se transforma en liquidez real. Alerta de beneficios de papel.</w:t>
            </w:r>
          </w:p>
        </w:tc>
      </w:tr>
      <w:tr>
        <w:tc>
          <w:tcPr>
            <w:tcW w:type="dxa" w:w="2160"/>
            <w:tcMar>
              <w:top w:w="60" w:type="dxa"/>
              <w:bottom w:w="60" w:type="dxa"/>
              <w:left w:w="80" w:type="dxa"/>
              <w:right w:w="80" w:type="dxa"/>
            </w:tcMar>
          </w:tcPr>
          <w:p>
            <w:pPr>
              <w:jc w:val="left"/>
            </w:pPr>
            <w:r>
              <w:rPr>
                <w:rFonts w:ascii="Calibri" w:hAnsi="Calibri"/>
                <w:sz w:val="16"/>
              </w:rPr>
              <w:t>2. Cuentas por Cobrar vs. Ventas</w:t>
            </w:r>
          </w:p>
        </w:tc>
        <w:tc>
          <w:tcPr>
            <w:tcW w:type="dxa" w:w="2016"/>
            <w:tcMar>
              <w:top w:w="60" w:type="dxa"/>
              <w:bottom w:w="60" w:type="dxa"/>
              <w:left w:w="80" w:type="dxa"/>
              <w:right w:w="80" w:type="dxa"/>
            </w:tcMar>
          </w:tcPr>
          <w:p>
            <w:pPr>
              <w:jc w:val="left"/>
            </w:pPr>
            <w:r>
              <w:rPr>
                <w:rFonts w:ascii="Calibri" w:hAnsi="Calibri"/>
                <w:sz w:val="16"/>
              </w:rPr>
              <w:t>Δ Cuentas por Cobrar % &gt; Δ Ventas %</w:t>
            </w:r>
          </w:p>
        </w:tc>
        <w:tc>
          <w:tcPr>
            <w:tcW w:type="dxa" w:w="1872"/>
            <w:tcMar>
              <w:top w:w="60" w:type="dxa"/>
              <w:bottom w:w="60" w:type="dxa"/>
              <w:left w:w="80" w:type="dxa"/>
              <w:right w:w="80" w:type="dxa"/>
            </w:tcMar>
          </w:tcPr>
          <w:p>
            <w:pPr>
              <w:jc w:val="left"/>
            </w:pPr>
            <w:r>
              <w:rPr>
                <w:rFonts w:ascii="Calibri" w:hAnsi="Calibri"/>
                <w:sz w:val="16"/>
              </w:rPr>
              <w:t>ΔAR: 18.6% vs ΔVentas: 1.0%</w:t>
            </w:r>
          </w:p>
        </w:tc>
        <w:tc>
          <w:tcPr>
            <w:tcW w:type="dxa" w:w="1152"/>
            <w:tcMar>
              <w:top w:w="60" w:type="dxa"/>
              <w:bottom w:w="60" w:type="dxa"/>
              <w:left w:w="80" w:type="dxa"/>
              <w:right w:w="80" w:type="dxa"/>
            </w:tcMar>
          </w:tcPr>
          <w:p>
            <w:pPr>
              <w:jc w:val="center"/>
            </w:pPr>
            <w:r>
              <w:rPr>
                <w:rFonts w:ascii="Calibri" w:hAnsi="Calibri"/>
                <w:b/>
                <w:color w:val="C00000"/>
                <w:sz w:val="16"/>
              </w:rPr>
              <w:t>🚩 FLAG</w:t>
            </w:r>
          </w:p>
        </w:tc>
        <w:tc>
          <w:tcPr>
            <w:tcW w:type="dxa" w:w="2592"/>
            <w:tcMar>
              <w:top w:w="60" w:type="dxa"/>
              <w:bottom w:w="60" w:type="dxa"/>
              <w:left w:w="80" w:type="dxa"/>
              <w:right w:w="80" w:type="dxa"/>
            </w:tcMar>
          </w:tcPr>
          <w:p>
            <w:pPr>
              <w:jc w:val="left"/>
            </w:pPr>
            <w:r>
              <w:rPr>
                <w:rFonts w:ascii="Calibri" w:hAnsi="Calibri"/>
                <w:sz w:val="16"/>
              </w:rPr>
              <w:t>Las cuentas a cobrar crecen más rápido que las ventas. Indica relajación de cobros o facturación apresurada (channel stuffing).</w:t>
            </w:r>
          </w:p>
        </w:tc>
      </w:tr>
      <w:tr>
        <w:tc>
          <w:tcPr>
            <w:tcW w:type="dxa" w:w="2160"/>
            <w:tcMar>
              <w:top w:w="60" w:type="dxa"/>
              <w:bottom w:w="60" w:type="dxa"/>
              <w:left w:w="80" w:type="dxa"/>
              <w:right w:w="80" w:type="dxa"/>
            </w:tcMar>
          </w:tcPr>
          <w:p>
            <w:pPr>
              <w:jc w:val="left"/>
            </w:pPr>
            <w:r>
              <w:rPr>
                <w:rFonts w:ascii="Calibri" w:hAnsi="Calibri"/>
                <w:sz w:val="16"/>
              </w:rPr>
              <w:t>3. Inventarios vs. Coste de Ventas</w:t>
            </w:r>
          </w:p>
        </w:tc>
        <w:tc>
          <w:tcPr>
            <w:tcW w:type="dxa" w:w="2016"/>
            <w:tcMar>
              <w:top w:w="60" w:type="dxa"/>
              <w:bottom w:w="60" w:type="dxa"/>
              <w:left w:w="80" w:type="dxa"/>
              <w:right w:w="80" w:type="dxa"/>
            </w:tcMar>
          </w:tcPr>
          <w:p>
            <w:pPr>
              <w:jc w:val="left"/>
            </w:pPr>
            <w:r>
              <w:rPr>
                <w:rFonts w:ascii="Calibri" w:hAnsi="Calibri"/>
                <w:sz w:val="16"/>
              </w:rPr>
              <w:t>Δ Inventarios % &gt; Δ Coste de Ventas %</w:t>
            </w:r>
          </w:p>
        </w:tc>
        <w:tc>
          <w:tcPr>
            <w:tcW w:type="dxa" w:w="1872"/>
            <w:tcMar>
              <w:top w:w="60" w:type="dxa"/>
              <w:bottom w:w="60" w:type="dxa"/>
              <w:left w:w="80" w:type="dxa"/>
              <w:right w:w="80" w:type="dxa"/>
            </w:tcMar>
          </w:tcPr>
          <w:p>
            <w:pPr>
              <w:jc w:val="left"/>
            </w:pPr>
            <w:r>
              <w:rPr>
                <w:rFonts w:ascii="Calibri" w:hAnsi="Calibri"/>
                <w:sz w:val="16"/>
              </w:rPr>
              <w:t>ΔInv: 65.8% vs ΔCOGS: 0.8%</w:t>
            </w:r>
          </w:p>
        </w:tc>
        <w:tc>
          <w:tcPr>
            <w:tcW w:type="dxa" w:w="1152"/>
            <w:tcMar>
              <w:top w:w="60" w:type="dxa"/>
              <w:bottom w:w="60" w:type="dxa"/>
              <w:left w:w="80" w:type="dxa"/>
              <w:right w:w="80" w:type="dxa"/>
            </w:tcMar>
          </w:tcPr>
          <w:p>
            <w:pPr>
              <w:jc w:val="center"/>
            </w:pPr>
            <w:r>
              <w:rPr>
                <w:rFonts w:ascii="Calibri" w:hAnsi="Calibri"/>
                <w:b/>
                <w:color w:val="C00000"/>
                <w:sz w:val="16"/>
              </w:rPr>
              <w:t>🚩 FLAG</w:t>
            </w:r>
          </w:p>
        </w:tc>
        <w:tc>
          <w:tcPr>
            <w:tcW w:type="dxa" w:w="2592"/>
            <w:tcMar>
              <w:top w:w="60" w:type="dxa"/>
              <w:bottom w:w="60" w:type="dxa"/>
              <w:left w:w="80" w:type="dxa"/>
              <w:right w:w="80" w:type="dxa"/>
            </w:tcMar>
          </w:tcPr>
          <w:p>
            <w:pPr>
              <w:jc w:val="left"/>
            </w:pPr>
            <w:r>
              <w:rPr>
                <w:rFonts w:ascii="Calibri" w:hAnsi="Calibri"/>
                <w:sz w:val="16"/>
              </w:rPr>
              <w:t>Las existencias crecen más rápido que los costes de venta. Puede esconder producto no vendido o absorción de costes en inventario para inflar márgenes.</w:t>
            </w:r>
          </w:p>
        </w:tc>
      </w:tr>
      <w:tr>
        <w:tc>
          <w:tcPr>
            <w:tcW w:type="dxa" w:w="2160"/>
            <w:tcMar>
              <w:top w:w="60" w:type="dxa"/>
              <w:bottom w:w="60" w:type="dxa"/>
              <w:left w:w="80" w:type="dxa"/>
              <w:right w:w="80" w:type="dxa"/>
            </w:tcMar>
          </w:tcPr>
          <w:p>
            <w:pPr>
              <w:jc w:val="left"/>
            </w:pPr>
            <w:r>
              <w:rPr>
                <w:rFonts w:ascii="Calibri" w:hAnsi="Calibri"/>
                <w:sz w:val="16"/>
              </w:rPr>
              <w:t>4. Deterioro del Margen Bruto</w:t>
            </w:r>
          </w:p>
        </w:tc>
        <w:tc>
          <w:tcPr>
            <w:tcW w:type="dxa" w:w="2016"/>
            <w:tcMar>
              <w:top w:w="60" w:type="dxa"/>
              <w:bottom w:w="60" w:type="dxa"/>
              <w:left w:w="80" w:type="dxa"/>
              <w:right w:w="80" w:type="dxa"/>
            </w:tcMar>
          </w:tcPr>
          <w:p>
            <w:pPr>
              <w:jc w:val="left"/>
            </w:pPr>
            <w:r>
              <w:rPr>
                <w:rFonts w:ascii="Calibri" w:hAnsi="Calibri"/>
                <w:sz w:val="16"/>
              </w:rPr>
              <w:t>Margen Bruto_t &lt; Margen Bruto_t-1</w:t>
            </w:r>
          </w:p>
        </w:tc>
        <w:tc>
          <w:tcPr>
            <w:tcW w:type="dxa" w:w="1872"/>
            <w:tcMar>
              <w:top w:w="60" w:type="dxa"/>
              <w:bottom w:w="60" w:type="dxa"/>
              <w:left w:w="80" w:type="dxa"/>
              <w:right w:w="80" w:type="dxa"/>
            </w:tcMar>
          </w:tcPr>
          <w:p>
            <w:pPr>
              <w:jc w:val="left"/>
            </w:pPr>
            <w:r>
              <w:rPr>
                <w:rFonts w:ascii="Calibri" w:hAnsi="Calibri"/>
                <w:sz w:val="16"/>
              </w:rPr>
              <w:t>Margen Bruto: 57.8% vs 57.7%</w:t>
            </w:r>
          </w:p>
        </w:tc>
        <w:tc>
          <w:tcPr>
            <w:tcW w:type="dxa" w:w="1152"/>
            <w:tcMar>
              <w:top w:w="60" w:type="dxa"/>
              <w:bottom w:w="60" w:type="dxa"/>
              <w:left w:w="80" w:type="dxa"/>
              <w:right w:w="80" w:type="dxa"/>
            </w:tcMar>
          </w:tcPr>
          <w:p>
            <w:pPr>
              <w:jc w:val="center"/>
            </w:pPr>
            <w:r>
              <w:rPr>
                <w:rFonts w:ascii="Calibri" w:hAnsi="Calibri"/>
                <w:b/>
                <w:color w:val="276A3C"/>
                <w:sz w:val="16"/>
              </w:rPr>
              <w:t>✅ OK</w:t>
            </w:r>
          </w:p>
        </w:tc>
        <w:tc>
          <w:tcPr>
            <w:tcW w:type="dxa" w:w="2592"/>
            <w:tcMar>
              <w:top w:w="60" w:type="dxa"/>
              <w:bottom w:w="60" w:type="dxa"/>
              <w:left w:w="80" w:type="dxa"/>
              <w:right w:w="80" w:type="dxa"/>
            </w:tcMar>
          </w:tcPr>
          <w:p>
            <w:pPr>
              <w:jc w:val="left"/>
            </w:pPr>
            <w:r>
              <w:rPr>
                <w:rFonts w:ascii="Calibri" w:hAnsi="Calibri"/>
                <w:sz w:val="16"/>
              </w:rPr>
              <w:t>El deterioro del margen bruto genera incentivos en los ejecutivos para estirar partidas contables inferiores.</w:t>
            </w:r>
          </w:p>
        </w:tc>
      </w:tr>
      <w:tr>
        <w:tc>
          <w:tcPr>
            <w:tcW w:type="dxa" w:w="2160"/>
            <w:tcMar>
              <w:top w:w="60" w:type="dxa"/>
              <w:bottom w:w="60" w:type="dxa"/>
              <w:left w:w="80" w:type="dxa"/>
              <w:right w:w="80" w:type="dxa"/>
            </w:tcMar>
          </w:tcPr>
          <w:p>
            <w:pPr>
              <w:jc w:val="left"/>
            </w:pPr>
            <w:r>
              <w:rPr>
                <w:rFonts w:ascii="Calibri" w:hAnsi="Calibri"/>
                <w:sz w:val="16"/>
              </w:rPr>
              <w:t>5. Incremento de Activos Blandos</w:t>
            </w:r>
          </w:p>
        </w:tc>
        <w:tc>
          <w:tcPr>
            <w:tcW w:type="dxa" w:w="2016"/>
            <w:tcMar>
              <w:top w:w="60" w:type="dxa"/>
              <w:bottom w:w="60" w:type="dxa"/>
              <w:left w:w="80" w:type="dxa"/>
              <w:right w:w="80" w:type="dxa"/>
            </w:tcMar>
          </w:tcPr>
          <w:p>
            <w:pPr>
              <w:jc w:val="left"/>
            </w:pPr>
            <w:r>
              <w:rPr>
                <w:rFonts w:ascii="Calibri" w:hAnsi="Calibri"/>
                <w:sz w:val="16"/>
              </w:rPr>
              <w:t>Ratio Activos Blandos_t &gt; Ratio Activos Blandos_t-1</w:t>
            </w:r>
          </w:p>
        </w:tc>
        <w:tc>
          <w:tcPr>
            <w:tcW w:type="dxa" w:w="1872"/>
            <w:tcMar>
              <w:top w:w="60" w:type="dxa"/>
              <w:bottom w:w="60" w:type="dxa"/>
              <w:left w:w="80" w:type="dxa"/>
              <w:right w:w="80" w:type="dxa"/>
            </w:tcMar>
          </w:tcPr>
          <w:p>
            <w:pPr>
              <w:jc w:val="left"/>
            </w:pPr>
            <w:r>
              <w:rPr>
                <w:rFonts w:ascii="Calibri" w:hAnsi="Calibri"/>
                <w:sz w:val="16"/>
              </w:rPr>
              <w:t>Activos Blandos: 49.8% vs 39.1%</w:t>
            </w:r>
          </w:p>
        </w:tc>
        <w:tc>
          <w:tcPr>
            <w:tcW w:type="dxa" w:w="1152"/>
            <w:tcMar>
              <w:top w:w="60" w:type="dxa"/>
              <w:bottom w:w="60" w:type="dxa"/>
              <w:left w:w="80" w:type="dxa"/>
              <w:right w:w="80" w:type="dxa"/>
            </w:tcMar>
          </w:tcPr>
          <w:p>
            <w:pPr>
              <w:jc w:val="center"/>
            </w:pPr>
            <w:r>
              <w:rPr>
                <w:rFonts w:ascii="Calibri" w:hAnsi="Calibri"/>
                <w:b/>
                <w:color w:val="C00000"/>
                <w:sz w:val="16"/>
              </w:rPr>
              <w:t>🚩 FLAG</w:t>
            </w:r>
          </w:p>
        </w:tc>
        <w:tc>
          <w:tcPr>
            <w:tcW w:type="dxa" w:w="2592"/>
            <w:tcMar>
              <w:top w:w="60" w:type="dxa"/>
              <w:bottom w:w="60" w:type="dxa"/>
              <w:left w:w="80" w:type="dxa"/>
              <w:right w:w="80" w:type="dxa"/>
            </w:tcMar>
          </w:tcPr>
          <w:p>
            <w:pPr>
              <w:jc w:val="left"/>
            </w:pPr>
            <w:r>
              <w:rPr>
                <w:rFonts w:ascii="Calibri" w:hAnsi="Calibri"/>
                <w:sz w:val="16"/>
              </w:rPr>
              <w:t>Aumento del peso relativo de partidas del balance que no son activos productivos tangibles ni tesorería.</w:t>
            </w:r>
          </w:p>
        </w:tc>
      </w:tr>
      <w:tr>
        <w:tc>
          <w:tcPr>
            <w:tcW w:type="dxa" w:w="2160"/>
            <w:tcMar>
              <w:top w:w="60" w:type="dxa"/>
              <w:bottom w:w="60" w:type="dxa"/>
              <w:left w:w="80" w:type="dxa"/>
              <w:right w:w="80" w:type="dxa"/>
            </w:tcMar>
          </w:tcPr>
          <w:p>
            <w:pPr>
              <w:jc w:val="left"/>
            </w:pPr>
            <w:r>
              <w:rPr>
                <w:rFonts w:ascii="Calibri" w:hAnsi="Calibri"/>
                <w:sz w:val="16"/>
              </w:rPr>
              <w:t>6. Reducción de la Tasa de Depreciación</w:t>
            </w:r>
          </w:p>
        </w:tc>
        <w:tc>
          <w:tcPr>
            <w:tcW w:type="dxa" w:w="2016"/>
            <w:tcMar>
              <w:top w:w="60" w:type="dxa"/>
              <w:bottom w:w="60" w:type="dxa"/>
              <w:left w:w="80" w:type="dxa"/>
              <w:right w:w="80" w:type="dxa"/>
            </w:tcMar>
          </w:tcPr>
          <w:p>
            <w:pPr>
              <w:jc w:val="left"/>
            </w:pPr>
            <w:r>
              <w:rPr>
                <w:rFonts w:ascii="Calibri" w:hAnsi="Calibri"/>
                <w:sz w:val="16"/>
              </w:rPr>
              <w:t>Tasa Depreciación_t &lt; Tasa Depreciación_t-1</w:t>
            </w:r>
          </w:p>
        </w:tc>
        <w:tc>
          <w:tcPr>
            <w:tcW w:type="dxa" w:w="1872"/>
            <w:tcMar>
              <w:top w:w="60" w:type="dxa"/>
              <w:bottom w:w="60" w:type="dxa"/>
              <w:left w:w="80" w:type="dxa"/>
              <w:right w:w="80" w:type="dxa"/>
            </w:tcMar>
          </w:tcPr>
          <w:p>
            <w:pPr>
              <w:jc w:val="left"/>
            </w:pPr>
            <w:r>
              <w:rPr>
                <w:rFonts w:ascii="Calibri" w:hAnsi="Calibri"/>
                <w:sz w:val="16"/>
              </w:rPr>
              <w:t>Tasa Deprec: 17.98% vs 18.32%</w:t>
            </w:r>
          </w:p>
        </w:tc>
        <w:tc>
          <w:tcPr>
            <w:tcW w:type="dxa" w:w="1152"/>
            <w:tcMar>
              <w:top w:w="60" w:type="dxa"/>
              <w:bottom w:w="60" w:type="dxa"/>
              <w:left w:w="80" w:type="dxa"/>
              <w:right w:w="80" w:type="dxa"/>
            </w:tcMar>
          </w:tcPr>
          <w:p>
            <w:pPr>
              <w:jc w:val="center"/>
            </w:pPr>
            <w:r>
              <w:rPr>
                <w:rFonts w:ascii="Calibri" w:hAnsi="Calibri"/>
                <w:b/>
                <w:color w:val="276A3C"/>
                <w:sz w:val="16"/>
              </w:rPr>
              <w:t>✅ OK</w:t>
            </w:r>
          </w:p>
        </w:tc>
        <w:tc>
          <w:tcPr>
            <w:tcW w:type="dxa" w:w="2592"/>
            <w:tcMar>
              <w:top w:w="60" w:type="dxa"/>
              <w:bottom w:w="60" w:type="dxa"/>
              <w:left w:w="80" w:type="dxa"/>
              <w:right w:w="80" w:type="dxa"/>
            </w:tcMar>
          </w:tcPr>
          <w:p>
            <w:pPr>
              <w:jc w:val="left"/>
            </w:pPr>
            <w:r>
              <w:rPr>
                <w:rFonts w:ascii="Calibri" w:hAnsi="Calibri"/>
                <w:sz w:val="16"/>
              </w:rPr>
              <w:t>Reducción de la amortización contable respecto a los activos brutos, inflando el beneficio neto al estirar vidas útiles.</w:t>
            </w:r>
          </w:p>
        </w:tc>
      </w:tr>
    </w:tbl>
    <w:p>
      <w:pPr>
        <w:spacing w:before="80" w:after="160"/>
      </w:pPr>
      <w:r>
        <w:rPr>
          <w:rFonts w:ascii="Calibri" w:hAnsi="Calibri"/>
          <w:b/>
          <w:color w:val="1B365D"/>
          <w:sz w:val="17"/>
        </w:rPr>
        <w:t>Dictamen Montier: 3 / 6 Banderas — RIESGO MODERADO / ALERTA PREVENTIVA. Probabilidad empírica de manipulación moderada (&lt; 25%).</w:t>
      </w:r>
    </w:p>
    <w:p>
      <w:pPr>
        <w:pStyle w:val="Heading2"/>
      </w:pPr>
      <w:r>
        <w:rPr>
          <w:rFonts w:ascii="Calibri" w:hAnsi="Calibri"/>
          <w:b/>
          <w:color w:val="1B365D"/>
          <w:sz w:val="23"/>
        </w:rPr>
        <w:t>12.4. Cuadro de Mando Consolidado de Fidelidad Contable</w:t>
      </w:r>
    </w:p>
    <w:tbl>
      <w:tblPr>
        <w:tblW w:type="auto" w:w="0"/>
        <w:jc w:val="center"/>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016"/>
        <w:gridCol w:w="2016"/>
        <w:gridCol w:w="1440"/>
        <w:gridCol w:w="1728"/>
        <w:gridCol w:w="2592"/>
      </w:tblGrid>
      <w:tr>
        <w:tc>
          <w:tcPr>
            <w:tcW w:type="dxa" w:w="2016"/>
            <w:shd w:fill="1B365D"/>
            <w:tcMar>
              <w:top w:w="80" w:type="dxa"/>
              <w:bottom w:w="80" w:type="dxa"/>
              <w:left w:w="80" w:type="dxa"/>
              <w:right w:w="80" w:type="dxa"/>
            </w:tcMar>
          </w:tcPr>
          <w:p>
            <w:pPr>
              <w:jc w:val="left"/>
            </w:pPr>
            <w:r>
              <w:rPr>
                <w:rFonts w:ascii="Calibri" w:hAnsi="Calibri"/>
                <w:b/>
                <w:color w:val="FFFFFF"/>
                <w:sz w:val="17"/>
              </w:rPr>
              <w:t>Dimensión Forense</w:t>
            </w:r>
          </w:p>
        </w:tc>
        <w:tc>
          <w:tcPr>
            <w:tcW w:type="dxa" w:w="2016"/>
            <w:shd w:fill="1B365D"/>
            <w:tcMar>
              <w:top w:w="80" w:type="dxa"/>
              <w:bottom w:w="80" w:type="dxa"/>
              <w:left w:w="80" w:type="dxa"/>
              <w:right w:w="80" w:type="dxa"/>
            </w:tcMar>
          </w:tcPr>
          <w:p>
            <w:pPr>
              <w:jc w:val="left"/>
            </w:pPr>
            <w:r>
              <w:rPr>
                <w:rFonts w:ascii="Calibri" w:hAnsi="Calibri"/>
                <w:b/>
                <w:color w:val="FFFFFF"/>
                <w:sz w:val="17"/>
              </w:rPr>
              <w:t>Indicador Clave</w:t>
            </w:r>
          </w:p>
        </w:tc>
        <w:tc>
          <w:tcPr>
            <w:tcW w:type="dxa" w:w="1440"/>
            <w:shd w:fill="1B365D"/>
            <w:tcMar>
              <w:top w:w="80" w:type="dxa"/>
              <w:bottom w:w="80" w:type="dxa"/>
              <w:left w:w="80" w:type="dxa"/>
              <w:right w:w="80" w:type="dxa"/>
            </w:tcMar>
          </w:tcPr>
          <w:p>
            <w:pPr>
              <w:jc w:val="center"/>
            </w:pPr>
            <w:r>
              <w:rPr>
                <w:rFonts w:ascii="Calibri" w:hAnsi="Calibri"/>
                <w:b/>
                <w:color w:val="FFFFFF"/>
                <w:sz w:val="17"/>
              </w:rPr>
              <w:t>Valor LTM</w:t>
            </w:r>
          </w:p>
        </w:tc>
        <w:tc>
          <w:tcPr>
            <w:tcW w:type="dxa" w:w="1728"/>
            <w:shd w:fill="1B365D"/>
            <w:tcMar>
              <w:top w:w="80" w:type="dxa"/>
              <w:bottom w:w="80" w:type="dxa"/>
              <w:left w:w="80" w:type="dxa"/>
              <w:right w:w="80" w:type="dxa"/>
            </w:tcMar>
          </w:tcPr>
          <w:p>
            <w:pPr>
              <w:jc w:val="center"/>
            </w:pPr>
            <w:r>
              <w:rPr>
                <w:rFonts w:ascii="Calibri" w:hAnsi="Calibri"/>
                <w:b/>
                <w:color w:val="FFFFFF"/>
                <w:sz w:val="17"/>
              </w:rPr>
              <w:t>Zona de Seguridad</w:t>
            </w:r>
          </w:p>
        </w:tc>
        <w:tc>
          <w:tcPr>
            <w:tcW w:type="dxa" w:w="2592"/>
            <w:shd w:fill="1B365D"/>
            <w:tcMar>
              <w:top w:w="80" w:type="dxa"/>
              <w:bottom w:w="80" w:type="dxa"/>
              <w:left w:w="80" w:type="dxa"/>
              <w:right w:w="80" w:type="dxa"/>
            </w:tcMar>
          </w:tcPr>
          <w:p>
            <w:pPr>
              <w:jc w:val="left"/>
            </w:pPr>
            <w:r>
              <w:rPr>
                <w:rFonts w:ascii="Calibri" w:hAnsi="Calibri"/>
                <w:b/>
                <w:color w:val="FFFFFF"/>
                <w:sz w:val="17"/>
              </w:rPr>
              <w:t>Diagnóstico para el Inversor</w:t>
            </w:r>
          </w:p>
        </w:tc>
      </w:tr>
      <w:tr>
        <w:tc>
          <w:tcPr>
            <w:tcW w:type="dxa" w:w="2016"/>
            <w:tcMar>
              <w:top w:w="60" w:type="dxa"/>
              <w:bottom w:w="60" w:type="dxa"/>
              <w:left w:w="80" w:type="dxa"/>
              <w:right w:w="80" w:type="dxa"/>
            </w:tcMar>
          </w:tcPr>
          <w:p>
            <w:pPr>
              <w:jc w:val="left"/>
            </w:pPr>
            <w:r>
              <w:rPr>
                <w:rFonts w:ascii="Calibri" w:hAnsi="Calibri"/>
                <w:b/>
                <w:sz w:val="17"/>
              </w:rPr>
              <w:t>Calidad de Beneficios</w:t>
            </w:r>
          </w:p>
        </w:tc>
        <w:tc>
          <w:tcPr>
            <w:tcW w:type="dxa" w:w="2016"/>
            <w:tcMar>
              <w:top w:w="60" w:type="dxa"/>
              <w:bottom w:w="60" w:type="dxa"/>
              <w:left w:w="80" w:type="dxa"/>
              <w:right w:w="80" w:type="dxa"/>
            </w:tcMar>
          </w:tcPr>
          <w:p>
            <w:pPr>
              <w:jc w:val="left"/>
            </w:pPr>
            <w:r>
              <w:rPr>
                <w:rFonts w:ascii="Calibri" w:hAnsi="Calibri"/>
                <w:b/>
                <w:sz w:val="17"/>
              </w:rPr>
              <w:t>Ratio Devengos Sloan</w:t>
            </w:r>
          </w:p>
        </w:tc>
        <w:tc>
          <w:tcPr>
            <w:tcW w:type="dxa" w:w="1440"/>
            <w:tcMar>
              <w:top w:w="60" w:type="dxa"/>
              <w:bottom w:w="60" w:type="dxa"/>
              <w:left w:w="80" w:type="dxa"/>
              <w:right w:w="80" w:type="dxa"/>
            </w:tcMar>
          </w:tcPr>
          <w:p>
            <w:pPr>
              <w:jc w:val="center"/>
            </w:pPr>
            <w:r>
              <w:rPr>
                <w:rFonts w:ascii="Calibri" w:hAnsi="Calibri"/>
                <w:sz w:val="17"/>
              </w:rPr>
              <w:t>-4.73%</w:t>
            </w:r>
          </w:p>
        </w:tc>
        <w:tc>
          <w:tcPr>
            <w:tcW w:type="dxa" w:w="1728"/>
            <w:tcMar>
              <w:top w:w="60" w:type="dxa"/>
              <w:bottom w:w="60" w:type="dxa"/>
              <w:left w:w="80" w:type="dxa"/>
              <w:right w:w="80" w:type="dxa"/>
            </w:tcMar>
          </w:tcPr>
          <w:p>
            <w:pPr>
              <w:jc w:val="center"/>
            </w:pPr>
            <w:r>
              <w:rPr>
                <w:rFonts w:ascii="Calibri" w:hAnsi="Calibri"/>
                <w:sz w:val="17"/>
              </w:rPr>
              <w:t>&lt; -3.0% (Excelente)</w:t>
            </w:r>
          </w:p>
        </w:tc>
        <w:tc>
          <w:tcPr>
            <w:tcW w:type="dxa" w:w="2592"/>
            <w:tcMar>
              <w:top w:w="60" w:type="dxa"/>
              <w:bottom w:w="60" w:type="dxa"/>
              <w:left w:w="80" w:type="dxa"/>
              <w:right w:w="80" w:type="dxa"/>
            </w:tcMar>
          </w:tcPr>
          <w:p>
            <w:pPr>
              <w:jc w:val="left"/>
            </w:pPr>
            <w:r>
              <w:rPr>
                <w:rFonts w:ascii="Calibri" w:hAnsi="Calibri"/>
                <w:sz w:val="17"/>
              </w:rPr>
              <w:t>Caja operativa supera a utilidad; devengos negativos protectores.</w:t>
            </w:r>
          </w:p>
        </w:tc>
      </w:tr>
      <w:tr>
        <w:tc>
          <w:tcPr>
            <w:tcW w:type="dxa" w:w="2016"/>
            <w:tcMar>
              <w:top w:w="60" w:type="dxa"/>
              <w:bottom w:w="60" w:type="dxa"/>
              <w:left w:w="80" w:type="dxa"/>
              <w:right w:w="80" w:type="dxa"/>
            </w:tcMar>
          </w:tcPr>
          <w:p>
            <w:pPr>
              <w:jc w:val="left"/>
            </w:pPr>
            <w:r>
              <w:rPr>
                <w:rFonts w:ascii="Calibri" w:hAnsi="Calibri"/>
                <w:b/>
                <w:sz w:val="17"/>
              </w:rPr>
              <w:t>Conversión de Ganancias</w:t>
            </w:r>
          </w:p>
        </w:tc>
        <w:tc>
          <w:tcPr>
            <w:tcW w:type="dxa" w:w="2016"/>
            <w:tcMar>
              <w:top w:w="60" w:type="dxa"/>
              <w:bottom w:w="60" w:type="dxa"/>
              <w:left w:w="80" w:type="dxa"/>
              <w:right w:w="80" w:type="dxa"/>
            </w:tcMar>
          </w:tcPr>
          <w:p>
            <w:pPr>
              <w:jc w:val="left"/>
            </w:pPr>
            <w:r>
              <w:rPr>
                <w:rFonts w:ascii="Calibri" w:hAnsi="Calibri"/>
                <w:b/>
                <w:sz w:val="17"/>
              </w:rPr>
              <w:t>Ratio CFO / Net Income</w:t>
            </w:r>
          </w:p>
        </w:tc>
        <w:tc>
          <w:tcPr>
            <w:tcW w:type="dxa" w:w="1440"/>
            <w:tcMar>
              <w:top w:w="60" w:type="dxa"/>
              <w:bottom w:w="60" w:type="dxa"/>
              <w:left w:w="80" w:type="dxa"/>
              <w:right w:w="80" w:type="dxa"/>
            </w:tcMar>
          </w:tcPr>
          <w:p>
            <w:pPr>
              <w:jc w:val="center"/>
            </w:pPr>
            <w:r>
              <w:rPr>
                <w:rFonts w:ascii="Calibri" w:hAnsi="Calibri"/>
                <w:sz w:val="17"/>
              </w:rPr>
              <w:t>117.6%</w:t>
            </w:r>
          </w:p>
        </w:tc>
        <w:tc>
          <w:tcPr>
            <w:tcW w:type="dxa" w:w="1728"/>
            <w:tcMar>
              <w:top w:w="60" w:type="dxa"/>
              <w:bottom w:w="60" w:type="dxa"/>
              <w:left w:w="80" w:type="dxa"/>
              <w:right w:w="80" w:type="dxa"/>
            </w:tcMar>
          </w:tcPr>
          <w:p>
            <w:pPr>
              <w:jc w:val="center"/>
            </w:pPr>
            <w:r>
              <w:rPr>
                <w:rFonts w:ascii="Calibri" w:hAnsi="Calibri"/>
                <w:sz w:val="17"/>
              </w:rPr>
              <w:t>&gt; 100.0%</w:t>
            </w:r>
          </w:p>
        </w:tc>
        <w:tc>
          <w:tcPr>
            <w:tcW w:type="dxa" w:w="2592"/>
            <w:tcMar>
              <w:top w:w="60" w:type="dxa"/>
              <w:bottom w:w="60" w:type="dxa"/>
              <w:left w:w="80" w:type="dxa"/>
              <w:right w:w="80" w:type="dxa"/>
            </w:tcMar>
          </w:tcPr>
          <w:p>
            <w:pPr>
              <w:jc w:val="left"/>
            </w:pPr>
            <w:r>
              <w:rPr>
                <w:rFonts w:ascii="Calibri" w:hAnsi="Calibri"/>
                <w:sz w:val="17"/>
              </w:rPr>
              <w:t>Conversión ultra-eficiente de beneficios contables en liquidez real.</w:t>
            </w:r>
          </w:p>
        </w:tc>
      </w:tr>
      <w:tr>
        <w:tc>
          <w:tcPr>
            <w:tcW w:type="dxa" w:w="2016"/>
            <w:tcMar>
              <w:top w:w="60" w:type="dxa"/>
              <w:bottom w:w="60" w:type="dxa"/>
              <w:left w:w="80" w:type="dxa"/>
              <w:right w:w="80" w:type="dxa"/>
            </w:tcMar>
          </w:tcPr>
          <w:p>
            <w:pPr>
              <w:jc w:val="left"/>
            </w:pPr>
            <w:r>
              <w:rPr>
                <w:rFonts w:ascii="Calibri" w:hAnsi="Calibri"/>
                <w:b/>
                <w:sz w:val="17"/>
              </w:rPr>
              <w:t>Riesgo Channel Stuffing</w:t>
            </w:r>
          </w:p>
        </w:tc>
        <w:tc>
          <w:tcPr>
            <w:tcW w:type="dxa" w:w="2016"/>
            <w:tcMar>
              <w:top w:w="60" w:type="dxa"/>
              <w:bottom w:w="60" w:type="dxa"/>
              <w:left w:w="80" w:type="dxa"/>
              <w:right w:w="80" w:type="dxa"/>
            </w:tcMar>
          </w:tcPr>
          <w:p>
            <w:pPr>
              <w:jc w:val="left"/>
            </w:pPr>
            <w:r>
              <w:rPr>
                <w:rFonts w:ascii="Calibri" w:hAnsi="Calibri"/>
                <w:b/>
                <w:sz w:val="17"/>
              </w:rPr>
              <w:t>Spread AR vs. Ventas</w:t>
            </w:r>
          </w:p>
        </w:tc>
        <w:tc>
          <w:tcPr>
            <w:tcW w:type="dxa" w:w="1440"/>
            <w:tcMar>
              <w:top w:w="60" w:type="dxa"/>
              <w:bottom w:w="60" w:type="dxa"/>
              <w:left w:w="80" w:type="dxa"/>
              <w:right w:w="80" w:type="dxa"/>
            </w:tcMar>
          </w:tcPr>
          <w:p>
            <w:pPr>
              <w:jc w:val="center"/>
            </w:pPr>
            <w:r>
              <w:rPr>
                <w:rFonts w:ascii="Calibri" w:hAnsi="Calibri"/>
                <w:sz w:val="17"/>
              </w:rPr>
              <w:t>+17.6%</w:t>
            </w:r>
          </w:p>
        </w:tc>
        <w:tc>
          <w:tcPr>
            <w:tcW w:type="dxa" w:w="1728"/>
            <w:tcMar>
              <w:top w:w="60" w:type="dxa"/>
              <w:bottom w:w="60" w:type="dxa"/>
              <w:left w:w="80" w:type="dxa"/>
              <w:right w:w="80" w:type="dxa"/>
            </w:tcMar>
          </w:tcPr>
          <w:p>
            <w:pPr>
              <w:jc w:val="center"/>
            </w:pPr>
            <w:r>
              <w:rPr>
                <w:rFonts w:ascii="Calibri" w:hAnsi="Calibri"/>
                <w:sz w:val="17"/>
              </w:rPr>
              <w:t>&lt; +10.0%</w:t>
            </w:r>
          </w:p>
        </w:tc>
        <w:tc>
          <w:tcPr>
            <w:tcW w:type="dxa" w:w="2592"/>
            <w:tcMar>
              <w:top w:w="60" w:type="dxa"/>
              <w:bottom w:w="60" w:type="dxa"/>
              <w:left w:w="80" w:type="dxa"/>
              <w:right w:w="80" w:type="dxa"/>
            </w:tcMar>
          </w:tcPr>
          <w:p>
            <w:pPr>
              <w:jc w:val="left"/>
            </w:pPr>
            <w:r>
              <w:rPr>
                <w:rFonts w:ascii="Calibri" w:hAnsi="Calibri"/>
                <w:sz w:val="17"/>
              </w:rPr>
              <w:t>Spread elevado (+17.6%), pero DSO ultra-bajo (25.0d) descarta ventas ficticias.</w:t>
            </w:r>
          </w:p>
        </w:tc>
      </w:tr>
      <w:tr>
        <w:tc>
          <w:tcPr>
            <w:tcW w:type="dxa" w:w="2016"/>
            <w:tcMar>
              <w:top w:w="60" w:type="dxa"/>
              <w:bottom w:w="60" w:type="dxa"/>
              <w:left w:w="80" w:type="dxa"/>
              <w:right w:w="80" w:type="dxa"/>
            </w:tcMar>
          </w:tcPr>
          <w:p>
            <w:pPr>
              <w:jc w:val="left"/>
            </w:pPr>
            <w:r>
              <w:rPr>
                <w:rFonts w:ascii="Calibri" w:hAnsi="Calibri"/>
                <w:b/>
                <w:sz w:val="17"/>
              </w:rPr>
              <w:t>Gestión de Existencias</w:t>
            </w:r>
          </w:p>
        </w:tc>
        <w:tc>
          <w:tcPr>
            <w:tcW w:type="dxa" w:w="2016"/>
            <w:tcMar>
              <w:top w:w="60" w:type="dxa"/>
              <w:bottom w:w="60" w:type="dxa"/>
              <w:left w:w="80" w:type="dxa"/>
              <w:right w:w="80" w:type="dxa"/>
            </w:tcMar>
          </w:tcPr>
          <w:p>
            <w:pPr>
              <w:jc w:val="left"/>
            </w:pPr>
            <w:r>
              <w:rPr>
                <w:rFonts w:ascii="Calibri" w:hAnsi="Calibri"/>
                <w:b/>
                <w:sz w:val="17"/>
              </w:rPr>
              <w:t>Días Inventario (DIO)</w:t>
            </w:r>
          </w:p>
        </w:tc>
        <w:tc>
          <w:tcPr>
            <w:tcW w:type="dxa" w:w="1440"/>
            <w:tcMar>
              <w:top w:w="60" w:type="dxa"/>
              <w:bottom w:w="60" w:type="dxa"/>
              <w:left w:w="80" w:type="dxa"/>
              <w:right w:w="80" w:type="dxa"/>
            </w:tcMar>
          </w:tcPr>
          <w:p>
            <w:pPr>
              <w:jc w:val="center"/>
            </w:pPr>
            <w:r>
              <w:rPr>
                <w:rFonts w:ascii="Calibri" w:hAnsi="Calibri"/>
                <w:sz w:val="17"/>
              </w:rPr>
              <w:t>126.4 días</w:t>
            </w:r>
          </w:p>
        </w:tc>
        <w:tc>
          <w:tcPr>
            <w:tcW w:type="dxa" w:w="1728"/>
            <w:tcMar>
              <w:top w:w="60" w:type="dxa"/>
              <w:bottom w:w="60" w:type="dxa"/>
              <w:left w:w="80" w:type="dxa"/>
              <w:right w:w="80" w:type="dxa"/>
            </w:tcMar>
          </w:tcPr>
          <w:p>
            <w:pPr>
              <w:jc w:val="center"/>
            </w:pPr>
            <w:r>
              <w:rPr>
                <w:rFonts w:ascii="Calibri" w:hAnsi="Calibri"/>
                <w:sz w:val="17"/>
              </w:rPr>
              <w:t>&lt; 130 días</w:t>
            </w:r>
          </w:p>
        </w:tc>
        <w:tc>
          <w:tcPr>
            <w:tcW w:type="dxa" w:w="2592"/>
            <w:tcMar>
              <w:top w:w="60" w:type="dxa"/>
              <w:bottom w:w="60" w:type="dxa"/>
              <w:left w:w="80" w:type="dxa"/>
              <w:right w:w="80" w:type="dxa"/>
            </w:tcMar>
          </w:tcPr>
          <w:p>
            <w:pPr>
              <w:jc w:val="left"/>
            </w:pPr>
            <w:r>
              <w:rPr>
                <w:rFonts w:ascii="Calibri" w:hAnsi="Calibri"/>
                <w:sz w:val="17"/>
              </w:rPr>
              <w:t>Rotación equilibrada (126.4d); ciclo operativo dentro del estándar sectorial.</w:t>
            </w:r>
          </w:p>
        </w:tc>
      </w:tr>
      <w:tr>
        <w:tc>
          <w:tcPr>
            <w:tcW w:type="dxa" w:w="2016"/>
            <w:tcMar>
              <w:top w:w="60" w:type="dxa"/>
              <w:bottom w:w="60" w:type="dxa"/>
              <w:left w:w="80" w:type="dxa"/>
              <w:right w:w="80" w:type="dxa"/>
            </w:tcMar>
          </w:tcPr>
          <w:p>
            <w:pPr>
              <w:jc w:val="left"/>
            </w:pPr>
            <w:r>
              <w:rPr>
                <w:rFonts w:ascii="Calibri" w:hAnsi="Calibri"/>
                <w:b/>
                <w:sz w:val="17"/>
              </w:rPr>
              <w:t>Integridad del Balance</w:t>
            </w:r>
          </w:p>
        </w:tc>
        <w:tc>
          <w:tcPr>
            <w:tcW w:type="dxa" w:w="2016"/>
            <w:tcMar>
              <w:top w:w="60" w:type="dxa"/>
              <w:bottom w:w="60" w:type="dxa"/>
              <w:left w:w="80" w:type="dxa"/>
              <w:right w:w="80" w:type="dxa"/>
            </w:tcMar>
          </w:tcPr>
          <w:p>
            <w:pPr>
              <w:jc w:val="left"/>
            </w:pPr>
            <w:r>
              <w:rPr>
                <w:rFonts w:ascii="Calibri" w:hAnsi="Calibri"/>
                <w:b/>
                <w:sz w:val="17"/>
              </w:rPr>
              <w:t>Variación Activos Blandos</w:t>
            </w:r>
          </w:p>
        </w:tc>
        <w:tc>
          <w:tcPr>
            <w:tcW w:type="dxa" w:w="1440"/>
            <w:tcMar>
              <w:top w:w="60" w:type="dxa"/>
              <w:bottom w:w="60" w:type="dxa"/>
              <w:left w:w="80" w:type="dxa"/>
              <w:right w:w="80" w:type="dxa"/>
            </w:tcMar>
          </w:tcPr>
          <w:p>
            <w:pPr>
              <w:jc w:val="center"/>
            </w:pPr>
            <w:r>
              <w:rPr>
                <w:rFonts w:ascii="Calibri" w:hAnsi="Calibri"/>
                <w:sz w:val="17"/>
              </w:rPr>
              <w:t>+10.7 pp</w:t>
            </w:r>
          </w:p>
        </w:tc>
        <w:tc>
          <w:tcPr>
            <w:tcW w:type="dxa" w:w="1728"/>
            <w:tcMar>
              <w:top w:w="60" w:type="dxa"/>
              <w:bottom w:w="60" w:type="dxa"/>
              <w:left w:w="80" w:type="dxa"/>
              <w:right w:w="80" w:type="dxa"/>
            </w:tcMar>
          </w:tcPr>
          <w:p>
            <w:pPr>
              <w:jc w:val="center"/>
            </w:pPr>
            <w:r>
              <w:rPr>
                <w:rFonts w:ascii="Calibri" w:hAnsi="Calibri"/>
                <w:sz w:val="17"/>
              </w:rPr>
              <w:t>&lt; +2.0 pp</w:t>
            </w:r>
          </w:p>
        </w:tc>
        <w:tc>
          <w:tcPr>
            <w:tcW w:type="dxa" w:w="2592"/>
            <w:tcMar>
              <w:top w:w="60" w:type="dxa"/>
              <w:bottom w:w="60" w:type="dxa"/>
              <w:left w:w="80" w:type="dxa"/>
              <w:right w:w="80" w:type="dxa"/>
            </w:tcMar>
          </w:tcPr>
          <w:p>
            <w:pPr>
              <w:jc w:val="left"/>
            </w:pPr>
            <w:r>
              <w:rPr>
                <w:rFonts w:ascii="Calibri" w:hAnsi="Calibri"/>
                <w:sz w:val="17"/>
              </w:rPr>
              <w:t>Aumento moderado (+10.7 pp); balance sano con activos blandos bajo 75% (49.8%).</w:t>
            </w:r>
          </w:p>
        </w:tc>
      </w:tr>
      <w:tr>
        <w:tc>
          <w:tcPr>
            <w:tcW w:type="dxa" w:w="2016"/>
            <w:tcMar>
              <w:top w:w="60" w:type="dxa"/>
              <w:bottom w:w="60" w:type="dxa"/>
              <w:left w:w="80" w:type="dxa"/>
              <w:right w:w="80" w:type="dxa"/>
            </w:tcMar>
          </w:tcPr>
          <w:p>
            <w:pPr>
              <w:jc w:val="left"/>
            </w:pPr>
            <w:r>
              <w:rPr>
                <w:rFonts w:ascii="Calibri" w:hAnsi="Calibri"/>
                <w:b/>
                <w:sz w:val="17"/>
              </w:rPr>
              <w:t>Manipulación Agregada</w:t>
            </w:r>
          </w:p>
        </w:tc>
        <w:tc>
          <w:tcPr>
            <w:tcW w:type="dxa" w:w="2016"/>
            <w:tcMar>
              <w:top w:w="60" w:type="dxa"/>
              <w:bottom w:w="60" w:type="dxa"/>
              <w:left w:w="80" w:type="dxa"/>
              <w:right w:w="80" w:type="dxa"/>
            </w:tcMar>
          </w:tcPr>
          <w:p>
            <w:pPr>
              <w:jc w:val="left"/>
            </w:pPr>
            <w:r>
              <w:rPr>
                <w:rFonts w:ascii="Calibri" w:hAnsi="Calibri"/>
                <w:b/>
                <w:sz w:val="17"/>
              </w:rPr>
              <w:t>Montier C-Score Total</w:t>
            </w:r>
          </w:p>
        </w:tc>
        <w:tc>
          <w:tcPr>
            <w:tcW w:type="dxa" w:w="1440"/>
            <w:tcMar>
              <w:top w:w="60" w:type="dxa"/>
              <w:bottom w:w="60" w:type="dxa"/>
              <w:left w:w="80" w:type="dxa"/>
              <w:right w:w="80" w:type="dxa"/>
            </w:tcMar>
          </w:tcPr>
          <w:p>
            <w:pPr>
              <w:jc w:val="center"/>
            </w:pPr>
            <w:r>
              <w:rPr>
                <w:rFonts w:ascii="Calibri" w:hAnsi="Calibri"/>
                <w:sz w:val="17"/>
              </w:rPr>
              <w:t>3 / 6</w:t>
            </w:r>
          </w:p>
        </w:tc>
        <w:tc>
          <w:tcPr>
            <w:tcW w:type="dxa" w:w="1728"/>
            <w:tcMar>
              <w:top w:w="60" w:type="dxa"/>
              <w:bottom w:w="60" w:type="dxa"/>
              <w:left w:w="80" w:type="dxa"/>
              <w:right w:w="80" w:type="dxa"/>
            </w:tcMar>
          </w:tcPr>
          <w:p>
            <w:pPr>
              <w:jc w:val="center"/>
            </w:pPr>
            <w:r>
              <w:rPr>
                <w:rFonts w:ascii="Calibri" w:hAnsi="Calibri"/>
                <w:sz w:val="17"/>
              </w:rPr>
              <w:t>0 - 1 Banderas</w:t>
            </w:r>
          </w:p>
        </w:tc>
        <w:tc>
          <w:tcPr>
            <w:tcW w:type="dxa" w:w="2592"/>
            <w:tcMar>
              <w:top w:w="60" w:type="dxa"/>
              <w:bottom w:w="60" w:type="dxa"/>
              <w:left w:w="80" w:type="dxa"/>
              <w:right w:w="80" w:type="dxa"/>
            </w:tcMar>
          </w:tcPr>
          <w:p>
            <w:pPr>
              <w:jc w:val="left"/>
            </w:pPr>
            <w:r>
              <w:rPr>
                <w:rFonts w:ascii="Calibri" w:hAnsi="Calibri"/>
                <w:sz w:val="17"/>
              </w:rPr>
              <w:t>Riesgo moderado (3/6); banderas operativas no constitutivas de fraude.</w:t>
            </w:r>
          </w:p>
        </w:tc>
      </w:tr>
    </w:tbl>
    <w:p>
      <w:pPr>
        <w:spacing w:after="160"/>
      </w:pPr>
    </w:p>
    <w:p>
      <w:pPr>
        <w:pStyle w:val="Heading1"/>
      </w:pPr>
      <w:r>
        <w:t>13. Solvencia, Deuda y Estrés Financiero (Credit Risk Engine)</w:t>
      </w:r>
    </w:p>
    <w:tbl>
      <w:tblPr>
        <w:tblW w:type="auto" w:w="0"/>
        <w:jc w:val="center"/>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Pr>
          <w:p>
            <w:r>
              <w:rPr>
                <w:b/>
                <w:color w:val="1B365D"/>
                <w:sz w:val="22"/>
              </w:rPr>
              <w:t>DICTAMEN GLOBAL DE SOLVENCIA (LTM): MÁXIMA SOLVENCIA INSTITUCIONAL</w:t>
              <w:br/>
            </w:r>
            <w:r>
              <w:rPr>
                <w:color w:val="2D3748"/>
                <w:sz w:val="19"/>
              </w:rPr>
              <w:t>Rating Sintético Damodaran: AAA (MÁXIMA CALIDAD CREDITICIA (LIBRE DE DEUDA)) | Altman Z''-Score: 8.59 [ZONA SEGURA]</w:t>
              <w:br/>
              <w:br/>
              <w:t>FORTALEZA FINANCIERA INQUEBRANTABLE (GRADO INSTITUCIONAL AAA/AA): Apalancamiento óptimo (CAJA NETA), cobertura de intereses de INFINITA (SIN DEUDA) y Altman Z''-Score de 8.59 en Zona Segura. Cero estrés crediticio, con capacidad excepcional de financiación en cualquier ciclo macroeconómico.</w:t>
            </w:r>
          </w:p>
        </w:tc>
      </w:tr>
    </w:tbl>
    <w:p/>
    <w:p>
      <w:pPr>
        <w:pStyle w:val="Heading2"/>
      </w:pPr>
      <w:r>
        <w:t>13.1. Apalancamiento y Capacidad de Amortización (Cash Flow Leverage)</w:t>
      </w:r>
    </w:p>
    <w:tbl>
      <w:tblPr>
        <w:tblW w:type="auto" w:w="0"/>
        <w:jc w:val="center"/>
        <w:tblLook w:firstColumn="1" w:firstRow="1" w:lastColumn="0" w:lastRow="0" w:noHBand="0" w:noVBand="1" w:val="04A0"/>
        <w:tblBorders>
          <w:top w:val="single" w:sz="6" w:space="0" w:color="D2D6DC"/>
          <w:bottom w:val="single" w:sz="6" w:space="0" w:color="D2D6DC"/>
          <w:insideH w:val="single" w:sz="4" w:space="0" w:color="D2D6DC"/>
          <w:insideV w:val="none"/>
          <w:left w:val="none"/>
          <w:right w:val="none"/>
        </w:tblBorders>
      </w:tblPr>
      <w:tblGrid>
        <w:gridCol w:w="2448"/>
        <w:gridCol w:w="2448"/>
        <w:gridCol w:w="2448"/>
        <w:gridCol w:w="2448"/>
      </w:tblGrid>
      <w:tr>
        <w:tc>
          <w:tcPr>
            <w:tcW w:type="dxa" w:w="2448"/>
            <w:shd w:fill="1B365D"/>
          </w:tcPr>
          <w:p>
            <w:r>
              <w:rPr>
                <w:b/>
                <w:color w:val="FFFFFF"/>
                <w:sz w:val="18"/>
              </w:rPr>
              <w:t>Métrica de Amortización</w:t>
            </w:r>
          </w:p>
        </w:tc>
        <w:tc>
          <w:tcPr>
            <w:tcW w:type="dxa" w:w="2448"/>
            <w:shd w:fill="1B365D"/>
          </w:tcPr>
          <w:p>
            <w:r>
              <w:rPr>
                <w:b/>
                <w:color w:val="FFFFFF"/>
                <w:sz w:val="18"/>
              </w:rPr>
              <w:t>Fórmula Contable</w:t>
            </w:r>
          </w:p>
        </w:tc>
        <w:tc>
          <w:tcPr>
            <w:tcW w:type="dxa" w:w="2448"/>
            <w:shd w:fill="1B365D"/>
          </w:tcPr>
          <w:p>
            <w:r>
              <w:rPr>
                <w:b/>
                <w:color w:val="FFFFFF"/>
                <w:sz w:val="18"/>
              </w:rPr>
              <w:t>Valor LTM</w:t>
            </w:r>
          </w:p>
        </w:tc>
        <w:tc>
          <w:tcPr>
            <w:tcW w:type="dxa" w:w="2448"/>
            <w:shd w:fill="1B365D"/>
          </w:tcPr>
          <w:p>
            <w:r>
              <w:rPr>
                <w:b/>
                <w:color w:val="FFFFFF"/>
                <w:sz w:val="18"/>
              </w:rPr>
              <w:t>Diagnóstico</w:t>
            </w:r>
          </w:p>
        </w:tc>
      </w:tr>
      <w:tr>
        <w:tc>
          <w:tcPr>
            <w:tcW w:type="dxa" w:w="2448"/>
          </w:tcPr>
          <w:p>
            <w:r>
              <w:rPr>
                <w:b/>
                <w:sz w:val="17"/>
              </w:rPr>
              <w:t>Deuda Financiera Total</w:t>
            </w:r>
          </w:p>
        </w:tc>
        <w:tc>
          <w:tcPr>
            <w:tcW w:type="dxa" w:w="2448"/>
          </w:tcPr>
          <w:p>
            <w:r>
              <w:rPr>
                <w:sz w:val="17"/>
              </w:rPr>
              <w:t>Short + Long Term Debt</w:t>
            </w:r>
          </w:p>
        </w:tc>
        <w:tc>
          <w:tcPr>
            <w:tcW w:type="dxa" w:w="2448"/>
          </w:tcPr>
          <w:p>
            <w:r>
              <w:rPr>
                <w:b/>
                <w:sz w:val="17"/>
              </w:rPr>
              <w:t>$0.0M</w:t>
            </w:r>
          </w:p>
        </w:tc>
        <w:tc>
          <w:tcPr>
            <w:tcW w:type="dxa" w:w="2448"/>
          </w:tcPr>
          <w:p>
            <w:r>
              <w:rPr>
                <w:sz w:val="17"/>
              </w:rPr>
              <w:t>Referencia Balance</w:t>
            </w:r>
          </w:p>
        </w:tc>
      </w:tr>
      <w:tr>
        <w:tc>
          <w:tcPr>
            <w:tcW w:type="dxa" w:w="2448"/>
            <w:shd w:fill="F7FAFC"/>
          </w:tcPr>
          <w:p>
            <w:r>
              <w:rPr>
                <w:b/>
                <w:sz w:val="17"/>
              </w:rPr>
              <w:t>Tesorería y Equivalentes</w:t>
            </w:r>
          </w:p>
        </w:tc>
        <w:tc>
          <w:tcPr>
            <w:tcW w:type="dxa" w:w="2448"/>
            <w:shd w:fill="F7FAFC"/>
          </w:tcPr>
          <w:p>
            <w:r>
              <w:rPr>
                <w:sz w:val="17"/>
              </w:rPr>
              <w:t>Cash &amp; Equivalents</w:t>
            </w:r>
          </w:p>
        </w:tc>
        <w:tc>
          <w:tcPr>
            <w:tcW w:type="dxa" w:w="2448"/>
            <w:shd w:fill="F7FAFC"/>
          </w:tcPr>
          <w:p>
            <w:r>
              <w:rPr>
                <w:b/>
                <w:sz w:val="17"/>
              </w:rPr>
              <w:t>$1,602.6M</w:t>
            </w:r>
          </w:p>
        </w:tc>
        <w:tc>
          <w:tcPr>
            <w:tcW w:type="dxa" w:w="2448"/>
            <w:shd w:fill="F7FAFC"/>
          </w:tcPr>
          <w:p>
            <w:r>
              <w:rPr>
                <w:sz w:val="17"/>
              </w:rPr>
              <w:t>Liquidez Inmediata</w:t>
            </w:r>
          </w:p>
        </w:tc>
      </w:tr>
      <w:tr>
        <w:tc>
          <w:tcPr>
            <w:tcW w:type="dxa" w:w="2448"/>
          </w:tcPr>
          <w:p>
            <w:r>
              <w:rPr>
                <w:b/>
                <w:sz w:val="17"/>
              </w:rPr>
              <w:t>Deuda Financiera Neta</w:t>
            </w:r>
          </w:p>
        </w:tc>
        <w:tc>
          <w:tcPr>
            <w:tcW w:type="dxa" w:w="2448"/>
          </w:tcPr>
          <w:p>
            <w:r>
              <w:rPr>
                <w:sz w:val="17"/>
              </w:rPr>
              <w:t>Deuda Total - Tesorería</w:t>
            </w:r>
          </w:p>
        </w:tc>
        <w:tc>
          <w:tcPr>
            <w:tcW w:type="dxa" w:w="2448"/>
          </w:tcPr>
          <w:p>
            <w:r>
              <w:rPr>
                <w:b/>
                <w:sz w:val="17"/>
              </w:rPr>
              <w:t>$-1,602.6M</w:t>
            </w:r>
          </w:p>
        </w:tc>
        <w:tc>
          <w:tcPr>
            <w:tcW w:type="dxa" w:w="2448"/>
          </w:tcPr>
          <w:p>
            <w:r>
              <w:rPr>
                <w:sz w:val="17"/>
              </w:rPr>
              <w:t>Posición Neta de Caja</w:t>
            </w:r>
          </w:p>
        </w:tc>
      </w:tr>
      <w:tr>
        <w:tc>
          <w:tcPr>
            <w:tcW w:type="dxa" w:w="2448"/>
            <w:shd w:fill="F7FAFC"/>
          </w:tcPr>
          <w:p>
            <w:r>
              <w:rPr>
                <w:b/>
                <w:sz w:val="17"/>
              </w:rPr>
              <w:t>Deuda Neta / EBITDA</w:t>
            </w:r>
          </w:p>
        </w:tc>
        <w:tc>
          <w:tcPr>
            <w:tcW w:type="dxa" w:w="2448"/>
            <w:shd w:fill="F7FAFC"/>
          </w:tcPr>
          <w:p>
            <w:r>
              <w:rPr>
                <w:sz w:val="17"/>
              </w:rPr>
              <w:t>Deuda Neta / EBITDA</w:t>
            </w:r>
          </w:p>
        </w:tc>
        <w:tc>
          <w:tcPr>
            <w:tcW w:type="dxa" w:w="2448"/>
            <w:shd w:fill="F7FAFC"/>
          </w:tcPr>
          <w:p>
            <w:r>
              <w:rPr>
                <w:b/>
                <w:sz w:val="17"/>
              </w:rPr>
              <w:t>CAJA NETA</w:t>
            </w:r>
          </w:p>
        </w:tc>
        <w:tc>
          <w:tcPr>
            <w:tcW w:type="dxa" w:w="2448"/>
            <w:shd w:fill="F7FAFC"/>
          </w:tcPr>
          <w:p>
            <w:r>
              <w:rPr>
                <w:sz w:val="17"/>
              </w:rPr>
              <w:t>EXCELENTE (POSICIÓN DE CAJA NETA)</w:t>
            </w:r>
          </w:p>
        </w:tc>
      </w:tr>
      <w:tr>
        <w:tc>
          <w:tcPr>
            <w:tcW w:type="dxa" w:w="2448"/>
          </w:tcPr>
          <w:p>
            <w:r>
              <w:rPr>
                <w:b/>
                <w:sz w:val="17"/>
              </w:rPr>
              <w:t>Deuda Neta / FCF</w:t>
            </w:r>
          </w:p>
        </w:tc>
        <w:tc>
          <w:tcPr>
            <w:tcW w:type="dxa" w:w="2448"/>
          </w:tcPr>
          <w:p>
            <w:r>
              <w:rPr>
                <w:sz w:val="17"/>
              </w:rPr>
              <w:t>Deuda Neta / FCF</w:t>
            </w:r>
          </w:p>
        </w:tc>
        <w:tc>
          <w:tcPr>
            <w:tcW w:type="dxa" w:w="2448"/>
          </w:tcPr>
          <w:p>
            <w:r>
              <w:rPr>
                <w:b/>
                <w:sz w:val="17"/>
              </w:rPr>
              <w:t>CAJA NETA</w:t>
            </w:r>
          </w:p>
        </w:tc>
        <w:tc>
          <w:tcPr>
            <w:tcW w:type="dxa" w:w="2448"/>
          </w:tcPr>
          <w:p>
            <w:r>
              <w:rPr>
                <w:sz w:val="17"/>
              </w:rPr>
              <w:t>Años de Caja Libre</w:t>
            </w:r>
          </w:p>
        </w:tc>
      </w:tr>
    </w:tbl>
    <w:p/>
    <w:p>
      <w:pPr>
        <w:pStyle w:val="Heading2"/>
      </w:pPr>
      <w:r>
        <w:t>13.2. Cobertura de Intereses y Carga Financiera</w:t>
      </w:r>
    </w:p>
    <w:tbl>
      <w:tblPr>
        <w:tblW w:type="auto" w:w="0"/>
        <w:jc w:val="center"/>
        <w:tblLook w:firstColumn="1" w:firstRow="1" w:lastColumn="0" w:lastRow="0" w:noHBand="0" w:noVBand="1" w:val="04A0"/>
        <w:tblBorders>
          <w:top w:val="single" w:sz="6" w:space="0" w:color="D2D6DC"/>
          <w:bottom w:val="single" w:sz="6" w:space="0" w:color="D2D6DC"/>
          <w:insideH w:val="single" w:sz="4" w:space="0" w:color="D2D6DC"/>
          <w:insideV w:val="none"/>
          <w:left w:val="none"/>
          <w:right w:val="none"/>
        </w:tblBorders>
      </w:tblPr>
      <w:tblGrid>
        <w:gridCol w:w="2448"/>
        <w:gridCol w:w="2448"/>
        <w:gridCol w:w="2448"/>
        <w:gridCol w:w="2448"/>
      </w:tblGrid>
      <w:tr>
        <w:tc>
          <w:tcPr>
            <w:tcW w:type="dxa" w:w="2448"/>
            <w:shd w:fill="1B365D"/>
          </w:tcPr>
          <w:p>
            <w:r>
              <w:rPr>
                <w:b/>
                <w:color w:val="FFFFFF"/>
                <w:sz w:val="18"/>
              </w:rPr>
              <w:t>Métrica de Cobertura</w:t>
            </w:r>
          </w:p>
        </w:tc>
        <w:tc>
          <w:tcPr>
            <w:tcW w:type="dxa" w:w="2448"/>
            <w:shd w:fill="1B365D"/>
          </w:tcPr>
          <w:p>
            <w:r>
              <w:rPr>
                <w:b/>
                <w:color w:val="FFFFFF"/>
                <w:sz w:val="18"/>
              </w:rPr>
              <w:t>Fórmula Contable</w:t>
            </w:r>
          </w:p>
        </w:tc>
        <w:tc>
          <w:tcPr>
            <w:tcW w:type="dxa" w:w="2448"/>
            <w:shd w:fill="1B365D"/>
          </w:tcPr>
          <w:p>
            <w:r>
              <w:rPr>
                <w:b/>
                <w:color w:val="FFFFFF"/>
                <w:sz w:val="18"/>
              </w:rPr>
              <w:t>Valor LTM</w:t>
            </w:r>
          </w:p>
        </w:tc>
        <w:tc>
          <w:tcPr>
            <w:tcW w:type="dxa" w:w="2448"/>
            <w:shd w:fill="1B365D"/>
          </w:tcPr>
          <w:p>
            <w:r>
              <w:rPr>
                <w:b/>
                <w:color w:val="FFFFFF"/>
                <w:sz w:val="18"/>
              </w:rPr>
              <w:t>Evaluación</w:t>
            </w:r>
          </w:p>
        </w:tc>
      </w:tr>
      <w:tr>
        <w:tc>
          <w:tcPr>
            <w:tcW w:type="dxa" w:w="2448"/>
          </w:tcPr>
          <w:p>
            <w:r>
              <w:rPr>
                <w:b/>
                <w:sz w:val="17"/>
              </w:rPr>
              <w:t>Beneficio Operativo (EBIT)</w:t>
            </w:r>
          </w:p>
        </w:tc>
        <w:tc>
          <w:tcPr>
            <w:tcW w:type="dxa" w:w="2448"/>
          </w:tcPr>
          <w:p>
            <w:r>
              <w:rPr>
                <w:sz w:val="17"/>
              </w:rPr>
              <w:t>Operating Income</w:t>
            </w:r>
          </w:p>
        </w:tc>
        <w:tc>
          <w:tcPr>
            <w:tcW w:type="dxa" w:w="2448"/>
          </w:tcPr>
          <w:p>
            <w:r>
              <w:rPr>
                <w:b/>
                <w:sz w:val="17"/>
              </w:rPr>
              <w:t>$1,252.9M</w:t>
            </w:r>
          </w:p>
        </w:tc>
        <w:tc>
          <w:tcPr>
            <w:tcW w:type="dxa" w:w="2448"/>
          </w:tcPr>
          <w:p>
            <w:r>
              <w:rPr>
                <w:sz w:val="17"/>
              </w:rPr>
              <w:t>Fondo de Cobertura</w:t>
            </w:r>
          </w:p>
        </w:tc>
      </w:tr>
      <w:tr>
        <w:tc>
          <w:tcPr>
            <w:tcW w:type="dxa" w:w="2448"/>
            <w:shd w:fill="F7FAFC"/>
          </w:tcPr>
          <w:p>
            <w:r>
              <w:rPr>
                <w:b/>
                <w:sz w:val="17"/>
              </w:rPr>
              <w:t>Gasto por Intereses</w:t>
            </w:r>
          </w:p>
        </w:tc>
        <w:tc>
          <w:tcPr>
            <w:tcW w:type="dxa" w:w="2448"/>
            <w:shd w:fill="F7FAFC"/>
          </w:tcPr>
          <w:p>
            <w:r>
              <w:rPr>
                <w:sz w:val="17"/>
              </w:rPr>
              <w:t>Gasto Financiero Auditado/Estimado</w:t>
            </w:r>
          </w:p>
        </w:tc>
        <w:tc>
          <w:tcPr>
            <w:tcW w:type="dxa" w:w="2448"/>
            <w:shd w:fill="F7FAFC"/>
          </w:tcPr>
          <w:p>
            <w:r>
              <w:rPr>
                <w:b/>
                <w:sz w:val="17"/>
              </w:rPr>
              <w:t>$3.8M</w:t>
            </w:r>
          </w:p>
        </w:tc>
        <w:tc>
          <w:tcPr>
            <w:tcW w:type="dxa" w:w="2448"/>
            <w:shd w:fill="F7FAFC"/>
          </w:tcPr>
          <w:p>
            <w:r>
              <w:rPr>
                <w:sz w:val="17"/>
              </w:rPr>
              <w:t>Carga Obligatoria</w:t>
            </w:r>
          </w:p>
        </w:tc>
      </w:tr>
      <w:tr>
        <w:tc>
          <w:tcPr>
            <w:tcW w:type="dxa" w:w="2448"/>
          </w:tcPr>
          <w:p>
            <w:r>
              <w:rPr>
                <w:b/>
                <w:sz w:val="17"/>
              </w:rPr>
              <w:t>Cobertura de Intereses Operativa</w:t>
            </w:r>
          </w:p>
        </w:tc>
        <w:tc>
          <w:tcPr>
            <w:tcW w:type="dxa" w:w="2448"/>
          </w:tcPr>
          <w:p>
            <w:r>
              <w:rPr>
                <w:sz w:val="17"/>
              </w:rPr>
              <w:t>EBIT / Gasto Financiero</w:t>
            </w:r>
          </w:p>
        </w:tc>
        <w:tc>
          <w:tcPr>
            <w:tcW w:type="dxa" w:w="2448"/>
          </w:tcPr>
          <w:p>
            <w:r>
              <w:rPr>
                <w:b/>
                <w:sz w:val="17"/>
              </w:rPr>
              <w:t>INFINITA (SIN DEUDA)</w:t>
            </w:r>
          </w:p>
        </w:tc>
        <w:tc>
          <w:tcPr>
            <w:tcW w:type="dxa" w:w="2448"/>
          </w:tcPr>
          <w:p>
            <w:r>
              <w:rPr>
                <w:sz w:val="17"/>
              </w:rPr>
              <w:t>LIBRE DE DEUDA</w:t>
            </w:r>
          </w:p>
        </w:tc>
      </w:tr>
      <w:tr>
        <w:tc>
          <w:tcPr>
            <w:tcW w:type="dxa" w:w="2448"/>
            <w:shd w:fill="F7FAFC"/>
          </w:tcPr>
          <w:p>
            <w:r>
              <w:rPr>
                <w:b/>
                <w:sz w:val="17"/>
              </w:rPr>
              <w:t>Carga Financiera sobre CFO</w:t>
            </w:r>
          </w:p>
        </w:tc>
        <w:tc>
          <w:tcPr>
            <w:tcW w:type="dxa" w:w="2448"/>
            <w:shd w:fill="F7FAFC"/>
          </w:tcPr>
          <w:p>
            <w:r>
              <w:rPr>
                <w:sz w:val="17"/>
              </w:rPr>
              <w:t>(Intereses / CFO) * 100</w:t>
            </w:r>
          </w:p>
        </w:tc>
        <w:tc>
          <w:tcPr>
            <w:tcW w:type="dxa" w:w="2448"/>
            <w:shd w:fill="F7FAFC"/>
          </w:tcPr>
          <w:p>
            <w:r>
              <w:rPr>
                <w:b/>
                <w:sz w:val="17"/>
              </w:rPr>
              <w:t>0.00%</w:t>
            </w:r>
          </w:p>
        </w:tc>
        <w:tc>
          <w:tcPr>
            <w:tcW w:type="dxa" w:w="2448"/>
            <w:shd w:fill="F7FAFC"/>
          </w:tcPr>
          <w:p>
            <w:r>
              <w:rPr>
                <w:sz w:val="17"/>
              </w:rPr>
              <w:t>Impacto en Caja</w:t>
            </w:r>
          </w:p>
        </w:tc>
      </w:tr>
    </w:tbl>
    <w:p/>
    <w:p>
      <w:pPr>
        <w:pStyle w:val="Heading2"/>
      </w:pPr>
      <w:r>
        <w:t>13.3. Modelos de Quiebra (Altman Z'') y Rating Sintético</w:t>
      </w:r>
    </w:p>
    <w:tbl>
      <w:tblPr>
        <w:tblW w:type="auto" w:w="0"/>
        <w:jc w:val="center"/>
        <w:tblLook w:firstColumn="1" w:firstRow="1" w:lastColumn="0" w:lastRow="0" w:noHBand="0" w:noVBand="1" w:val="04A0"/>
        <w:tblBorders>
          <w:top w:val="single" w:sz="6" w:space="0" w:color="D2D6DC"/>
          <w:bottom w:val="single" w:sz="6" w:space="0" w:color="D2D6DC"/>
          <w:insideH w:val="single" w:sz="4" w:space="0" w:color="D2D6DC"/>
          <w:insideV w:val="none"/>
          <w:left w:val="none"/>
          <w:right w:val="none"/>
        </w:tblBorders>
      </w:tblPr>
      <w:tblGrid>
        <w:gridCol w:w="2448"/>
        <w:gridCol w:w="2448"/>
        <w:gridCol w:w="2448"/>
        <w:gridCol w:w="2448"/>
      </w:tblGrid>
      <w:tr>
        <w:tc>
          <w:tcPr>
            <w:tcW w:type="dxa" w:w="2448"/>
            <w:shd w:fill="1B365D"/>
          </w:tcPr>
          <w:p>
            <w:r>
              <w:rPr>
                <w:b/>
                <w:color w:val="FFFFFF"/>
                <w:sz w:val="18"/>
              </w:rPr>
              <w:t>Instrumento Predictivo</w:t>
            </w:r>
          </w:p>
        </w:tc>
        <w:tc>
          <w:tcPr>
            <w:tcW w:type="dxa" w:w="2448"/>
            <w:shd w:fill="1B365D"/>
          </w:tcPr>
          <w:p>
            <w:r>
              <w:rPr>
                <w:b/>
                <w:color w:val="FFFFFF"/>
                <w:sz w:val="18"/>
              </w:rPr>
              <w:t>Resultado Cuantitativo</w:t>
            </w:r>
          </w:p>
        </w:tc>
        <w:tc>
          <w:tcPr>
            <w:tcW w:type="dxa" w:w="2448"/>
            <w:shd w:fill="1B365D"/>
          </w:tcPr>
          <w:p>
            <w:r>
              <w:rPr>
                <w:b/>
                <w:color w:val="FFFFFF"/>
                <w:sz w:val="18"/>
              </w:rPr>
              <w:t>Calificación / Zona</w:t>
            </w:r>
          </w:p>
        </w:tc>
        <w:tc>
          <w:tcPr>
            <w:tcW w:type="dxa" w:w="2448"/>
            <w:shd w:fill="1B365D"/>
          </w:tcPr>
          <w:p>
            <w:r>
              <w:rPr>
                <w:b/>
                <w:color w:val="FFFFFF"/>
                <w:sz w:val="18"/>
              </w:rPr>
              <w:t>Interpretación Institucional</w:t>
            </w:r>
          </w:p>
        </w:tc>
      </w:tr>
      <w:tr>
        <w:tc>
          <w:tcPr>
            <w:tcW w:type="dxa" w:w="2448"/>
          </w:tcPr>
          <w:p>
            <w:r>
              <w:rPr>
                <w:b/>
                <w:sz w:val="17"/>
              </w:rPr>
              <w:t>Altman Z''-Score (4 Variables)</w:t>
            </w:r>
          </w:p>
        </w:tc>
        <w:tc>
          <w:tcPr>
            <w:tcW w:type="dxa" w:w="2448"/>
          </w:tcPr>
          <w:p>
            <w:r>
              <w:rPr>
                <w:b/>
                <w:sz w:val="17"/>
              </w:rPr>
              <w:t>8.59</w:t>
            </w:r>
          </w:p>
        </w:tc>
        <w:tc>
          <w:tcPr>
            <w:tcW w:type="dxa" w:w="2448"/>
          </w:tcPr>
          <w:p>
            <w:r>
              <w:rPr>
                <w:sz w:val="17"/>
              </w:rPr>
              <w:t>ZONA SEGURA</w:t>
            </w:r>
          </w:p>
        </w:tc>
        <w:tc>
          <w:tcPr>
            <w:tcW w:type="dxa" w:w="2448"/>
          </w:tcPr>
          <w:p>
            <w:r>
              <w:rPr>
                <w:sz w:val="17"/>
              </w:rPr>
              <w:t>ZONA SEGURA (BAJO RIESGO DE QUIEBRA)</w:t>
            </w:r>
          </w:p>
        </w:tc>
      </w:tr>
      <w:tr>
        <w:tc>
          <w:tcPr>
            <w:tcW w:type="dxa" w:w="2448"/>
            <w:shd w:fill="F7FAFC"/>
          </w:tcPr>
          <w:p>
            <w:r>
              <w:rPr>
                <w:b/>
                <w:sz w:val="17"/>
              </w:rPr>
              <w:t>Rating Sintético Damodaran</w:t>
            </w:r>
          </w:p>
        </w:tc>
        <w:tc>
          <w:tcPr>
            <w:tcW w:type="dxa" w:w="2448"/>
            <w:shd w:fill="F7FAFC"/>
          </w:tcPr>
          <w:p>
            <w:r>
              <w:rPr>
                <w:b/>
                <w:sz w:val="17"/>
              </w:rPr>
              <w:t>AAA</w:t>
            </w:r>
          </w:p>
        </w:tc>
        <w:tc>
          <w:tcPr>
            <w:tcW w:type="dxa" w:w="2448"/>
            <w:shd w:fill="F7FAFC"/>
          </w:tcPr>
          <w:p>
            <w:r>
              <w:rPr>
                <w:sz w:val="17"/>
              </w:rPr>
              <w:t>MÁXIMA CALIDAD CREDITICIA (LIBRE DE DEUDA)</w:t>
            </w:r>
          </w:p>
        </w:tc>
        <w:tc>
          <w:tcPr>
            <w:tcW w:type="dxa" w:w="2448"/>
            <w:shd w:fill="F7FAFC"/>
          </w:tcPr>
          <w:p>
            <w:r>
              <w:rPr>
                <w:sz w:val="17"/>
              </w:rPr>
              <w:t>Spread Teórico: +0.40%</w:t>
            </w:r>
          </w:p>
        </w:tc>
      </w:tr>
      <w:tr>
        <w:tc>
          <w:tcPr>
            <w:tcW w:type="dxa" w:w="2448"/>
          </w:tcPr>
          <w:p>
            <w:r>
              <w:rPr>
                <w:b/>
                <w:sz w:val="17"/>
              </w:rPr>
              <w:t>Probabilidad de Default a 10 Años</w:t>
            </w:r>
          </w:p>
        </w:tc>
        <w:tc>
          <w:tcPr>
            <w:tcW w:type="dxa" w:w="2448"/>
          </w:tcPr>
          <w:p>
            <w:r>
              <w:rPr>
                <w:b/>
                <w:sz w:val="17"/>
              </w:rPr>
              <w:t>&lt; 0.1%</w:t>
            </w:r>
          </w:p>
        </w:tc>
        <w:tc>
          <w:tcPr>
            <w:tcW w:type="dxa" w:w="2448"/>
          </w:tcPr>
          <w:p>
            <w:r>
              <w:rPr>
                <w:sz w:val="17"/>
              </w:rPr>
              <w:t>Estadística S&amp;P</w:t>
            </w:r>
          </w:p>
        </w:tc>
        <w:tc>
          <w:tcPr>
            <w:tcW w:type="dxa" w:w="2448"/>
          </w:tcPr>
          <w:p>
            <w:r>
              <w:rPr>
                <w:sz w:val="17"/>
              </w:rPr>
              <w:t>Mínimo riesgo crediticio histórico.</w:t>
            </w:r>
          </w:p>
        </w:tc>
      </w:tr>
    </w:tbl>
    <w:p>
      <w:pPr>
        <w:pStyle w:val="Heading1"/>
        <w:spacing w:before="280" w:after="80"/>
      </w:pPr>
      <w:r>
        <w:rPr>
          <w:rFonts w:ascii="Calibri" w:hAnsi="Calibri"/>
          <w:b/>
          <w:color w:val="1B365D"/>
          <w:sz w:val="28"/>
        </w:rPr>
        <w:t>14. Modelado Financiero y Descuento Inverso de Flujo de Caja (Reverse DCF &amp; Expectations)</w:t>
      </w:r>
    </w:p>
    <w:p>
      <w:pPr>
        <w:spacing w:before="80" w:after="160"/>
        <w:ind w:left="288" w:right="288"/>
      </w:pPr>
      <w:r>
        <w:rPr>
          <w:rFonts w:ascii="Calibri" w:hAnsi="Calibri"/>
          <w:b/>
          <w:color w:val="1B365D"/>
          <w:sz w:val="21"/>
        </w:rPr>
        <w:t>PROPÓSITO DE VALORACIÓN: INTEGRACIÓN FISCAL AI &amp; REVERSE DCF PROPIETARIO</w:t>
        <w:br/>
      </w:r>
      <w:r>
        <w:rPr>
          <w:rFonts w:ascii="Calibri" w:hAnsi="Calibri"/>
          <w:color w:val="2D3748"/>
          <w:sz w:val="19"/>
        </w:rPr>
        <w:t>• Precio de Referencia: $80.23  |  WACC Auditado: 10.31% (Rf: 4.94%, ERP: 4.75%)</w:t>
        <w:br/>
        <w:t>• Crecimiento Implícito Calculado: -3.7% Anual a 10 Años (vs. 8.5% Histórico y 10.0% Guidance)</w:t>
        <w:br/>
        <w:t>• Veredicto: Descuenta expectativas de -3.7% anual (-13.7 pp sobre guidance). Exigencia asumible; requiere sostener la expansión global de HOKA, UGG y canal DTC.</w:t>
      </w:r>
    </w:p>
    <w:p>
      <w:pPr>
        <w:pStyle w:val="Heading2"/>
      </w:pPr>
      <w:r>
        <w:rPr>
          <w:rFonts w:ascii="Calibri" w:hAnsi="Calibri"/>
          <w:b/>
          <w:color w:val="1B365D"/>
          <w:sz w:val="23"/>
        </w:rPr>
        <w:t>14.1. Configuración Óptima en Plataformas de Valoración (Fiscal AI)</w:t>
      </w:r>
    </w:p>
    <w:p>
      <w:pPr>
        <w:spacing w:after="120"/>
      </w:pPr>
      <w:r>
        <w:rPr>
          <w:rFonts w:ascii="Calibri" w:hAnsi="Calibri"/>
          <w:color w:val="2D3748"/>
          <w:sz w:val="18"/>
        </w:rPr>
        <w:t>Para evitar sesgos especulativos se recomienda configurar Fiscal AI con: (1) Modo Perpetuity (2.5%), anclando el valor terminal a la inflación/PIB sin especular con múltiplos de salida; (2) Pestaña Revenue Growth, por ser el motor económico más limpio contra distorsiones contables; y (3) Horizonte de 10 Años, capturando el ciclo completo de inversión y maduración.</w:t>
      </w:r>
    </w:p>
    <w:p>
      <w:pPr>
        <w:pStyle w:val="Heading2"/>
      </w:pPr>
      <w:r>
        <w:rPr>
          <w:rFonts w:ascii="Calibri" w:hAnsi="Calibri"/>
          <w:b/>
          <w:color w:val="1B365D"/>
          <w:sz w:val="23"/>
        </w:rPr>
        <w:t>14.2. Tabla Maestra de Parámetros Auditados para Advanced Mode</w:t>
      </w:r>
    </w:p>
    <w:tbl>
      <w:tblPr>
        <w:tblW w:type="auto" w:w="0"/>
        <w:jc w:val="center"/>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304"/>
        <w:gridCol w:w="1728"/>
        <w:gridCol w:w="1728"/>
        <w:gridCol w:w="4032"/>
      </w:tblGrid>
      <w:tr>
        <w:tc>
          <w:tcPr>
            <w:tcW w:type="dxa" w:w="2304"/>
            <w:shd w:fill="1B365D"/>
            <w:tcMar>
              <w:top w:w="80" w:type="dxa"/>
              <w:bottom w:w="80" w:type="dxa"/>
              <w:left w:w="80" w:type="dxa"/>
              <w:right w:w="80" w:type="dxa"/>
            </w:tcMar>
          </w:tcPr>
          <w:p>
            <w:pPr>
              <w:jc w:val="left"/>
            </w:pPr>
            <w:r>
              <w:rPr>
                <w:rFonts w:ascii="Calibri" w:hAnsi="Calibri"/>
                <w:b/>
                <w:color w:val="FFFFFF"/>
                <w:sz w:val="17"/>
              </w:rPr>
              <w:t>Casilla / Input Fiscal AI</w:t>
            </w:r>
          </w:p>
        </w:tc>
        <w:tc>
          <w:tcPr>
            <w:tcW w:type="dxa" w:w="1728"/>
            <w:shd w:fill="1B365D"/>
            <w:tcMar>
              <w:top w:w="80" w:type="dxa"/>
              <w:bottom w:w="80" w:type="dxa"/>
              <w:left w:w="80" w:type="dxa"/>
              <w:right w:w="80" w:type="dxa"/>
            </w:tcMar>
          </w:tcPr>
          <w:p>
            <w:pPr>
              <w:jc w:val="center"/>
            </w:pPr>
            <w:r>
              <w:rPr>
                <w:rFonts w:ascii="Calibri" w:hAnsi="Calibri"/>
                <w:b/>
                <w:color w:val="FFFFFF"/>
                <w:sz w:val="17"/>
              </w:rPr>
              <w:t>Valor Auditado</w:t>
            </w:r>
          </w:p>
        </w:tc>
        <w:tc>
          <w:tcPr>
            <w:tcW w:type="dxa" w:w="1728"/>
            <w:shd w:fill="1B365D"/>
            <w:tcMar>
              <w:top w:w="80" w:type="dxa"/>
              <w:bottom w:w="80" w:type="dxa"/>
              <w:left w:w="80" w:type="dxa"/>
              <w:right w:w="80" w:type="dxa"/>
            </w:tcMar>
          </w:tcPr>
          <w:p>
            <w:pPr>
              <w:jc w:val="center"/>
            </w:pPr>
            <w:r>
              <w:rPr>
                <w:rFonts w:ascii="Calibri" w:hAnsi="Calibri"/>
                <w:b/>
                <w:color w:val="FFFFFF"/>
                <w:sz w:val="17"/>
              </w:rPr>
              <w:t>Sección Origen</w:t>
            </w:r>
          </w:p>
        </w:tc>
        <w:tc>
          <w:tcPr>
            <w:tcW w:type="dxa" w:w="4032"/>
            <w:shd w:fill="1B365D"/>
            <w:tcMar>
              <w:top w:w="80" w:type="dxa"/>
              <w:bottom w:w="80" w:type="dxa"/>
              <w:left w:w="80" w:type="dxa"/>
              <w:right w:w="80" w:type="dxa"/>
            </w:tcMar>
          </w:tcPr>
          <w:p>
            <w:pPr>
              <w:jc w:val="left"/>
            </w:pPr>
            <w:r>
              <w:rPr>
                <w:rFonts w:ascii="Calibri" w:hAnsi="Calibri"/>
                <w:b/>
                <w:color w:val="FFFFFF"/>
                <w:sz w:val="17"/>
              </w:rPr>
              <w:t>Racional Técnico y Sustento Fundamental</w:t>
            </w:r>
          </w:p>
        </w:tc>
      </w:tr>
      <w:tr>
        <w:tc>
          <w:tcPr>
            <w:tcW w:type="dxa" w:w="2304"/>
            <w:tcMar>
              <w:top w:w="50" w:type="dxa"/>
              <w:bottom w:w="50" w:type="dxa"/>
              <w:left w:w="60" w:type="dxa"/>
              <w:right w:w="60" w:type="dxa"/>
            </w:tcMar>
          </w:tcPr>
          <w:p>
            <w:pPr>
              <w:jc w:val="left"/>
            </w:pPr>
            <w:r>
              <w:rPr>
                <w:rFonts w:ascii="Calibri" w:hAnsi="Calibri"/>
                <w:b/>
                <w:sz w:val="16"/>
              </w:rPr>
              <w:t>Precio Referencia ($P_0$)</w:t>
            </w:r>
          </w:p>
        </w:tc>
        <w:tc>
          <w:tcPr>
            <w:tcW w:type="dxa" w:w="1728"/>
            <w:tcMar>
              <w:top w:w="50" w:type="dxa"/>
              <w:bottom w:w="50" w:type="dxa"/>
              <w:left w:w="60" w:type="dxa"/>
              <w:right w:w="60" w:type="dxa"/>
            </w:tcMar>
          </w:tcPr>
          <w:p>
            <w:pPr>
              <w:jc w:val="center"/>
            </w:pPr>
            <w:r>
              <w:rPr>
                <w:rFonts w:ascii="Calibri" w:hAnsi="Calibri"/>
                <w:b/>
                <w:sz w:val="16"/>
              </w:rPr>
              <w:t>$80.23</w:t>
            </w:r>
          </w:p>
        </w:tc>
        <w:tc>
          <w:tcPr>
            <w:tcW w:type="dxa" w:w="1728"/>
            <w:tcMar>
              <w:top w:w="50" w:type="dxa"/>
              <w:bottom w:w="50" w:type="dxa"/>
              <w:left w:w="60" w:type="dxa"/>
              <w:right w:w="60" w:type="dxa"/>
            </w:tcMar>
          </w:tcPr>
          <w:p>
            <w:pPr>
              <w:jc w:val="center"/>
            </w:pPr>
            <w:r>
              <w:rPr>
                <w:rFonts w:ascii="Calibri" w:hAnsi="Calibri"/>
                <w:sz w:val="16"/>
              </w:rPr>
              <w:t>Mercado en Vivo</w:t>
            </w:r>
          </w:p>
        </w:tc>
        <w:tc>
          <w:tcPr>
            <w:tcW w:type="dxa" w:w="4032"/>
            <w:tcMar>
              <w:top w:w="50" w:type="dxa"/>
              <w:bottom w:w="50" w:type="dxa"/>
              <w:left w:w="60" w:type="dxa"/>
              <w:right w:w="60" w:type="dxa"/>
            </w:tcMar>
          </w:tcPr>
          <w:p>
            <w:pPr>
              <w:jc w:val="left"/>
            </w:pPr>
            <w:r>
              <w:rPr>
                <w:rFonts w:ascii="Calibri" w:hAnsi="Calibri"/>
                <w:sz w:val="16"/>
              </w:rPr>
              <w:t>Cotización auditada en tiempo real por consenso bursátil.</w:t>
            </w:r>
          </w:p>
        </w:tc>
      </w:tr>
      <w:tr>
        <w:tc>
          <w:tcPr>
            <w:tcW w:type="dxa" w:w="2304"/>
            <w:tcMar>
              <w:top w:w="50" w:type="dxa"/>
              <w:bottom w:w="50" w:type="dxa"/>
              <w:left w:w="60" w:type="dxa"/>
              <w:right w:w="60" w:type="dxa"/>
            </w:tcMar>
          </w:tcPr>
          <w:p>
            <w:pPr>
              <w:jc w:val="left"/>
            </w:pPr>
            <w:r>
              <w:rPr>
                <w:rFonts w:ascii="Calibri" w:hAnsi="Calibri"/>
                <w:b/>
                <w:sz w:val="16"/>
              </w:rPr>
              <w:t>Risk-Free Rate ($R_f$)</w:t>
            </w:r>
          </w:p>
        </w:tc>
        <w:tc>
          <w:tcPr>
            <w:tcW w:type="dxa" w:w="1728"/>
            <w:tcMar>
              <w:top w:w="50" w:type="dxa"/>
              <w:bottom w:w="50" w:type="dxa"/>
              <w:left w:w="60" w:type="dxa"/>
              <w:right w:w="60" w:type="dxa"/>
            </w:tcMar>
          </w:tcPr>
          <w:p>
            <w:pPr>
              <w:jc w:val="center"/>
            </w:pPr>
            <w:r>
              <w:rPr>
                <w:rFonts w:ascii="Calibri" w:hAnsi="Calibri"/>
                <w:b/>
                <w:sz w:val="16"/>
              </w:rPr>
              <w:t>4.94%</w:t>
            </w:r>
          </w:p>
        </w:tc>
        <w:tc>
          <w:tcPr>
            <w:tcW w:type="dxa" w:w="1728"/>
            <w:tcMar>
              <w:top w:w="50" w:type="dxa"/>
              <w:bottom w:w="50" w:type="dxa"/>
              <w:left w:w="60" w:type="dxa"/>
              <w:right w:w="60" w:type="dxa"/>
            </w:tcMar>
          </w:tcPr>
          <w:p>
            <w:pPr>
              <w:jc w:val="center"/>
            </w:pPr>
            <w:r>
              <w:rPr>
                <w:rFonts w:ascii="Calibri" w:hAnsi="Calibri"/>
                <w:sz w:val="16"/>
              </w:rPr>
              <w:t>Sección 11.1</w:t>
            </w:r>
          </w:p>
        </w:tc>
        <w:tc>
          <w:tcPr>
            <w:tcW w:type="dxa" w:w="4032"/>
            <w:tcMar>
              <w:top w:w="50" w:type="dxa"/>
              <w:bottom w:w="50" w:type="dxa"/>
              <w:left w:w="60" w:type="dxa"/>
              <w:right w:w="60" w:type="dxa"/>
            </w:tcMar>
          </w:tcPr>
          <w:p>
            <w:pPr>
              <w:jc w:val="left"/>
            </w:pPr>
            <w:r>
              <w:rPr>
                <w:rFonts w:ascii="Calibri" w:hAnsi="Calibri"/>
                <w:sz w:val="16"/>
              </w:rPr>
              <w:t>Rendimiento en tiempo real del Bono del Tesoro 10Y (US10Y).</w:t>
            </w:r>
          </w:p>
        </w:tc>
      </w:tr>
      <w:tr>
        <w:tc>
          <w:tcPr>
            <w:tcW w:type="dxa" w:w="2304"/>
            <w:tcMar>
              <w:top w:w="50" w:type="dxa"/>
              <w:bottom w:w="50" w:type="dxa"/>
              <w:left w:w="60" w:type="dxa"/>
              <w:right w:w="60" w:type="dxa"/>
            </w:tcMar>
          </w:tcPr>
          <w:p>
            <w:pPr>
              <w:jc w:val="left"/>
            </w:pPr>
            <w:r>
              <w:rPr>
                <w:rFonts w:ascii="Calibri" w:hAnsi="Calibri"/>
                <w:b/>
                <w:sz w:val="16"/>
              </w:rPr>
              <w:t>Equity Risk Premium (ERP)</w:t>
            </w:r>
          </w:p>
        </w:tc>
        <w:tc>
          <w:tcPr>
            <w:tcW w:type="dxa" w:w="1728"/>
            <w:tcMar>
              <w:top w:w="50" w:type="dxa"/>
              <w:bottom w:w="50" w:type="dxa"/>
              <w:left w:w="60" w:type="dxa"/>
              <w:right w:w="60" w:type="dxa"/>
            </w:tcMar>
          </w:tcPr>
          <w:p>
            <w:pPr>
              <w:jc w:val="center"/>
            </w:pPr>
            <w:r>
              <w:rPr>
                <w:rFonts w:ascii="Calibri" w:hAnsi="Calibri"/>
                <w:b/>
                <w:sz w:val="16"/>
              </w:rPr>
              <w:t>4.75%</w:t>
            </w:r>
          </w:p>
        </w:tc>
        <w:tc>
          <w:tcPr>
            <w:tcW w:type="dxa" w:w="1728"/>
            <w:tcMar>
              <w:top w:w="50" w:type="dxa"/>
              <w:bottom w:w="50" w:type="dxa"/>
              <w:left w:w="60" w:type="dxa"/>
              <w:right w:w="60" w:type="dxa"/>
            </w:tcMar>
          </w:tcPr>
          <w:p>
            <w:pPr>
              <w:jc w:val="center"/>
            </w:pPr>
            <w:r>
              <w:rPr>
                <w:rFonts w:ascii="Calibri" w:hAnsi="Calibri"/>
                <w:sz w:val="16"/>
              </w:rPr>
              <w:t>Sección 11.1</w:t>
            </w:r>
          </w:p>
        </w:tc>
        <w:tc>
          <w:tcPr>
            <w:tcW w:type="dxa" w:w="4032"/>
            <w:tcMar>
              <w:top w:w="50" w:type="dxa"/>
              <w:bottom w:w="50" w:type="dxa"/>
              <w:left w:w="60" w:type="dxa"/>
              <w:right w:w="60" w:type="dxa"/>
            </w:tcMar>
          </w:tcPr>
          <w:p>
            <w:pPr>
              <w:jc w:val="left"/>
            </w:pPr>
            <w:r>
              <w:rPr>
                <w:rFonts w:ascii="Calibri" w:hAnsi="Calibri"/>
                <w:sz w:val="16"/>
              </w:rPr>
              <w:t>Prima de riesgo implícita Damodaran (Stern NYU).</w:t>
            </w:r>
          </w:p>
        </w:tc>
      </w:tr>
      <w:tr>
        <w:tc>
          <w:tcPr>
            <w:tcW w:type="dxa" w:w="2304"/>
            <w:tcMar>
              <w:top w:w="50" w:type="dxa"/>
              <w:bottom w:w="50" w:type="dxa"/>
              <w:left w:w="60" w:type="dxa"/>
              <w:right w:w="60" w:type="dxa"/>
            </w:tcMar>
          </w:tcPr>
          <w:p>
            <w:pPr>
              <w:jc w:val="left"/>
            </w:pPr>
            <w:r>
              <w:rPr>
                <w:rFonts w:ascii="Calibri" w:hAnsi="Calibri"/>
                <w:b/>
                <w:sz w:val="16"/>
              </w:rPr>
              <w:t>Beta Apalancada (Consenso)</w:t>
            </w:r>
          </w:p>
        </w:tc>
        <w:tc>
          <w:tcPr>
            <w:tcW w:type="dxa" w:w="1728"/>
            <w:tcMar>
              <w:top w:w="50" w:type="dxa"/>
              <w:bottom w:w="50" w:type="dxa"/>
              <w:left w:w="60" w:type="dxa"/>
              <w:right w:w="60" w:type="dxa"/>
            </w:tcMar>
          </w:tcPr>
          <w:p>
            <w:pPr>
              <w:jc w:val="center"/>
            </w:pPr>
            <w:r>
              <w:rPr>
                <w:rFonts w:ascii="Calibri" w:hAnsi="Calibri"/>
                <w:b/>
                <w:sz w:val="16"/>
              </w:rPr>
              <w:t>1.13</w:t>
            </w:r>
          </w:p>
        </w:tc>
        <w:tc>
          <w:tcPr>
            <w:tcW w:type="dxa" w:w="1728"/>
            <w:tcMar>
              <w:top w:w="50" w:type="dxa"/>
              <w:bottom w:w="50" w:type="dxa"/>
              <w:left w:w="60" w:type="dxa"/>
              <w:right w:w="60" w:type="dxa"/>
            </w:tcMar>
          </w:tcPr>
          <w:p>
            <w:pPr>
              <w:jc w:val="center"/>
            </w:pPr>
            <w:r>
              <w:rPr>
                <w:rFonts w:ascii="Calibri" w:hAnsi="Calibri"/>
                <w:sz w:val="16"/>
              </w:rPr>
              <w:t>Sección 11.1</w:t>
            </w:r>
          </w:p>
        </w:tc>
        <w:tc>
          <w:tcPr>
            <w:tcW w:type="dxa" w:w="4032"/>
            <w:tcMar>
              <w:top w:w="50" w:type="dxa"/>
              <w:bottom w:w="50" w:type="dxa"/>
              <w:left w:w="60" w:type="dxa"/>
              <w:right w:w="60" w:type="dxa"/>
            </w:tcMar>
          </w:tcPr>
          <w:p>
            <w:pPr>
              <w:jc w:val="left"/>
            </w:pPr>
            <w:r>
              <w:rPr>
                <w:rFonts w:ascii="Calibri" w:hAnsi="Calibri"/>
                <w:sz w:val="16"/>
              </w:rPr>
              <w:t>Sensibilidad sistemática frente al S&amp;P 500.</w:t>
            </w:r>
          </w:p>
        </w:tc>
      </w:tr>
      <w:tr>
        <w:tc>
          <w:tcPr>
            <w:tcW w:type="dxa" w:w="2304"/>
            <w:tcMar>
              <w:top w:w="50" w:type="dxa"/>
              <w:bottom w:w="50" w:type="dxa"/>
              <w:left w:w="60" w:type="dxa"/>
              <w:right w:w="60" w:type="dxa"/>
            </w:tcMar>
          </w:tcPr>
          <w:p>
            <w:pPr>
              <w:jc w:val="left"/>
            </w:pPr>
            <w:r>
              <w:rPr>
                <w:rFonts w:ascii="Calibri" w:hAnsi="Calibri"/>
                <w:b/>
                <w:sz w:val="16"/>
              </w:rPr>
              <w:t>Cost of Debt ($K_d$ Pre-Tax)</w:t>
            </w:r>
          </w:p>
        </w:tc>
        <w:tc>
          <w:tcPr>
            <w:tcW w:type="dxa" w:w="1728"/>
            <w:tcMar>
              <w:top w:w="50" w:type="dxa"/>
              <w:bottom w:w="50" w:type="dxa"/>
              <w:left w:w="60" w:type="dxa"/>
              <w:right w:w="60" w:type="dxa"/>
            </w:tcMar>
          </w:tcPr>
          <w:p>
            <w:pPr>
              <w:jc w:val="center"/>
            </w:pPr>
            <w:r>
              <w:rPr>
                <w:rFonts w:ascii="Calibri" w:hAnsi="Calibri"/>
                <w:b/>
                <w:sz w:val="16"/>
              </w:rPr>
              <w:t>4.5%</w:t>
            </w:r>
          </w:p>
        </w:tc>
        <w:tc>
          <w:tcPr>
            <w:tcW w:type="dxa" w:w="1728"/>
            <w:tcMar>
              <w:top w:w="50" w:type="dxa"/>
              <w:bottom w:w="50" w:type="dxa"/>
              <w:left w:w="60" w:type="dxa"/>
              <w:right w:w="60" w:type="dxa"/>
            </w:tcMar>
          </w:tcPr>
          <w:p>
            <w:pPr>
              <w:jc w:val="center"/>
            </w:pPr>
            <w:r>
              <w:rPr>
                <w:rFonts w:ascii="Calibri" w:hAnsi="Calibri"/>
                <w:sz w:val="16"/>
              </w:rPr>
              <w:t>Sección 11.1</w:t>
            </w:r>
          </w:p>
        </w:tc>
        <w:tc>
          <w:tcPr>
            <w:tcW w:type="dxa" w:w="4032"/>
            <w:tcMar>
              <w:top w:w="50" w:type="dxa"/>
              <w:bottom w:w="50" w:type="dxa"/>
              <w:left w:w="60" w:type="dxa"/>
              <w:right w:w="60" w:type="dxa"/>
            </w:tcMar>
          </w:tcPr>
          <w:p>
            <w:pPr>
              <w:jc w:val="left"/>
            </w:pPr>
            <w:r>
              <w:rPr>
                <w:rFonts w:ascii="Calibri" w:hAnsi="Calibri"/>
                <w:sz w:val="16"/>
              </w:rPr>
              <w:t>Coste financiero bruto estimado por rating sintético.</w:t>
            </w:r>
          </w:p>
        </w:tc>
      </w:tr>
      <w:tr>
        <w:tc>
          <w:tcPr>
            <w:tcW w:type="dxa" w:w="2304"/>
            <w:tcMar>
              <w:top w:w="50" w:type="dxa"/>
              <w:bottom w:w="50" w:type="dxa"/>
              <w:left w:w="60" w:type="dxa"/>
              <w:right w:w="60" w:type="dxa"/>
            </w:tcMar>
          </w:tcPr>
          <w:p>
            <w:pPr>
              <w:jc w:val="left"/>
            </w:pPr>
            <w:r>
              <w:rPr>
                <w:rFonts w:ascii="Calibri" w:hAnsi="Calibri"/>
                <w:b/>
                <w:sz w:val="16"/>
              </w:rPr>
              <w:t>Cost of Debt ($K_d$ After-Tax)</w:t>
            </w:r>
          </w:p>
        </w:tc>
        <w:tc>
          <w:tcPr>
            <w:tcW w:type="dxa" w:w="1728"/>
            <w:tcMar>
              <w:top w:w="50" w:type="dxa"/>
              <w:bottom w:w="50" w:type="dxa"/>
              <w:left w:w="60" w:type="dxa"/>
              <w:right w:w="60" w:type="dxa"/>
            </w:tcMar>
          </w:tcPr>
          <w:p>
            <w:pPr>
              <w:jc w:val="center"/>
            </w:pPr>
            <w:r>
              <w:rPr>
                <w:rFonts w:ascii="Calibri" w:hAnsi="Calibri"/>
                <w:b/>
                <w:sz w:val="16"/>
              </w:rPr>
              <w:t>3.5%</w:t>
            </w:r>
          </w:p>
        </w:tc>
        <w:tc>
          <w:tcPr>
            <w:tcW w:type="dxa" w:w="1728"/>
            <w:tcMar>
              <w:top w:w="50" w:type="dxa"/>
              <w:bottom w:w="50" w:type="dxa"/>
              <w:left w:w="60" w:type="dxa"/>
              <w:right w:w="60" w:type="dxa"/>
            </w:tcMar>
          </w:tcPr>
          <w:p>
            <w:pPr>
              <w:jc w:val="center"/>
            </w:pPr>
            <w:r>
              <w:rPr>
                <w:rFonts w:ascii="Calibri" w:hAnsi="Calibri"/>
                <w:sz w:val="16"/>
              </w:rPr>
              <w:t>Sección 11.1</w:t>
            </w:r>
          </w:p>
        </w:tc>
        <w:tc>
          <w:tcPr>
            <w:tcW w:type="dxa" w:w="4032"/>
            <w:tcMar>
              <w:top w:w="50" w:type="dxa"/>
              <w:bottom w:w="50" w:type="dxa"/>
              <w:left w:w="60" w:type="dxa"/>
              <w:right w:w="60" w:type="dxa"/>
            </w:tcMar>
          </w:tcPr>
          <w:p>
            <w:pPr>
              <w:jc w:val="left"/>
            </w:pPr>
            <w:r>
              <w:rPr>
                <w:rFonts w:ascii="Calibri" w:hAnsi="Calibri"/>
                <w:sz w:val="16"/>
              </w:rPr>
              <w:t>Coste neto con escudo fiscal: Kd * (1 - t).</w:t>
            </w:r>
          </w:p>
        </w:tc>
      </w:tr>
      <w:tr>
        <w:tc>
          <w:tcPr>
            <w:tcW w:type="dxa" w:w="2304"/>
            <w:tcMar>
              <w:top w:w="50" w:type="dxa"/>
              <w:bottom w:w="50" w:type="dxa"/>
              <w:left w:w="60" w:type="dxa"/>
              <w:right w:w="60" w:type="dxa"/>
            </w:tcMar>
          </w:tcPr>
          <w:p>
            <w:pPr>
              <w:jc w:val="left"/>
            </w:pPr>
            <w:r>
              <w:rPr>
                <w:rFonts w:ascii="Calibri" w:hAnsi="Calibri"/>
                <w:b/>
                <w:sz w:val="16"/>
              </w:rPr>
              <w:t>Effective Tax Rate ($t$)</w:t>
            </w:r>
          </w:p>
        </w:tc>
        <w:tc>
          <w:tcPr>
            <w:tcW w:type="dxa" w:w="1728"/>
            <w:tcMar>
              <w:top w:w="50" w:type="dxa"/>
              <w:bottom w:w="50" w:type="dxa"/>
              <w:left w:w="60" w:type="dxa"/>
              <w:right w:w="60" w:type="dxa"/>
            </w:tcMar>
          </w:tcPr>
          <w:p>
            <w:pPr>
              <w:jc w:val="center"/>
            </w:pPr>
            <w:r>
              <w:rPr>
                <w:rFonts w:ascii="Calibri" w:hAnsi="Calibri"/>
                <w:b/>
                <w:sz w:val="16"/>
              </w:rPr>
              <w:t>21.0%</w:t>
            </w:r>
          </w:p>
        </w:tc>
        <w:tc>
          <w:tcPr>
            <w:tcW w:type="dxa" w:w="1728"/>
            <w:tcMar>
              <w:top w:w="50" w:type="dxa"/>
              <w:bottom w:w="50" w:type="dxa"/>
              <w:left w:w="60" w:type="dxa"/>
              <w:right w:w="60" w:type="dxa"/>
            </w:tcMar>
          </w:tcPr>
          <w:p>
            <w:pPr>
              <w:jc w:val="center"/>
            </w:pPr>
            <w:r>
              <w:rPr>
                <w:rFonts w:ascii="Calibri" w:hAnsi="Calibri"/>
                <w:sz w:val="16"/>
              </w:rPr>
              <w:t>Sección 11.1</w:t>
            </w:r>
          </w:p>
        </w:tc>
        <w:tc>
          <w:tcPr>
            <w:tcW w:type="dxa" w:w="4032"/>
            <w:tcMar>
              <w:top w:w="50" w:type="dxa"/>
              <w:bottom w:w="50" w:type="dxa"/>
              <w:left w:w="60" w:type="dxa"/>
              <w:right w:w="60" w:type="dxa"/>
            </w:tcMar>
          </w:tcPr>
          <w:p>
            <w:pPr>
              <w:jc w:val="left"/>
            </w:pPr>
            <w:r>
              <w:rPr>
                <w:rFonts w:ascii="Calibri" w:hAnsi="Calibri"/>
                <w:sz w:val="16"/>
              </w:rPr>
              <w:t>Tasa impositiva estructural auditada.</w:t>
            </w:r>
          </w:p>
        </w:tc>
      </w:tr>
      <w:tr>
        <w:tc>
          <w:tcPr>
            <w:tcW w:type="dxa" w:w="2304"/>
            <w:tcMar>
              <w:top w:w="50" w:type="dxa"/>
              <w:bottom w:w="50" w:type="dxa"/>
              <w:left w:w="60" w:type="dxa"/>
              <w:right w:w="60" w:type="dxa"/>
            </w:tcMar>
          </w:tcPr>
          <w:p>
            <w:pPr>
              <w:jc w:val="left"/>
            </w:pPr>
            <w:r>
              <w:rPr>
                <w:rFonts w:ascii="Calibri" w:hAnsi="Calibri"/>
                <w:b/>
                <w:sz w:val="16"/>
              </w:rPr>
              <w:t>Weight of Debt ($W_d$)</w:t>
            </w:r>
          </w:p>
        </w:tc>
        <w:tc>
          <w:tcPr>
            <w:tcW w:type="dxa" w:w="1728"/>
            <w:tcMar>
              <w:top w:w="50" w:type="dxa"/>
              <w:bottom w:w="50" w:type="dxa"/>
              <w:left w:w="60" w:type="dxa"/>
              <w:right w:w="60" w:type="dxa"/>
            </w:tcMar>
          </w:tcPr>
          <w:p>
            <w:pPr>
              <w:jc w:val="center"/>
            </w:pPr>
            <w:r>
              <w:rPr>
                <w:rFonts w:ascii="Calibri" w:hAnsi="Calibri"/>
                <w:b/>
                <w:sz w:val="16"/>
              </w:rPr>
              <w:t>5.0%</w:t>
            </w:r>
          </w:p>
        </w:tc>
        <w:tc>
          <w:tcPr>
            <w:tcW w:type="dxa" w:w="1728"/>
            <w:tcMar>
              <w:top w:w="50" w:type="dxa"/>
              <w:bottom w:w="50" w:type="dxa"/>
              <w:left w:w="60" w:type="dxa"/>
              <w:right w:w="60" w:type="dxa"/>
            </w:tcMar>
          </w:tcPr>
          <w:p>
            <w:pPr>
              <w:jc w:val="center"/>
            </w:pPr>
            <w:r>
              <w:rPr>
                <w:rFonts w:ascii="Calibri" w:hAnsi="Calibri"/>
                <w:sz w:val="16"/>
              </w:rPr>
              <w:t>Estructura Cap.</w:t>
            </w:r>
          </w:p>
        </w:tc>
        <w:tc>
          <w:tcPr>
            <w:tcW w:type="dxa" w:w="4032"/>
            <w:tcMar>
              <w:top w:w="50" w:type="dxa"/>
              <w:bottom w:w="50" w:type="dxa"/>
              <w:left w:w="60" w:type="dxa"/>
              <w:right w:w="60" w:type="dxa"/>
            </w:tcMar>
          </w:tcPr>
          <w:p>
            <w:pPr>
              <w:jc w:val="left"/>
            </w:pPr>
            <w:r>
              <w:rPr>
                <w:rFonts w:ascii="Calibri" w:hAnsi="Calibri"/>
                <w:sz w:val="16"/>
              </w:rPr>
              <w:t>Ponderación de la deuda financiera en la estructura de capital.</w:t>
            </w:r>
          </w:p>
        </w:tc>
      </w:tr>
      <w:tr>
        <w:tc>
          <w:tcPr>
            <w:tcW w:type="dxa" w:w="2304"/>
            <w:tcMar>
              <w:top w:w="50" w:type="dxa"/>
              <w:bottom w:w="50" w:type="dxa"/>
              <w:left w:w="60" w:type="dxa"/>
              <w:right w:w="60" w:type="dxa"/>
            </w:tcMar>
          </w:tcPr>
          <w:p>
            <w:pPr>
              <w:jc w:val="left"/>
            </w:pPr>
            <w:r>
              <w:rPr>
                <w:rFonts w:ascii="Calibri" w:hAnsi="Calibri"/>
                <w:b/>
                <w:sz w:val="16"/>
              </w:rPr>
              <w:t>Weight of Equity ($W_e$)</w:t>
            </w:r>
          </w:p>
        </w:tc>
        <w:tc>
          <w:tcPr>
            <w:tcW w:type="dxa" w:w="1728"/>
            <w:tcMar>
              <w:top w:w="50" w:type="dxa"/>
              <w:bottom w:w="50" w:type="dxa"/>
              <w:left w:w="60" w:type="dxa"/>
              <w:right w:w="60" w:type="dxa"/>
            </w:tcMar>
          </w:tcPr>
          <w:p>
            <w:pPr>
              <w:jc w:val="center"/>
            </w:pPr>
            <w:r>
              <w:rPr>
                <w:rFonts w:ascii="Calibri" w:hAnsi="Calibri"/>
                <w:b/>
                <w:sz w:val="16"/>
              </w:rPr>
              <w:t>100.0%</w:t>
            </w:r>
          </w:p>
        </w:tc>
        <w:tc>
          <w:tcPr>
            <w:tcW w:type="dxa" w:w="1728"/>
            <w:tcMar>
              <w:top w:w="50" w:type="dxa"/>
              <w:bottom w:w="50" w:type="dxa"/>
              <w:left w:w="60" w:type="dxa"/>
              <w:right w:w="60" w:type="dxa"/>
            </w:tcMar>
          </w:tcPr>
          <w:p>
            <w:pPr>
              <w:jc w:val="center"/>
            </w:pPr>
            <w:r>
              <w:rPr>
                <w:rFonts w:ascii="Calibri" w:hAnsi="Calibri"/>
                <w:sz w:val="16"/>
              </w:rPr>
              <w:t>Estructura Cap.</w:t>
            </w:r>
          </w:p>
        </w:tc>
        <w:tc>
          <w:tcPr>
            <w:tcW w:type="dxa" w:w="4032"/>
            <w:tcMar>
              <w:top w:w="50" w:type="dxa"/>
              <w:bottom w:w="50" w:type="dxa"/>
              <w:left w:w="60" w:type="dxa"/>
              <w:right w:w="60" w:type="dxa"/>
            </w:tcMar>
          </w:tcPr>
          <w:p>
            <w:pPr>
              <w:jc w:val="left"/>
            </w:pPr>
            <w:r>
              <w:rPr>
                <w:rFonts w:ascii="Calibri" w:hAnsi="Calibri"/>
                <w:sz w:val="16"/>
              </w:rPr>
              <w:t>Ponderación de los fondos propios en la estructura de capital.</w:t>
            </w:r>
          </w:p>
        </w:tc>
      </w:tr>
      <w:tr>
        <w:tc>
          <w:tcPr>
            <w:tcW w:type="dxa" w:w="2304"/>
            <w:tcMar>
              <w:top w:w="50" w:type="dxa"/>
              <w:bottom w:w="50" w:type="dxa"/>
              <w:left w:w="60" w:type="dxa"/>
              <w:right w:w="60" w:type="dxa"/>
            </w:tcMar>
          </w:tcPr>
          <w:p>
            <w:pPr>
              <w:jc w:val="left"/>
            </w:pPr>
            <w:r>
              <w:rPr>
                <w:rFonts w:ascii="Calibri" w:hAnsi="Calibri"/>
                <w:b/>
                <w:sz w:val="16"/>
              </w:rPr>
              <w:t>WACC Auditado (Hurdle Rate)</w:t>
            </w:r>
          </w:p>
        </w:tc>
        <w:tc>
          <w:tcPr>
            <w:tcW w:type="dxa" w:w="1728"/>
            <w:tcMar>
              <w:top w:w="50" w:type="dxa"/>
              <w:bottom w:w="50" w:type="dxa"/>
              <w:left w:w="60" w:type="dxa"/>
              <w:right w:w="60" w:type="dxa"/>
            </w:tcMar>
          </w:tcPr>
          <w:p>
            <w:pPr>
              <w:jc w:val="center"/>
            </w:pPr>
            <w:r>
              <w:rPr>
                <w:rFonts w:ascii="Calibri" w:hAnsi="Calibri"/>
                <w:b/>
                <w:sz w:val="16"/>
              </w:rPr>
              <w:t>10.31%</w:t>
            </w:r>
          </w:p>
        </w:tc>
        <w:tc>
          <w:tcPr>
            <w:tcW w:type="dxa" w:w="1728"/>
            <w:tcMar>
              <w:top w:w="50" w:type="dxa"/>
              <w:bottom w:w="50" w:type="dxa"/>
              <w:left w:w="60" w:type="dxa"/>
              <w:right w:w="60" w:type="dxa"/>
            </w:tcMar>
          </w:tcPr>
          <w:p>
            <w:pPr>
              <w:jc w:val="center"/>
            </w:pPr>
            <w:r>
              <w:rPr>
                <w:rFonts w:ascii="Calibri" w:hAnsi="Calibri"/>
                <w:sz w:val="16"/>
              </w:rPr>
              <w:t>Sección 11.1</w:t>
            </w:r>
          </w:p>
        </w:tc>
        <w:tc>
          <w:tcPr>
            <w:tcW w:type="dxa" w:w="4032"/>
            <w:tcMar>
              <w:top w:w="50" w:type="dxa"/>
              <w:bottom w:w="50" w:type="dxa"/>
              <w:left w:w="60" w:type="dxa"/>
              <w:right w:w="60" w:type="dxa"/>
            </w:tcMar>
          </w:tcPr>
          <w:p>
            <w:pPr>
              <w:jc w:val="left"/>
            </w:pPr>
            <w:r>
              <w:rPr>
                <w:rFonts w:ascii="Calibri" w:hAnsi="Calibri"/>
                <w:sz w:val="16"/>
              </w:rPr>
              <w:t>Tasa de descuento de corte para flujos libres de la firma.</w:t>
            </w:r>
          </w:p>
        </w:tc>
      </w:tr>
      <w:tr>
        <w:tc>
          <w:tcPr>
            <w:tcW w:type="dxa" w:w="2304"/>
            <w:tcMar>
              <w:top w:w="50" w:type="dxa"/>
              <w:bottom w:w="50" w:type="dxa"/>
              <w:left w:w="60" w:type="dxa"/>
              <w:right w:w="60" w:type="dxa"/>
            </w:tcMar>
          </w:tcPr>
          <w:p>
            <w:pPr>
              <w:jc w:val="left"/>
            </w:pPr>
            <w:r>
              <w:rPr>
                <w:rFonts w:ascii="Calibri" w:hAnsi="Calibri"/>
                <w:b/>
                <w:sz w:val="16"/>
              </w:rPr>
              <w:t>Margen FCF Normalizado</w:t>
            </w:r>
          </w:p>
        </w:tc>
        <w:tc>
          <w:tcPr>
            <w:tcW w:type="dxa" w:w="1728"/>
            <w:tcMar>
              <w:top w:w="50" w:type="dxa"/>
              <w:bottom w:w="50" w:type="dxa"/>
              <w:left w:w="60" w:type="dxa"/>
              <w:right w:w="60" w:type="dxa"/>
            </w:tcMar>
          </w:tcPr>
          <w:p>
            <w:pPr>
              <w:jc w:val="center"/>
            </w:pPr>
            <w:r>
              <w:rPr>
                <w:rFonts w:ascii="Calibri" w:hAnsi="Calibri"/>
                <w:b/>
                <w:sz w:val="16"/>
              </w:rPr>
              <w:t>20.2%</w:t>
            </w:r>
          </w:p>
        </w:tc>
        <w:tc>
          <w:tcPr>
            <w:tcW w:type="dxa" w:w="1728"/>
            <w:tcMar>
              <w:top w:w="50" w:type="dxa"/>
              <w:bottom w:w="50" w:type="dxa"/>
              <w:left w:w="60" w:type="dxa"/>
              <w:right w:w="60" w:type="dxa"/>
            </w:tcMar>
          </w:tcPr>
          <w:p>
            <w:pPr>
              <w:jc w:val="center"/>
            </w:pPr>
            <w:r>
              <w:rPr>
                <w:rFonts w:ascii="Calibri" w:hAnsi="Calibri"/>
                <w:sz w:val="16"/>
              </w:rPr>
              <w:t>Sección 4 &amp; Solv.</w:t>
            </w:r>
          </w:p>
        </w:tc>
        <w:tc>
          <w:tcPr>
            <w:tcW w:type="dxa" w:w="4032"/>
            <w:tcMar>
              <w:top w:w="50" w:type="dxa"/>
              <w:bottom w:w="50" w:type="dxa"/>
              <w:left w:w="60" w:type="dxa"/>
              <w:right w:w="60" w:type="dxa"/>
            </w:tcMar>
          </w:tcPr>
          <w:p>
            <w:pPr>
              <w:jc w:val="left"/>
            </w:pPr>
            <w:r>
              <w:rPr>
                <w:rFonts w:ascii="Calibri" w:hAnsi="Calibri"/>
                <w:sz w:val="16"/>
              </w:rPr>
              <w:t>Conversión operativa a caja libre tras inversiones de capital.</w:t>
            </w:r>
          </w:p>
        </w:tc>
      </w:tr>
      <w:tr>
        <w:tc>
          <w:tcPr>
            <w:tcW w:type="dxa" w:w="2304"/>
            <w:tcMar>
              <w:top w:w="50" w:type="dxa"/>
              <w:bottom w:w="50" w:type="dxa"/>
              <w:left w:w="60" w:type="dxa"/>
              <w:right w:w="60" w:type="dxa"/>
            </w:tcMar>
          </w:tcPr>
          <w:p>
            <w:pPr>
              <w:jc w:val="left"/>
            </w:pPr>
            <w:r>
              <w:rPr>
                <w:rFonts w:ascii="Calibri" w:hAnsi="Calibri"/>
                <w:b/>
                <w:sz w:val="16"/>
              </w:rPr>
              <w:t>Terminal Growth Rate ($g_n$)</w:t>
            </w:r>
          </w:p>
        </w:tc>
        <w:tc>
          <w:tcPr>
            <w:tcW w:type="dxa" w:w="1728"/>
            <w:tcMar>
              <w:top w:w="50" w:type="dxa"/>
              <w:bottom w:w="50" w:type="dxa"/>
              <w:left w:w="60" w:type="dxa"/>
              <w:right w:w="60" w:type="dxa"/>
            </w:tcMar>
          </w:tcPr>
          <w:p>
            <w:pPr>
              <w:jc w:val="center"/>
            </w:pPr>
            <w:r>
              <w:rPr>
                <w:rFonts w:ascii="Calibri" w:hAnsi="Calibri"/>
                <w:b/>
                <w:sz w:val="16"/>
              </w:rPr>
              <w:t>2.5%</w:t>
            </w:r>
          </w:p>
        </w:tc>
        <w:tc>
          <w:tcPr>
            <w:tcW w:type="dxa" w:w="1728"/>
            <w:tcMar>
              <w:top w:w="50" w:type="dxa"/>
              <w:bottom w:w="50" w:type="dxa"/>
              <w:left w:w="60" w:type="dxa"/>
              <w:right w:w="60" w:type="dxa"/>
            </w:tcMar>
          </w:tcPr>
          <w:p>
            <w:pPr>
              <w:jc w:val="center"/>
            </w:pPr>
            <w:r>
              <w:rPr>
                <w:rFonts w:ascii="Calibri" w:hAnsi="Calibri"/>
                <w:sz w:val="16"/>
              </w:rPr>
              <w:t>Hipótesis Canónica</w:t>
            </w:r>
          </w:p>
        </w:tc>
        <w:tc>
          <w:tcPr>
            <w:tcW w:type="dxa" w:w="4032"/>
            <w:tcMar>
              <w:top w:w="50" w:type="dxa"/>
              <w:bottom w:w="50" w:type="dxa"/>
              <w:left w:w="60" w:type="dxa"/>
              <w:right w:w="60" w:type="dxa"/>
            </w:tcMar>
          </w:tcPr>
          <w:p>
            <w:pPr>
              <w:jc w:val="left"/>
            </w:pPr>
            <w:r>
              <w:rPr>
                <w:rFonts w:ascii="Calibri" w:hAnsi="Calibri"/>
                <w:sz w:val="16"/>
              </w:rPr>
              <w:t>Crecimiento tendencial sostenible de la economía global.</w:t>
            </w:r>
          </w:p>
        </w:tc>
      </w:tr>
      <w:tr>
        <w:tc>
          <w:tcPr>
            <w:tcW w:type="dxa" w:w="2304"/>
            <w:tcMar>
              <w:top w:w="50" w:type="dxa"/>
              <w:bottom w:w="50" w:type="dxa"/>
              <w:left w:w="60" w:type="dxa"/>
              <w:right w:w="60" w:type="dxa"/>
            </w:tcMar>
          </w:tcPr>
          <w:p>
            <w:pPr>
              <w:jc w:val="left"/>
            </w:pPr>
            <w:r>
              <w:rPr>
                <w:rFonts w:ascii="Calibri" w:hAnsi="Calibri"/>
                <w:b/>
                <w:sz w:val="16"/>
              </w:rPr>
              <w:t>Forecast Period</w:t>
            </w:r>
          </w:p>
        </w:tc>
        <w:tc>
          <w:tcPr>
            <w:tcW w:type="dxa" w:w="1728"/>
            <w:tcMar>
              <w:top w:w="50" w:type="dxa"/>
              <w:bottom w:w="50" w:type="dxa"/>
              <w:left w:w="60" w:type="dxa"/>
              <w:right w:w="60" w:type="dxa"/>
            </w:tcMar>
          </w:tcPr>
          <w:p>
            <w:pPr>
              <w:jc w:val="center"/>
            </w:pPr>
            <w:r>
              <w:rPr>
                <w:rFonts w:ascii="Calibri" w:hAnsi="Calibri"/>
                <w:b/>
                <w:sz w:val="16"/>
              </w:rPr>
              <w:t>10 Años</w:t>
            </w:r>
          </w:p>
        </w:tc>
        <w:tc>
          <w:tcPr>
            <w:tcW w:type="dxa" w:w="1728"/>
            <w:tcMar>
              <w:top w:w="50" w:type="dxa"/>
              <w:bottom w:w="50" w:type="dxa"/>
              <w:left w:w="60" w:type="dxa"/>
              <w:right w:w="60" w:type="dxa"/>
            </w:tcMar>
          </w:tcPr>
          <w:p>
            <w:pPr>
              <w:jc w:val="center"/>
            </w:pPr>
            <w:r>
              <w:rPr>
                <w:rFonts w:ascii="Calibri" w:hAnsi="Calibri"/>
                <w:sz w:val="16"/>
              </w:rPr>
              <w:t>Estándar Institucional</w:t>
            </w:r>
          </w:p>
        </w:tc>
        <w:tc>
          <w:tcPr>
            <w:tcW w:type="dxa" w:w="4032"/>
            <w:tcMar>
              <w:top w:w="50" w:type="dxa"/>
              <w:bottom w:w="50" w:type="dxa"/>
              <w:left w:w="60" w:type="dxa"/>
              <w:right w:w="60" w:type="dxa"/>
            </w:tcMar>
          </w:tcPr>
          <w:p>
            <w:pPr>
              <w:jc w:val="left"/>
            </w:pPr>
            <w:r>
              <w:rPr>
                <w:rFonts w:ascii="Calibri" w:hAnsi="Calibri"/>
                <w:sz w:val="16"/>
              </w:rPr>
              <w:t>Ciclo completo de maduración y despliegue operativo.</w:t>
            </w:r>
          </w:p>
        </w:tc>
      </w:tr>
    </w:tbl>
    <w:p>
      <w:pPr>
        <w:pStyle w:val="Heading2"/>
      </w:pPr>
      <w:r>
        <w:rPr>
          <w:rFonts w:ascii="Calibri" w:hAnsi="Calibri"/>
          <w:b/>
          <w:color w:val="1B365D"/>
          <w:sz w:val="23"/>
        </w:rPr>
        <w:t>14.3. Motor Propietario de Reverse DCF &amp; Brecha de Expectativas</w:t>
      </w:r>
    </w:p>
    <w:p>
      <w:pPr>
        <w:spacing w:after="120"/>
      </w:pPr>
      <w:r>
        <w:rPr>
          <w:rFonts w:ascii="Calibri" w:hAnsi="Calibri"/>
          <w:color w:val="2D3748"/>
          <w:sz w:val="18"/>
        </w:rPr>
        <w:t>• Crecimiento Histórico SEC (CAGR 5 Años): 8.5% anual (CAGR 10A: 8.0%, CAGR 3A: 6.0%)</w:t>
        <w:br/>
        <w:t>• Guidance de Crecimiento: 10.0% anual</w:t>
        <w:br/>
        <w:t>• Crecimiento Implícito Descontado por el Precio ($80.23): -3.7% anual (con WACC 10.31%) y -5.5% (con WACC 10.9%)</w:t>
        <w:br/>
        <w:t>• Brecha de Expectativas: -12.2 pp frente al histórico y -13.7 pp frente al guidance.</w:t>
      </w:r>
    </w:p>
    <w:p>
      <w:pPr>
        <w:pStyle w:val="Heading2"/>
      </w:pPr>
      <w:r>
        <w:rPr>
          <w:rFonts w:ascii="Calibri" w:hAnsi="Calibri"/>
          <w:b/>
          <w:color w:val="1B365D"/>
          <w:sz w:val="23"/>
        </w:rPr>
        <w:t>14.4. Matriz de Sensibilidad Bidimensional (WACC vs. Perpetuidad)</w:t>
      </w:r>
    </w:p>
    <w:tbl>
      <w:tblPr>
        <w:tblW w:type="auto" w:w="0"/>
        <w:jc w:val="center"/>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1728"/>
        <w:gridCol w:w="1008"/>
        <w:gridCol w:w="1008"/>
        <w:gridCol w:w="1008"/>
        <w:gridCol w:w="1008"/>
        <w:gridCol w:w="1008"/>
        <w:gridCol w:w="1008"/>
        <w:gridCol w:w="2016"/>
      </w:tblGrid>
      <w:tr>
        <w:tc>
          <w:tcPr>
            <w:tcW w:type="dxa" w:w="1728"/>
            <w:shd w:fill="1B365D"/>
            <w:tcMar>
              <w:top w:w="80" w:type="dxa"/>
              <w:bottom w:w="80" w:type="dxa"/>
              <w:left w:w="60" w:type="dxa"/>
              <w:right w:w="60" w:type="dxa"/>
            </w:tcMar>
          </w:tcPr>
          <w:p>
            <w:pPr>
              <w:jc w:val="center"/>
            </w:pPr>
            <w:r>
              <w:rPr>
                <w:rFonts w:ascii="Calibri" w:hAnsi="Calibri"/>
                <w:b/>
                <w:color w:val="FFFFFF"/>
                <w:sz w:val="16"/>
              </w:rPr>
              <w:t>WACC / gn</w:t>
            </w:r>
          </w:p>
        </w:tc>
        <w:tc>
          <w:tcPr>
            <w:tcW w:type="dxa" w:w="1008"/>
            <w:shd w:fill="1B365D"/>
            <w:tcMar>
              <w:top w:w="80" w:type="dxa"/>
              <w:bottom w:w="80" w:type="dxa"/>
              <w:left w:w="60" w:type="dxa"/>
              <w:right w:w="60" w:type="dxa"/>
            </w:tcMar>
          </w:tcPr>
          <w:p>
            <w:pPr>
              <w:jc w:val="center"/>
            </w:pPr>
            <w:r>
              <w:rPr>
                <w:rFonts w:ascii="Calibri" w:hAnsi="Calibri"/>
                <w:b/>
                <w:color w:val="FFFFFF"/>
                <w:sz w:val="16"/>
              </w:rPr>
              <w:t>1.0%</w:t>
            </w:r>
          </w:p>
        </w:tc>
        <w:tc>
          <w:tcPr>
            <w:tcW w:type="dxa" w:w="1008"/>
            <w:shd w:fill="1B365D"/>
            <w:tcMar>
              <w:top w:w="80" w:type="dxa"/>
              <w:bottom w:w="80" w:type="dxa"/>
              <w:left w:w="60" w:type="dxa"/>
              <w:right w:w="60" w:type="dxa"/>
            </w:tcMar>
          </w:tcPr>
          <w:p>
            <w:pPr>
              <w:jc w:val="center"/>
            </w:pPr>
            <w:r>
              <w:rPr>
                <w:rFonts w:ascii="Calibri" w:hAnsi="Calibri"/>
                <w:b/>
                <w:color w:val="FFFFFF"/>
                <w:sz w:val="16"/>
              </w:rPr>
              <w:t>1.5%</w:t>
            </w:r>
          </w:p>
        </w:tc>
        <w:tc>
          <w:tcPr>
            <w:tcW w:type="dxa" w:w="1008"/>
            <w:shd w:fill="1B365D"/>
            <w:tcMar>
              <w:top w:w="80" w:type="dxa"/>
              <w:bottom w:w="80" w:type="dxa"/>
              <w:left w:w="60" w:type="dxa"/>
              <w:right w:w="60" w:type="dxa"/>
            </w:tcMar>
          </w:tcPr>
          <w:p>
            <w:pPr>
              <w:jc w:val="center"/>
            </w:pPr>
            <w:r>
              <w:rPr>
                <w:rFonts w:ascii="Calibri" w:hAnsi="Calibri"/>
                <w:b/>
                <w:color w:val="FFFFFF"/>
                <w:sz w:val="16"/>
              </w:rPr>
              <w:t>2.0%</w:t>
            </w:r>
          </w:p>
        </w:tc>
        <w:tc>
          <w:tcPr>
            <w:tcW w:type="dxa" w:w="1008"/>
            <w:shd w:fill="0A3641"/>
            <w:tcMar>
              <w:top w:w="80" w:type="dxa"/>
              <w:bottom w:w="80" w:type="dxa"/>
              <w:left w:w="60" w:type="dxa"/>
              <w:right w:w="60" w:type="dxa"/>
            </w:tcMar>
          </w:tcPr>
          <w:p>
            <w:pPr>
              <w:jc w:val="center"/>
            </w:pPr>
            <w:r>
              <w:rPr>
                <w:rFonts w:ascii="Calibri" w:hAnsi="Calibri"/>
                <w:b/>
                <w:color w:val="FFD700"/>
                <w:sz w:val="16"/>
              </w:rPr>
              <w:t>2.5%</w:t>
            </w:r>
          </w:p>
        </w:tc>
        <w:tc>
          <w:tcPr>
            <w:tcW w:type="dxa" w:w="1008"/>
            <w:shd w:fill="1B365D"/>
            <w:tcMar>
              <w:top w:w="80" w:type="dxa"/>
              <w:bottom w:w="80" w:type="dxa"/>
              <w:left w:w="60" w:type="dxa"/>
              <w:right w:w="60" w:type="dxa"/>
            </w:tcMar>
          </w:tcPr>
          <w:p>
            <w:pPr>
              <w:jc w:val="center"/>
            </w:pPr>
            <w:r>
              <w:rPr>
                <w:rFonts w:ascii="Calibri" w:hAnsi="Calibri"/>
                <w:b/>
                <w:color w:val="FFFFFF"/>
                <w:sz w:val="16"/>
              </w:rPr>
              <w:t>3.0%</w:t>
            </w:r>
          </w:p>
        </w:tc>
        <w:tc>
          <w:tcPr>
            <w:tcW w:type="dxa" w:w="1008"/>
            <w:shd w:fill="1B365D"/>
            <w:tcMar>
              <w:top w:w="80" w:type="dxa"/>
              <w:bottom w:w="80" w:type="dxa"/>
              <w:left w:w="60" w:type="dxa"/>
              <w:right w:w="60" w:type="dxa"/>
            </w:tcMar>
          </w:tcPr>
          <w:p>
            <w:pPr>
              <w:jc w:val="center"/>
            </w:pPr>
            <w:r>
              <w:rPr>
                <w:rFonts w:ascii="Calibri" w:hAnsi="Calibri"/>
                <w:b/>
                <w:color w:val="FFFFFF"/>
                <w:sz w:val="16"/>
              </w:rPr>
              <w:t>3.5%</w:t>
            </w:r>
          </w:p>
        </w:tc>
        <w:tc>
          <w:tcPr>
            <w:tcW w:type="dxa" w:w="2016"/>
            <w:shd w:fill="1B365D"/>
            <w:tcMar>
              <w:top w:w="80" w:type="dxa"/>
              <w:bottom w:w="80" w:type="dxa"/>
              <w:left w:w="60" w:type="dxa"/>
              <w:right w:w="60" w:type="dxa"/>
            </w:tcMar>
          </w:tcPr>
          <w:p>
            <w:pPr>
              <w:jc w:val="left"/>
            </w:pPr>
            <w:r>
              <w:rPr>
                <w:rFonts w:ascii="Calibri" w:hAnsi="Calibri"/>
                <w:b/>
                <w:color w:val="FFFFFF"/>
                <w:sz w:val="16"/>
              </w:rPr>
              <w:t>Diagnóstico</w:t>
            </w:r>
          </w:p>
        </w:tc>
      </w:tr>
      <w:tr>
        <w:tc>
          <w:tcPr>
            <w:tcW w:type="dxa" w:w="1728"/>
            <w:tcMar>
              <w:top w:w="50" w:type="dxa"/>
              <w:bottom w:w="50" w:type="dxa"/>
              <w:left w:w="60" w:type="dxa"/>
              <w:right w:w="60" w:type="dxa"/>
            </w:tcMar>
          </w:tcPr>
          <w:p>
            <w:pPr>
              <w:jc w:val="center"/>
            </w:pPr>
            <w:r>
              <w:rPr>
                <w:rFonts w:ascii="Calibri" w:hAnsi="Calibri"/>
                <w:b/>
                <w:sz w:val="16"/>
              </w:rPr>
              <w:t>9.31% (Bajo / Expansión)</w:t>
            </w:r>
          </w:p>
        </w:tc>
        <w:tc>
          <w:tcPr>
            <w:tcW w:type="dxa" w:w="1008"/>
            <w:tcMar>
              <w:top w:w="50" w:type="dxa"/>
              <w:bottom w:w="50" w:type="dxa"/>
              <w:left w:w="60" w:type="dxa"/>
              <w:right w:w="60" w:type="dxa"/>
            </w:tcMar>
          </w:tcPr>
          <w:p>
            <w:pPr>
              <w:jc w:val="center"/>
            </w:pPr>
            <w:r>
              <w:rPr>
                <w:rFonts w:ascii="Calibri" w:hAnsi="Calibri"/>
                <w:sz w:val="16"/>
              </w:rPr>
              <w:t>-3.9%</w:t>
            </w:r>
          </w:p>
        </w:tc>
        <w:tc>
          <w:tcPr>
            <w:tcW w:type="dxa" w:w="1008"/>
            <w:tcMar>
              <w:top w:w="50" w:type="dxa"/>
              <w:bottom w:w="50" w:type="dxa"/>
              <w:left w:w="60" w:type="dxa"/>
              <w:right w:w="60" w:type="dxa"/>
            </w:tcMar>
          </w:tcPr>
          <w:p>
            <w:pPr>
              <w:jc w:val="center"/>
            </w:pPr>
            <w:r>
              <w:rPr>
                <w:rFonts w:ascii="Calibri" w:hAnsi="Calibri"/>
                <w:sz w:val="16"/>
              </w:rPr>
              <w:t>-4.3%</w:t>
            </w:r>
          </w:p>
        </w:tc>
        <w:tc>
          <w:tcPr>
            <w:tcW w:type="dxa" w:w="1008"/>
            <w:tcMar>
              <w:top w:w="50" w:type="dxa"/>
              <w:bottom w:w="50" w:type="dxa"/>
              <w:left w:w="60" w:type="dxa"/>
              <w:right w:w="60" w:type="dxa"/>
            </w:tcMar>
          </w:tcPr>
          <w:p>
            <w:pPr>
              <w:jc w:val="center"/>
            </w:pPr>
            <w:r>
              <w:rPr>
                <w:rFonts w:ascii="Calibri" w:hAnsi="Calibri"/>
                <w:sz w:val="16"/>
              </w:rPr>
              <w:t>-4.7%</w:t>
            </w:r>
          </w:p>
        </w:tc>
        <w:tc>
          <w:tcPr>
            <w:tcW w:type="dxa" w:w="1008"/>
            <w:tcMar>
              <w:top w:w="50" w:type="dxa"/>
              <w:bottom w:w="50" w:type="dxa"/>
              <w:left w:w="60" w:type="dxa"/>
              <w:right w:w="60" w:type="dxa"/>
            </w:tcMar>
          </w:tcPr>
          <w:p>
            <w:pPr>
              <w:jc w:val="center"/>
            </w:pPr>
            <w:r>
              <w:rPr>
                <w:rFonts w:ascii="Calibri" w:hAnsi="Calibri"/>
                <w:b/>
                <w:sz w:val="16"/>
              </w:rPr>
              <w:t>-5.2%</w:t>
            </w:r>
          </w:p>
        </w:tc>
        <w:tc>
          <w:tcPr>
            <w:tcW w:type="dxa" w:w="1008"/>
            <w:tcMar>
              <w:top w:w="50" w:type="dxa"/>
              <w:bottom w:w="50" w:type="dxa"/>
              <w:left w:w="60" w:type="dxa"/>
              <w:right w:w="60" w:type="dxa"/>
            </w:tcMar>
          </w:tcPr>
          <w:p>
            <w:pPr>
              <w:jc w:val="center"/>
            </w:pPr>
            <w:r>
              <w:rPr>
                <w:rFonts w:ascii="Calibri" w:hAnsi="Calibri"/>
                <w:sz w:val="16"/>
              </w:rPr>
              <w:t>-5.6%</w:t>
            </w:r>
          </w:p>
        </w:tc>
        <w:tc>
          <w:tcPr>
            <w:tcW w:type="dxa" w:w="1008"/>
            <w:tcMar>
              <w:top w:w="50" w:type="dxa"/>
              <w:bottom w:w="50" w:type="dxa"/>
              <w:left w:w="60" w:type="dxa"/>
              <w:right w:w="60" w:type="dxa"/>
            </w:tcMar>
          </w:tcPr>
          <w:p>
            <w:pPr>
              <w:jc w:val="center"/>
            </w:pPr>
            <w:r>
              <w:rPr>
                <w:rFonts w:ascii="Calibri" w:hAnsi="Calibri"/>
                <w:sz w:val="16"/>
              </w:rPr>
              <w:t>-6.2%</w:t>
            </w:r>
          </w:p>
        </w:tc>
        <w:tc>
          <w:tcPr>
            <w:tcW w:type="dxa" w:w="2016"/>
            <w:tcMar>
              <w:top w:w="50" w:type="dxa"/>
              <w:bottom w:w="50" w:type="dxa"/>
              <w:left w:w="60" w:type="dxa"/>
              <w:right w:w="60" w:type="dxa"/>
            </w:tcMar>
          </w:tcPr>
          <w:p>
            <w:pPr>
              <w:jc w:val="left"/>
            </w:pPr>
            <w:r>
              <w:rPr>
                <w:rFonts w:ascii="Calibri" w:hAnsi="Calibri"/>
                <w:sz w:val="16"/>
              </w:rPr>
              <w:t>Escenario favorable; exigencia de crecimiento más moderada.</w:t>
            </w:r>
          </w:p>
        </w:tc>
      </w:tr>
      <w:tr>
        <w:tc>
          <w:tcPr>
            <w:tcW w:type="dxa" w:w="1728"/>
            <w:tcMar>
              <w:top w:w="50" w:type="dxa"/>
              <w:bottom w:w="50" w:type="dxa"/>
              <w:left w:w="60" w:type="dxa"/>
              <w:right w:w="60" w:type="dxa"/>
            </w:tcMar>
          </w:tcPr>
          <w:p>
            <w:pPr>
              <w:jc w:val="center"/>
            </w:pPr>
            <w:r>
              <w:rPr>
                <w:rFonts w:ascii="Calibri" w:hAnsi="Calibri"/>
                <w:b/>
                <w:sz w:val="16"/>
              </w:rPr>
              <w:t>9.81% (Favorable)</w:t>
            </w:r>
          </w:p>
        </w:tc>
        <w:tc>
          <w:tcPr>
            <w:tcW w:type="dxa" w:w="1008"/>
            <w:tcMar>
              <w:top w:w="50" w:type="dxa"/>
              <w:bottom w:w="50" w:type="dxa"/>
              <w:left w:w="60" w:type="dxa"/>
              <w:right w:w="60" w:type="dxa"/>
            </w:tcMar>
          </w:tcPr>
          <w:p>
            <w:pPr>
              <w:jc w:val="center"/>
            </w:pPr>
            <w:r>
              <w:rPr>
                <w:rFonts w:ascii="Calibri" w:hAnsi="Calibri"/>
                <w:sz w:val="16"/>
              </w:rPr>
              <w:t>-3.1%</w:t>
            </w:r>
          </w:p>
        </w:tc>
        <w:tc>
          <w:tcPr>
            <w:tcW w:type="dxa" w:w="1008"/>
            <w:tcMar>
              <w:top w:w="50" w:type="dxa"/>
              <w:bottom w:w="50" w:type="dxa"/>
              <w:left w:w="60" w:type="dxa"/>
              <w:right w:w="60" w:type="dxa"/>
            </w:tcMar>
          </w:tcPr>
          <w:p>
            <w:pPr>
              <w:jc w:val="center"/>
            </w:pPr>
            <w:r>
              <w:rPr>
                <w:rFonts w:ascii="Calibri" w:hAnsi="Calibri"/>
                <w:sz w:val="16"/>
              </w:rPr>
              <w:t>-3.5%</w:t>
            </w:r>
          </w:p>
        </w:tc>
        <w:tc>
          <w:tcPr>
            <w:tcW w:type="dxa" w:w="1008"/>
            <w:tcMar>
              <w:top w:w="50" w:type="dxa"/>
              <w:bottom w:w="50" w:type="dxa"/>
              <w:left w:w="60" w:type="dxa"/>
              <w:right w:w="60" w:type="dxa"/>
            </w:tcMar>
          </w:tcPr>
          <w:p>
            <w:pPr>
              <w:jc w:val="center"/>
            </w:pPr>
            <w:r>
              <w:rPr>
                <w:rFonts w:ascii="Calibri" w:hAnsi="Calibri"/>
                <w:sz w:val="16"/>
              </w:rPr>
              <w:t>-3.9%</w:t>
            </w:r>
          </w:p>
        </w:tc>
        <w:tc>
          <w:tcPr>
            <w:tcW w:type="dxa" w:w="1008"/>
            <w:tcMar>
              <w:top w:w="50" w:type="dxa"/>
              <w:bottom w:w="50" w:type="dxa"/>
              <w:left w:w="60" w:type="dxa"/>
              <w:right w:w="60" w:type="dxa"/>
            </w:tcMar>
          </w:tcPr>
          <w:p>
            <w:pPr>
              <w:jc w:val="center"/>
            </w:pPr>
            <w:r>
              <w:rPr>
                <w:rFonts w:ascii="Calibri" w:hAnsi="Calibri"/>
                <w:b/>
                <w:sz w:val="16"/>
              </w:rPr>
              <w:t>-4.3%</w:t>
            </w:r>
          </w:p>
        </w:tc>
        <w:tc>
          <w:tcPr>
            <w:tcW w:type="dxa" w:w="1008"/>
            <w:tcMar>
              <w:top w:w="50" w:type="dxa"/>
              <w:bottom w:w="50" w:type="dxa"/>
              <w:left w:w="60" w:type="dxa"/>
              <w:right w:w="60" w:type="dxa"/>
            </w:tcMar>
          </w:tcPr>
          <w:p>
            <w:pPr>
              <w:jc w:val="center"/>
            </w:pPr>
            <w:r>
              <w:rPr>
                <w:rFonts w:ascii="Calibri" w:hAnsi="Calibri"/>
                <w:sz w:val="16"/>
              </w:rPr>
              <w:t>-4.7%</w:t>
            </w:r>
          </w:p>
        </w:tc>
        <w:tc>
          <w:tcPr>
            <w:tcW w:type="dxa" w:w="1008"/>
            <w:tcMar>
              <w:top w:w="50" w:type="dxa"/>
              <w:bottom w:w="50" w:type="dxa"/>
              <w:left w:w="60" w:type="dxa"/>
              <w:right w:w="60" w:type="dxa"/>
            </w:tcMar>
          </w:tcPr>
          <w:p>
            <w:pPr>
              <w:jc w:val="center"/>
            </w:pPr>
            <w:r>
              <w:rPr>
                <w:rFonts w:ascii="Calibri" w:hAnsi="Calibri"/>
                <w:sz w:val="16"/>
              </w:rPr>
              <w:t>-5.2%</w:t>
            </w:r>
          </w:p>
        </w:tc>
        <w:tc>
          <w:tcPr>
            <w:tcW w:type="dxa" w:w="2016"/>
            <w:tcMar>
              <w:top w:w="50" w:type="dxa"/>
              <w:bottom w:w="50" w:type="dxa"/>
              <w:left w:w="60" w:type="dxa"/>
              <w:right w:w="60" w:type="dxa"/>
            </w:tcMar>
          </w:tcPr>
          <w:p>
            <w:pPr>
              <w:jc w:val="left"/>
            </w:pPr>
            <w:r>
              <w:rPr>
                <w:rFonts w:ascii="Calibri" w:hAnsi="Calibri"/>
                <w:sz w:val="16"/>
              </w:rPr>
              <w:t>Escenario de sensibilidad operativa.</w:t>
            </w:r>
          </w:p>
        </w:tc>
      </w:tr>
      <w:tr>
        <w:tc>
          <w:tcPr>
            <w:tcW w:type="dxa" w:w="1728"/>
            <w:tcMar>
              <w:top w:w="50" w:type="dxa"/>
              <w:bottom w:w="50" w:type="dxa"/>
              <w:left w:w="60" w:type="dxa"/>
              <w:right w:w="60" w:type="dxa"/>
            </w:tcMar>
          </w:tcPr>
          <w:p>
            <w:pPr>
              <w:jc w:val="center"/>
            </w:pPr>
            <w:r>
              <w:rPr>
                <w:rFonts w:ascii="Calibri" w:hAnsi="Calibri"/>
                <w:b/>
                <w:sz w:val="16"/>
              </w:rPr>
              <w:t>10.31% (WACC Auditado Base)</w:t>
            </w:r>
          </w:p>
        </w:tc>
        <w:tc>
          <w:tcPr>
            <w:tcW w:type="dxa" w:w="1008"/>
            <w:tcMar>
              <w:top w:w="50" w:type="dxa"/>
              <w:bottom w:w="50" w:type="dxa"/>
              <w:left w:w="60" w:type="dxa"/>
              <w:right w:w="60" w:type="dxa"/>
            </w:tcMar>
          </w:tcPr>
          <w:p>
            <w:pPr>
              <w:jc w:val="center"/>
            </w:pPr>
            <w:r>
              <w:rPr>
                <w:rFonts w:ascii="Calibri" w:hAnsi="Calibri"/>
                <w:sz w:val="16"/>
              </w:rPr>
              <w:t>-2.4%</w:t>
            </w:r>
          </w:p>
        </w:tc>
        <w:tc>
          <w:tcPr>
            <w:tcW w:type="dxa" w:w="1008"/>
            <w:tcMar>
              <w:top w:w="50" w:type="dxa"/>
              <w:bottom w:w="50" w:type="dxa"/>
              <w:left w:w="60" w:type="dxa"/>
              <w:right w:w="60" w:type="dxa"/>
            </w:tcMar>
          </w:tcPr>
          <w:p>
            <w:pPr>
              <w:jc w:val="center"/>
            </w:pPr>
            <w:r>
              <w:rPr>
                <w:rFonts w:ascii="Calibri" w:hAnsi="Calibri"/>
                <w:sz w:val="16"/>
              </w:rPr>
              <w:t>-2.7%</w:t>
            </w:r>
          </w:p>
        </w:tc>
        <w:tc>
          <w:tcPr>
            <w:tcW w:type="dxa" w:w="1008"/>
            <w:tcMar>
              <w:top w:w="50" w:type="dxa"/>
              <w:bottom w:w="50" w:type="dxa"/>
              <w:left w:w="60" w:type="dxa"/>
              <w:right w:w="60" w:type="dxa"/>
            </w:tcMar>
          </w:tcPr>
          <w:p>
            <w:pPr>
              <w:jc w:val="center"/>
            </w:pPr>
            <w:r>
              <w:rPr>
                <w:rFonts w:ascii="Calibri" w:hAnsi="Calibri"/>
                <w:sz w:val="16"/>
              </w:rPr>
              <w:t>-3.1%</w:t>
            </w:r>
          </w:p>
        </w:tc>
        <w:tc>
          <w:tcPr>
            <w:tcW w:type="dxa" w:w="1008"/>
            <w:tcMar>
              <w:top w:w="50" w:type="dxa"/>
              <w:bottom w:w="50" w:type="dxa"/>
              <w:left w:w="60" w:type="dxa"/>
              <w:right w:w="60" w:type="dxa"/>
            </w:tcMar>
          </w:tcPr>
          <w:p>
            <w:pPr>
              <w:jc w:val="center"/>
            </w:pPr>
            <w:r>
              <w:rPr>
                <w:rFonts w:ascii="Calibri" w:hAnsi="Calibri"/>
                <w:b/>
                <w:sz w:val="16"/>
              </w:rPr>
              <w:t>-3.5%</w:t>
            </w:r>
          </w:p>
        </w:tc>
        <w:tc>
          <w:tcPr>
            <w:tcW w:type="dxa" w:w="1008"/>
            <w:tcMar>
              <w:top w:w="50" w:type="dxa"/>
              <w:bottom w:w="50" w:type="dxa"/>
              <w:left w:w="60" w:type="dxa"/>
              <w:right w:w="60" w:type="dxa"/>
            </w:tcMar>
          </w:tcPr>
          <w:p>
            <w:pPr>
              <w:jc w:val="center"/>
            </w:pPr>
            <w:r>
              <w:rPr>
                <w:rFonts w:ascii="Calibri" w:hAnsi="Calibri"/>
                <w:sz w:val="16"/>
              </w:rPr>
              <w:t>-3.9%</w:t>
            </w:r>
          </w:p>
        </w:tc>
        <w:tc>
          <w:tcPr>
            <w:tcW w:type="dxa" w:w="1008"/>
            <w:tcMar>
              <w:top w:w="50" w:type="dxa"/>
              <w:bottom w:w="50" w:type="dxa"/>
              <w:left w:w="60" w:type="dxa"/>
              <w:right w:w="60" w:type="dxa"/>
            </w:tcMar>
          </w:tcPr>
          <w:p>
            <w:pPr>
              <w:jc w:val="center"/>
            </w:pPr>
            <w:r>
              <w:rPr>
                <w:rFonts w:ascii="Calibri" w:hAnsi="Calibri"/>
                <w:sz w:val="16"/>
              </w:rPr>
              <w:t>-4.3%</w:t>
            </w:r>
          </w:p>
        </w:tc>
        <w:tc>
          <w:tcPr>
            <w:tcW w:type="dxa" w:w="2016"/>
            <w:tcMar>
              <w:top w:w="50" w:type="dxa"/>
              <w:bottom w:w="50" w:type="dxa"/>
              <w:left w:w="60" w:type="dxa"/>
              <w:right w:w="60" w:type="dxa"/>
            </w:tcMar>
          </w:tcPr>
          <w:p>
            <w:pPr>
              <w:jc w:val="left"/>
            </w:pPr>
            <w:r>
              <w:rPr>
                <w:rFonts w:ascii="Calibri" w:hAnsi="Calibri"/>
                <w:sz w:val="16"/>
              </w:rPr>
              <w:t>ESCENARIO CENTRAL: Crecimiento implícito real de mercado.</w:t>
            </w:r>
          </w:p>
        </w:tc>
      </w:tr>
      <w:tr>
        <w:tc>
          <w:tcPr>
            <w:tcW w:type="dxa" w:w="1728"/>
            <w:tcMar>
              <w:top w:w="50" w:type="dxa"/>
              <w:bottom w:w="50" w:type="dxa"/>
              <w:left w:w="60" w:type="dxa"/>
              <w:right w:w="60" w:type="dxa"/>
            </w:tcMar>
          </w:tcPr>
          <w:p>
            <w:pPr>
              <w:jc w:val="center"/>
            </w:pPr>
            <w:r>
              <w:rPr>
                <w:rFonts w:ascii="Calibri" w:hAnsi="Calibri"/>
                <w:b/>
                <w:sz w:val="16"/>
              </w:rPr>
              <w:t>10.81% (Exigente)</w:t>
            </w:r>
          </w:p>
        </w:tc>
        <w:tc>
          <w:tcPr>
            <w:tcW w:type="dxa" w:w="1008"/>
            <w:tcMar>
              <w:top w:w="50" w:type="dxa"/>
              <w:bottom w:w="50" w:type="dxa"/>
              <w:left w:w="60" w:type="dxa"/>
              <w:right w:w="60" w:type="dxa"/>
            </w:tcMar>
          </w:tcPr>
          <w:p>
            <w:pPr>
              <w:jc w:val="center"/>
            </w:pPr>
            <w:r>
              <w:rPr>
                <w:rFonts w:ascii="Calibri" w:hAnsi="Calibri"/>
                <w:sz w:val="16"/>
              </w:rPr>
              <w:t>-1.7%</w:t>
            </w:r>
          </w:p>
        </w:tc>
        <w:tc>
          <w:tcPr>
            <w:tcW w:type="dxa" w:w="1008"/>
            <w:tcMar>
              <w:top w:w="50" w:type="dxa"/>
              <w:bottom w:w="50" w:type="dxa"/>
              <w:left w:w="60" w:type="dxa"/>
              <w:right w:w="60" w:type="dxa"/>
            </w:tcMar>
          </w:tcPr>
          <w:p>
            <w:pPr>
              <w:jc w:val="center"/>
            </w:pPr>
            <w:r>
              <w:rPr>
                <w:rFonts w:ascii="Calibri" w:hAnsi="Calibri"/>
                <w:sz w:val="16"/>
              </w:rPr>
              <w:t>-2.0%</w:t>
            </w:r>
          </w:p>
        </w:tc>
        <w:tc>
          <w:tcPr>
            <w:tcW w:type="dxa" w:w="1008"/>
            <w:tcMar>
              <w:top w:w="50" w:type="dxa"/>
              <w:bottom w:w="50" w:type="dxa"/>
              <w:left w:w="60" w:type="dxa"/>
              <w:right w:w="60" w:type="dxa"/>
            </w:tcMar>
          </w:tcPr>
          <w:p>
            <w:pPr>
              <w:jc w:val="center"/>
            </w:pPr>
            <w:r>
              <w:rPr>
                <w:rFonts w:ascii="Calibri" w:hAnsi="Calibri"/>
                <w:sz w:val="16"/>
              </w:rPr>
              <w:t>-2.3%</w:t>
            </w:r>
          </w:p>
        </w:tc>
        <w:tc>
          <w:tcPr>
            <w:tcW w:type="dxa" w:w="1008"/>
            <w:tcMar>
              <w:top w:w="50" w:type="dxa"/>
              <w:bottom w:w="50" w:type="dxa"/>
              <w:left w:w="60" w:type="dxa"/>
              <w:right w:w="60" w:type="dxa"/>
            </w:tcMar>
          </w:tcPr>
          <w:p>
            <w:pPr>
              <w:jc w:val="center"/>
            </w:pPr>
            <w:r>
              <w:rPr>
                <w:rFonts w:ascii="Calibri" w:hAnsi="Calibri"/>
                <w:b/>
                <w:sz w:val="16"/>
              </w:rPr>
              <w:t>-2.7%</w:t>
            </w:r>
          </w:p>
        </w:tc>
        <w:tc>
          <w:tcPr>
            <w:tcW w:type="dxa" w:w="1008"/>
            <w:tcMar>
              <w:top w:w="50" w:type="dxa"/>
              <w:bottom w:w="50" w:type="dxa"/>
              <w:left w:w="60" w:type="dxa"/>
              <w:right w:w="60" w:type="dxa"/>
            </w:tcMar>
          </w:tcPr>
          <w:p>
            <w:pPr>
              <w:jc w:val="center"/>
            </w:pPr>
            <w:r>
              <w:rPr>
                <w:rFonts w:ascii="Calibri" w:hAnsi="Calibri"/>
                <w:sz w:val="16"/>
              </w:rPr>
              <w:t>-3.1%</w:t>
            </w:r>
          </w:p>
        </w:tc>
        <w:tc>
          <w:tcPr>
            <w:tcW w:type="dxa" w:w="1008"/>
            <w:tcMar>
              <w:top w:w="50" w:type="dxa"/>
              <w:bottom w:w="50" w:type="dxa"/>
              <w:left w:w="60" w:type="dxa"/>
              <w:right w:w="60" w:type="dxa"/>
            </w:tcMar>
          </w:tcPr>
          <w:p>
            <w:pPr>
              <w:jc w:val="center"/>
            </w:pPr>
            <w:r>
              <w:rPr>
                <w:rFonts w:ascii="Calibri" w:hAnsi="Calibri"/>
                <w:sz w:val="16"/>
              </w:rPr>
              <w:t>-3.5%</w:t>
            </w:r>
          </w:p>
        </w:tc>
        <w:tc>
          <w:tcPr>
            <w:tcW w:type="dxa" w:w="2016"/>
            <w:tcMar>
              <w:top w:w="50" w:type="dxa"/>
              <w:bottom w:w="50" w:type="dxa"/>
              <w:left w:w="60" w:type="dxa"/>
              <w:right w:w="60" w:type="dxa"/>
            </w:tcMar>
          </w:tcPr>
          <w:p>
            <w:pPr>
              <w:jc w:val="left"/>
            </w:pPr>
            <w:r>
              <w:rPr>
                <w:rFonts w:ascii="Calibri" w:hAnsi="Calibri"/>
                <w:sz w:val="16"/>
              </w:rPr>
              <w:t>Escenario de sensibilidad operativa.</w:t>
            </w:r>
          </w:p>
        </w:tc>
      </w:tr>
      <w:tr>
        <w:tc>
          <w:tcPr>
            <w:tcW w:type="dxa" w:w="1728"/>
            <w:tcMar>
              <w:top w:w="50" w:type="dxa"/>
              <w:bottom w:w="50" w:type="dxa"/>
              <w:left w:w="60" w:type="dxa"/>
              <w:right w:w="60" w:type="dxa"/>
            </w:tcMar>
          </w:tcPr>
          <w:p>
            <w:pPr>
              <w:jc w:val="center"/>
            </w:pPr>
            <w:r>
              <w:rPr>
                <w:rFonts w:ascii="Calibri" w:hAnsi="Calibri"/>
                <w:b/>
                <w:sz w:val="16"/>
              </w:rPr>
              <w:t>11.31% (Estrés / Tipos Altos)</w:t>
            </w:r>
          </w:p>
        </w:tc>
        <w:tc>
          <w:tcPr>
            <w:tcW w:type="dxa" w:w="1008"/>
            <w:tcMar>
              <w:top w:w="50" w:type="dxa"/>
              <w:bottom w:w="50" w:type="dxa"/>
              <w:left w:w="60" w:type="dxa"/>
              <w:right w:w="60" w:type="dxa"/>
            </w:tcMar>
          </w:tcPr>
          <w:p>
            <w:pPr>
              <w:jc w:val="center"/>
            </w:pPr>
            <w:r>
              <w:rPr>
                <w:rFonts w:ascii="Calibri" w:hAnsi="Calibri"/>
                <w:sz w:val="16"/>
              </w:rPr>
              <w:t>-1.0%</w:t>
            </w:r>
          </w:p>
        </w:tc>
        <w:tc>
          <w:tcPr>
            <w:tcW w:type="dxa" w:w="1008"/>
            <w:tcMar>
              <w:top w:w="50" w:type="dxa"/>
              <w:bottom w:w="50" w:type="dxa"/>
              <w:left w:w="60" w:type="dxa"/>
              <w:right w:w="60" w:type="dxa"/>
            </w:tcMar>
          </w:tcPr>
          <w:p>
            <w:pPr>
              <w:jc w:val="center"/>
            </w:pPr>
            <w:r>
              <w:rPr>
                <w:rFonts w:ascii="Calibri" w:hAnsi="Calibri"/>
                <w:sz w:val="16"/>
              </w:rPr>
              <w:t>-1.3%</w:t>
            </w:r>
          </w:p>
        </w:tc>
        <w:tc>
          <w:tcPr>
            <w:tcW w:type="dxa" w:w="1008"/>
            <w:tcMar>
              <w:top w:w="50" w:type="dxa"/>
              <w:bottom w:w="50" w:type="dxa"/>
              <w:left w:w="60" w:type="dxa"/>
              <w:right w:w="60" w:type="dxa"/>
            </w:tcMar>
          </w:tcPr>
          <w:p>
            <w:pPr>
              <w:jc w:val="center"/>
            </w:pPr>
            <w:r>
              <w:rPr>
                <w:rFonts w:ascii="Calibri" w:hAnsi="Calibri"/>
                <w:sz w:val="16"/>
              </w:rPr>
              <w:t>-1.6%</w:t>
            </w:r>
          </w:p>
        </w:tc>
        <w:tc>
          <w:tcPr>
            <w:tcW w:type="dxa" w:w="1008"/>
            <w:tcMar>
              <w:top w:w="50" w:type="dxa"/>
              <w:bottom w:w="50" w:type="dxa"/>
              <w:left w:w="60" w:type="dxa"/>
              <w:right w:w="60" w:type="dxa"/>
            </w:tcMar>
          </w:tcPr>
          <w:p>
            <w:pPr>
              <w:jc w:val="center"/>
            </w:pPr>
            <w:r>
              <w:rPr>
                <w:rFonts w:ascii="Calibri" w:hAnsi="Calibri"/>
                <w:b/>
                <w:sz w:val="16"/>
              </w:rPr>
              <w:t>-1.9%</w:t>
            </w:r>
          </w:p>
        </w:tc>
        <w:tc>
          <w:tcPr>
            <w:tcW w:type="dxa" w:w="1008"/>
            <w:tcMar>
              <w:top w:w="50" w:type="dxa"/>
              <w:bottom w:w="50" w:type="dxa"/>
              <w:left w:w="60" w:type="dxa"/>
              <w:right w:w="60" w:type="dxa"/>
            </w:tcMar>
          </w:tcPr>
          <w:p>
            <w:pPr>
              <w:jc w:val="center"/>
            </w:pPr>
            <w:r>
              <w:rPr>
                <w:rFonts w:ascii="Calibri" w:hAnsi="Calibri"/>
                <w:sz w:val="16"/>
              </w:rPr>
              <w:t>-2.3%</w:t>
            </w:r>
          </w:p>
        </w:tc>
        <w:tc>
          <w:tcPr>
            <w:tcW w:type="dxa" w:w="1008"/>
            <w:tcMar>
              <w:top w:w="50" w:type="dxa"/>
              <w:bottom w:w="50" w:type="dxa"/>
              <w:left w:w="60" w:type="dxa"/>
              <w:right w:w="60" w:type="dxa"/>
            </w:tcMar>
          </w:tcPr>
          <w:p>
            <w:pPr>
              <w:jc w:val="center"/>
            </w:pPr>
            <w:r>
              <w:rPr>
                <w:rFonts w:ascii="Calibri" w:hAnsi="Calibri"/>
                <w:sz w:val="16"/>
              </w:rPr>
              <w:t>-2.7%</w:t>
            </w:r>
          </w:p>
        </w:tc>
        <w:tc>
          <w:tcPr>
            <w:tcW w:type="dxa" w:w="2016"/>
            <w:tcMar>
              <w:top w:w="50" w:type="dxa"/>
              <w:bottom w:w="50" w:type="dxa"/>
              <w:left w:w="60" w:type="dxa"/>
              <w:right w:w="60" w:type="dxa"/>
            </w:tcMar>
          </w:tcPr>
          <w:p>
            <w:pPr>
              <w:jc w:val="left"/>
            </w:pPr>
            <w:r>
              <w:rPr>
                <w:rFonts w:ascii="Calibri" w:hAnsi="Calibri"/>
                <w:sz w:val="16"/>
              </w:rPr>
              <w:t>Vulnerabilidad a correcciones si el coste de capital aumenta.</w:t>
            </w:r>
          </w:p>
        </w:tc>
      </w:tr>
    </w:tbl>
    <w:p>
      <w:pPr>
        <w:pStyle w:val="Heading2"/>
      </w:pPr>
      <w:r>
        <w:rPr>
          <w:rFonts w:ascii="Calibri" w:hAnsi="Calibri"/>
          <w:b/>
          <w:color w:val="1B365D"/>
          <w:sz w:val="23"/>
        </w:rPr>
        <w:t>14.5. Cuadro de Mando Consolidado y Tesis Final de Inversión</w:t>
      </w:r>
    </w:p>
    <w:tbl>
      <w:tblPr>
        <w:tblW w:type="auto" w:w="0"/>
        <w:jc w:val="center"/>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160"/>
        <w:gridCol w:w="2880"/>
        <w:gridCol w:w="1872"/>
        <w:gridCol w:w="2880"/>
      </w:tblGrid>
      <w:tr>
        <w:tc>
          <w:tcPr>
            <w:tcW w:type="dxa" w:w="2160"/>
            <w:shd w:fill="1B365D"/>
            <w:tcMar>
              <w:top w:w="80" w:type="dxa"/>
              <w:bottom w:w="80" w:type="dxa"/>
              <w:left w:w="80" w:type="dxa"/>
              <w:right w:w="80" w:type="dxa"/>
            </w:tcMar>
          </w:tcPr>
          <w:p>
            <w:pPr>
              <w:jc w:val="left"/>
            </w:pPr>
            <w:r>
              <w:rPr>
                <w:rFonts w:ascii="Calibri" w:hAnsi="Calibri"/>
                <w:b/>
                <w:color w:val="FFFFFF"/>
                <w:sz w:val="17"/>
              </w:rPr>
              <w:t>Dimensión Fundamental</w:t>
            </w:r>
          </w:p>
        </w:tc>
        <w:tc>
          <w:tcPr>
            <w:tcW w:type="dxa" w:w="2880"/>
            <w:shd w:fill="1B365D"/>
            <w:tcMar>
              <w:top w:w="80" w:type="dxa"/>
              <w:bottom w:w="80" w:type="dxa"/>
              <w:left w:w="80" w:type="dxa"/>
              <w:right w:w="80" w:type="dxa"/>
            </w:tcMar>
          </w:tcPr>
          <w:p>
            <w:pPr>
              <w:jc w:val="left"/>
            </w:pPr>
            <w:r>
              <w:rPr>
                <w:rFonts w:ascii="Calibri" w:hAnsi="Calibri"/>
                <w:b/>
                <w:color w:val="FFFFFF"/>
                <w:sz w:val="17"/>
              </w:rPr>
              <w:t>Diagnóstico Auditado</w:t>
            </w:r>
          </w:p>
        </w:tc>
        <w:tc>
          <w:tcPr>
            <w:tcW w:type="dxa" w:w="1872"/>
            <w:shd w:fill="1B365D"/>
            <w:tcMar>
              <w:top w:w="80" w:type="dxa"/>
              <w:bottom w:w="80" w:type="dxa"/>
              <w:left w:w="80" w:type="dxa"/>
              <w:right w:w="80" w:type="dxa"/>
            </w:tcMar>
          </w:tcPr>
          <w:p>
            <w:pPr>
              <w:jc w:val="center"/>
            </w:pPr>
            <w:r>
              <w:rPr>
                <w:rFonts w:ascii="Calibri" w:hAnsi="Calibri"/>
                <w:b/>
                <w:color w:val="FFFFFF"/>
                <w:sz w:val="17"/>
              </w:rPr>
              <w:t>Calificación</w:t>
            </w:r>
          </w:p>
        </w:tc>
        <w:tc>
          <w:tcPr>
            <w:tcW w:type="dxa" w:w="2880"/>
            <w:shd w:fill="1B365D"/>
            <w:tcMar>
              <w:top w:w="80" w:type="dxa"/>
              <w:bottom w:w="80" w:type="dxa"/>
              <w:left w:w="80" w:type="dxa"/>
              <w:right w:w="80" w:type="dxa"/>
            </w:tcMar>
          </w:tcPr>
          <w:p>
            <w:pPr>
              <w:jc w:val="left"/>
            </w:pPr>
            <w:r>
              <w:rPr>
                <w:rFonts w:ascii="Calibri" w:hAnsi="Calibri"/>
                <w:b/>
                <w:color w:val="FFFFFF"/>
                <w:sz w:val="17"/>
              </w:rPr>
              <w:t>Veredicto de Asignación</w:t>
            </w:r>
          </w:p>
        </w:tc>
      </w:tr>
      <w:tr>
        <w:tc>
          <w:tcPr>
            <w:tcW w:type="dxa" w:w="2160"/>
            <w:tcMar>
              <w:top w:w="50" w:type="dxa"/>
              <w:bottom w:w="50" w:type="dxa"/>
              <w:left w:w="60" w:type="dxa"/>
              <w:right w:w="60" w:type="dxa"/>
            </w:tcMar>
          </w:tcPr>
          <w:p>
            <w:pPr>
              <w:jc w:val="left"/>
            </w:pPr>
            <w:r>
              <w:rPr>
                <w:rFonts w:ascii="Calibri" w:hAnsi="Calibri"/>
                <w:b/>
                <w:sz w:val="16"/>
              </w:rPr>
              <w:t>Ventaja Competitiva (Moat)</w:t>
            </w:r>
          </w:p>
        </w:tc>
        <w:tc>
          <w:tcPr>
            <w:tcW w:type="dxa" w:w="2880"/>
            <w:tcMar>
              <w:top w:w="50" w:type="dxa"/>
              <w:bottom w:w="50" w:type="dxa"/>
              <w:left w:w="60" w:type="dxa"/>
              <w:right w:w="60" w:type="dxa"/>
            </w:tcMar>
          </w:tcPr>
          <w:p>
            <w:pPr>
              <w:jc w:val="left"/>
            </w:pPr>
            <w:r>
              <w:rPr>
                <w:rFonts w:ascii="Calibri" w:hAnsi="Calibri"/>
                <w:sz w:val="16"/>
              </w:rPr>
              <w:t>Activos Intangibles y Marca + Poder de Fijación de Precios</w:t>
            </w:r>
          </w:p>
        </w:tc>
        <w:tc>
          <w:tcPr>
            <w:tcW w:type="dxa" w:w="1872"/>
            <w:tcMar>
              <w:top w:w="50" w:type="dxa"/>
              <w:bottom w:w="50" w:type="dxa"/>
              <w:left w:w="60" w:type="dxa"/>
              <w:right w:w="60" w:type="dxa"/>
            </w:tcMar>
          </w:tcPr>
          <w:p>
            <w:pPr>
              <w:jc w:val="center"/>
            </w:pPr>
            <w:r>
              <w:rPr>
                <w:rFonts w:ascii="Calibri" w:hAnsi="Calibri"/>
                <w:b/>
                <w:sz w:val="16"/>
              </w:rPr>
              <w:t>WIDE MOAT</w:t>
            </w:r>
          </w:p>
        </w:tc>
        <w:tc>
          <w:tcPr>
            <w:tcW w:type="dxa" w:w="2880"/>
            <w:tcMar>
              <w:top w:w="50" w:type="dxa"/>
              <w:bottom w:w="50" w:type="dxa"/>
              <w:left w:w="60" w:type="dxa"/>
              <w:right w:w="60" w:type="dxa"/>
            </w:tcMar>
          </w:tcPr>
          <w:p>
            <w:pPr>
              <w:jc w:val="left"/>
            </w:pPr>
            <w:r>
              <w:rPr>
                <w:rFonts w:ascii="Calibri" w:hAnsi="Calibri"/>
                <w:sz w:val="16"/>
              </w:rPr>
              <w:t>Poder de fijación de precios y resiliencia de márgenes (22.7% EBIT).</w:t>
            </w:r>
          </w:p>
        </w:tc>
      </w:tr>
      <w:tr>
        <w:tc>
          <w:tcPr>
            <w:tcW w:type="dxa" w:w="2160"/>
            <w:tcMar>
              <w:top w:w="50" w:type="dxa"/>
              <w:bottom w:w="50" w:type="dxa"/>
              <w:left w:w="60" w:type="dxa"/>
              <w:right w:w="60" w:type="dxa"/>
            </w:tcMar>
          </w:tcPr>
          <w:p>
            <w:pPr>
              <w:jc w:val="left"/>
            </w:pPr>
            <w:r>
              <w:rPr>
                <w:rFonts w:ascii="Calibri" w:hAnsi="Calibri"/>
                <w:b/>
                <w:sz w:val="16"/>
              </w:rPr>
              <w:t>Calidad de Beneficios</w:t>
            </w:r>
          </w:p>
        </w:tc>
        <w:tc>
          <w:tcPr>
            <w:tcW w:type="dxa" w:w="2880"/>
            <w:tcMar>
              <w:top w:w="50" w:type="dxa"/>
              <w:bottom w:w="50" w:type="dxa"/>
              <w:left w:w="60" w:type="dxa"/>
              <w:right w:w="60" w:type="dxa"/>
            </w:tcMar>
          </w:tcPr>
          <w:p>
            <w:pPr>
              <w:jc w:val="left"/>
            </w:pPr>
            <w:r>
              <w:rPr>
                <w:rFonts w:ascii="Calibri" w:hAnsi="Calibri"/>
                <w:sz w:val="16"/>
              </w:rPr>
              <w:t>Ratio Sloan: -4.73% / Montier: 3/6</w:t>
            </w:r>
          </w:p>
        </w:tc>
        <w:tc>
          <w:tcPr>
            <w:tcW w:type="dxa" w:w="1872"/>
            <w:tcMar>
              <w:top w:w="50" w:type="dxa"/>
              <w:bottom w:w="50" w:type="dxa"/>
              <w:left w:w="60" w:type="dxa"/>
              <w:right w:w="60" w:type="dxa"/>
            </w:tcMar>
          </w:tcPr>
          <w:p>
            <w:pPr>
              <w:jc w:val="center"/>
            </w:pPr>
            <w:r>
              <w:rPr>
                <w:rFonts w:ascii="Calibri" w:hAnsi="Calibri"/>
                <w:b/>
                <w:sz w:val="16"/>
              </w:rPr>
              <w:t>CALIDAD SÓLIDA / BAJO RIESGO</w:t>
            </w:r>
          </w:p>
        </w:tc>
        <w:tc>
          <w:tcPr>
            <w:tcW w:type="dxa" w:w="2880"/>
            <w:tcMar>
              <w:top w:w="50" w:type="dxa"/>
              <w:bottom w:w="50" w:type="dxa"/>
              <w:left w:w="60" w:type="dxa"/>
              <w:right w:w="60" w:type="dxa"/>
            </w:tcMar>
          </w:tcPr>
          <w:p>
            <w:pPr>
              <w:jc w:val="left"/>
            </w:pPr>
            <w:r>
              <w:rPr>
                <w:rFonts w:ascii="Calibri" w:hAnsi="Calibri"/>
                <w:sz w:val="16"/>
              </w:rPr>
              <w:t>Ganancias 100% avaladas por caja real ($1.18 CFO por dólar de NI).</w:t>
            </w:r>
          </w:p>
        </w:tc>
      </w:tr>
      <w:tr>
        <w:tc>
          <w:tcPr>
            <w:tcW w:type="dxa" w:w="2160"/>
            <w:tcMar>
              <w:top w:w="50" w:type="dxa"/>
              <w:bottom w:w="50" w:type="dxa"/>
              <w:left w:w="60" w:type="dxa"/>
              <w:right w:w="60" w:type="dxa"/>
            </w:tcMar>
          </w:tcPr>
          <w:p>
            <w:pPr>
              <w:jc w:val="left"/>
            </w:pPr>
            <w:r>
              <w:rPr>
                <w:rFonts w:ascii="Calibri" w:hAnsi="Calibri"/>
                <w:b/>
                <w:sz w:val="16"/>
              </w:rPr>
              <w:t>Solvencia y Estructura</w:t>
            </w:r>
          </w:p>
        </w:tc>
        <w:tc>
          <w:tcPr>
            <w:tcW w:type="dxa" w:w="2880"/>
            <w:tcMar>
              <w:top w:w="50" w:type="dxa"/>
              <w:bottom w:w="50" w:type="dxa"/>
              <w:left w:w="60" w:type="dxa"/>
              <w:right w:w="60" w:type="dxa"/>
            </w:tcMar>
          </w:tcPr>
          <w:p>
            <w:pPr>
              <w:jc w:val="left"/>
            </w:pPr>
            <w:r>
              <w:rPr>
                <w:rFonts w:ascii="Calibri" w:hAnsi="Calibri"/>
                <w:sz w:val="16"/>
              </w:rPr>
              <w:t>Cobertura EBIT: INFINITA (SIN DEUDA) / Altman Z'': 8.59</w:t>
            </w:r>
          </w:p>
        </w:tc>
        <w:tc>
          <w:tcPr>
            <w:tcW w:type="dxa" w:w="1872"/>
            <w:tcMar>
              <w:top w:w="50" w:type="dxa"/>
              <w:bottom w:w="50" w:type="dxa"/>
              <w:left w:w="60" w:type="dxa"/>
              <w:right w:w="60" w:type="dxa"/>
            </w:tcMar>
          </w:tcPr>
          <w:p>
            <w:pPr>
              <w:jc w:val="center"/>
            </w:pPr>
            <w:r>
              <w:rPr>
                <w:rFonts w:ascii="Calibri" w:hAnsi="Calibri"/>
                <w:b/>
                <w:sz w:val="16"/>
              </w:rPr>
              <w:t>SINTÉTICO AAA</w:t>
            </w:r>
          </w:p>
        </w:tc>
        <w:tc>
          <w:tcPr>
            <w:tcW w:type="dxa" w:w="2880"/>
            <w:tcMar>
              <w:top w:w="50" w:type="dxa"/>
              <w:bottom w:w="50" w:type="dxa"/>
              <w:left w:w="60" w:type="dxa"/>
              <w:right w:w="60" w:type="dxa"/>
            </w:tcMar>
          </w:tcPr>
          <w:p>
            <w:pPr>
              <w:jc w:val="left"/>
            </w:pPr>
            <w:r>
              <w:rPr>
                <w:rFonts w:ascii="Calibri" w:hAnsi="Calibri"/>
                <w:sz w:val="16"/>
              </w:rPr>
              <w:t>Cero deuda financiera neta; colchón de liquidez de $1.6B.</w:t>
            </w:r>
          </w:p>
        </w:tc>
      </w:tr>
      <w:tr>
        <w:tc>
          <w:tcPr>
            <w:tcW w:type="dxa" w:w="2160"/>
            <w:tcMar>
              <w:top w:w="50" w:type="dxa"/>
              <w:bottom w:w="50" w:type="dxa"/>
              <w:left w:w="60" w:type="dxa"/>
              <w:right w:w="60" w:type="dxa"/>
            </w:tcMar>
          </w:tcPr>
          <w:p>
            <w:pPr>
              <w:jc w:val="left"/>
            </w:pPr>
            <w:r>
              <w:rPr>
                <w:rFonts w:ascii="Calibri" w:hAnsi="Calibri"/>
                <w:b/>
                <w:sz w:val="16"/>
              </w:rPr>
              <w:t>Productividad del Capital</w:t>
            </w:r>
          </w:p>
        </w:tc>
        <w:tc>
          <w:tcPr>
            <w:tcW w:type="dxa" w:w="2880"/>
            <w:tcMar>
              <w:top w:w="50" w:type="dxa"/>
              <w:bottom w:w="50" w:type="dxa"/>
              <w:left w:w="60" w:type="dxa"/>
              <w:right w:w="60" w:type="dxa"/>
            </w:tcMar>
          </w:tcPr>
          <w:p>
            <w:pPr>
              <w:jc w:val="left"/>
            </w:pPr>
            <w:r>
              <w:rPr>
                <w:rFonts w:ascii="Calibri" w:hAnsi="Calibri"/>
                <w:sz w:val="16"/>
              </w:rPr>
              <w:t>ROC Greenblatt: 234.1% / ROIC Adj: 53.6%</w:t>
            </w:r>
          </w:p>
        </w:tc>
        <w:tc>
          <w:tcPr>
            <w:tcW w:type="dxa" w:w="1872"/>
            <w:tcMar>
              <w:top w:w="50" w:type="dxa"/>
              <w:bottom w:w="50" w:type="dxa"/>
              <w:left w:w="60" w:type="dxa"/>
              <w:right w:w="60" w:type="dxa"/>
            </w:tcMar>
          </w:tcPr>
          <w:p>
            <w:pPr>
              <w:jc w:val="center"/>
            </w:pPr>
            <w:r>
              <w:rPr>
                <w:rFonts w:ascii="Calibri" w:hAnsi="Calibri"/>
                <w:b/>
                <w:sz w:val="16"/>
              </w:rPr>
              <w:t>COMPOUNDING MACHINE</w:t>
            </w:r>
          </w:p>
        </w:tc>
        <w:tc>
          <w:tcPr>
            <w:tcW w:type="dxa" w:w="2880"/>
            <w:tcMar>
              <w:top w:w="50" w:type="dxa"/>
              <w:bottom w:w="50" w:type="dxa"/>
              <w:left w:w="60" w:type="dxa"/>
              <w:right w:w="60" w:type="dxa"/>
            </w:tcMar>
          </w:tcPr>
          <w:p>
            <w:pPr>
              <w:jc w:val="left"/>
            </w:pPr>
            <w:r>
              <w:rPr>
                <w:rFonts w:ascii="Calibri" w:hAnsi="Calibri"/>
                <w:sz w:val="16"/>
              </w:rPr>
              <w:t>Spread económico de +43.3 pp sobre WACC (Creación de valor de élite).</w:t>
            </w:r>
          </w:p>
        </w:tc>
      </w:tr>
      <w:tr>
        <w:tc>
          <w:tcPr>
            <w:tcW w:type="dxa" w:w="2160"/>
            <w:tcMar>
              <w:top w:w="50" w:type="dxa"/>
              <w:bottom w:w="50" w:type="dxa"/>
              <w:left w:w="60" w:type="dxa"/>
              <w:right w:w="60" w:type="dxa"/>
            </w:tcMar>
          </w:tcPr>
          <w:p>
            <w:pPr>
              <w:jc w:val="left"/>
            </w:pPr>
            <w:r>
              <w:rPr>
                <w:rFonts w:ascii="Calibri" w:hAnsi="Calibri"/>
                <w:b/>
                <w:sz w:val="16"/>
              </w:rPr>
              <w:t>Valoración de Mercado</w:t>
            </w:r>
          </w:p>
        </w:tc>
        <w:tc>
          <w:tcPr>
            <w:tcW w:type="dxa" w:w="2880"/>
            <w:tcMar>
              <w:top w:w="50" w:type="dxa"/>
              <w:bottom w:w="50" w:type="dxa"/>
              <w:left w:w="60" w:type="dxa"/>
              <w:right w:w="60" w:type="dxa"/>
            </w:tcMar>
          </w:tcPr>
          <w:p>
            <w:pPr>
              <w:jc w:val="left"/>
            </w:pPr>
            <w:r>
              <w:rPr>
                <w:rFonts w:ascii="Calibri" w:hAnsi="Calibri"/>
                <w:sz w:val="16"/>
              </w:rPr>
              <w:t>Crecimiento Implícito: -3.7% - -5.5%</w:t>
            </w:r>
          </w:p>
        </w:tc>
        <w:tc>
          <w:tcPr>
            <w:tcW w:type="dxa" w:w="1872"/>
            <w:tcMar>
              <w:top w:w="50" w:type="dxa"/>
              <w:bottom w:w="50" w:type="dxa"/>
              <w:left w:w="60" w:type="dxa"/>
              <w:right w:w="60" w:type="dxa"/>
            </w:tcMar>
          </w:tcPr>
          <w:p>
            <w:pPr>
              <w:jc w:val="center"/>
            </w:pPr>
            <w:r>
              <w:rPr>
                <w:rFonts w:ascii="Calibri" w:hAnsi="Calibri"/>
                <w:b/>
                <w:sz w:val="16"/>
              </w:rPr>
              <w:t>VALORACIÓN ATRACTIVA</w:t>
            </w:r>
          </w:p>
        </w:tc>
        <w:tc>
          <w:tcPr>
            <w:tcW w:type="dxa" w:w="2880"/>
            <w:tcMar>
              <w:top w:w="50" w:type="dxa"/>
              <w:bottom w:w="50" w:type="dxa"/>
              <w:left w:w="60" w:type="dxa"/>
              <w:right w:w="60" w:type="dxa"/>
            </w:tcMar>
          </w:tcPr>
          <w:p>
            <w:pPr>
              <w:jc w:val="left"/>
            </w:pPr>
            <w:r>
              <w:rPr>
                <w:rFonts w:ascii="Calibri" w:hAnsi="Calibri"/>
                <w:sz w:val="16"/>
              </w:rPr>
              <w:t>Exigencia asumible; requiere sostener la expansión global de HOKA, UGG y canal DTC.</w:t>
            </w:r>
          </w:p>
        </w:tc>
      </w:tr>
    </w:tbl>
    <w:p>
      <w:pPr>
        <w:spacing w:after="160"/>
      </w:pPr>
    </w:p>
    <w:p>
      <w:pPr>
        <w:spacing w:before="400"/>
        <w:jc w:val="center"/>
      </w:pPr>
      <w:r>
        <w:rPr>
          <w:rFonts w:ascii="Calibri" w:hAnsi="Calibri"/>
          <w:i/>
          <w:color w:val="4A5568"/>
          <w:sz w:val="17"/>
        </w:rPr>
        <w:t>Fin del Informe Oficial de Investigación Fundamental — Deckers Outdoor Corporation (DECK) | Wall Street Equity Research Platform</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