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Wholesale (Canal)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$3,186.1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(-0.7% YoY).</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Direct-to-Consumer (Canal)</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$2,341.2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$2,264.2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+3.4%</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canal/categoría (+3.4% YoY).</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 (EE.UU.)</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57.4%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 (Global)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(EE.UU.) (57.4%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(Global) (42.6% del total): </w:t>
      </w:r>
      <w:r>
        <w:rPr>
          <w:rFonts w:ascii="Calibri" w:hAnsi="Calibri"/>
          <w:i w:val="0"/>
          <w:color w:val="2D3748"/>
          <w:sz w:val="20"/>
        </w:rPr>
        <w:t>Aporta $2,352.4 M con variación YoY de +3.1%,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+38.43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10.51% (Costo del Equity Ke: 10.51%, Deuda Neta Kd: 0.00%).</w:t>
            </w:r>
          </w:p>
          <w:p>
            <w:pPr>
              <w:spacing w:before="40" w:after="40" w:line="276" w:lineRule="auto"/>
            </w:pPr>
            <w:r>
              <w:rPr>
                <w:rFonts w:ascii="Calibri" w:hAnsi="Calibri"/>
                <w:color w:val="2D3748"/>
                <w:sz w:val="19"/>
              </w:rPr>
              <w:t>• Spread Económico Neto: +38.43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(10.51%) por más de 38.43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$81.80</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$11,699.8M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+40.16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+48.82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+38.43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(10.51%) = +38.43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10.51%</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10.51%</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+38.43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$3.8M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$81.8  |  WACC Auditado: 10.51% (Rf: 5.19%, ERP: 4.75%)</w:t>
        <w:br/>
        <w:t>• Crecimiento Implícito Calculado: -2.5% Anual a 10 Años (vs. 16.5% Histórico)</w:t>
        <w:br/>
        <w:t>• Veredicto: Descuenta expectativas de -2.5%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$81.8</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10.51%</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9.51% (Bajo / Expansión)</w:t>
            </w:r>
          </w:p>
        </w:tc>
        <w:tc>
          <w:tcPr>
            <w:tcW w:type="dxa" w:w="1224"/>
          </w:tcPr>
          <w:p>
            <w:r>
              <w:rPr>
                <w:sz w:val="16"/>
              </w:rPr>
              <w:t>-2.9%</w:t>
            </w:r>
          </w:p>
        </w:tc>
        <w:tc>
          <w:tcPr>
            <w:tcW w:type="dxa" w:w="1224"/>
          </w:tcPr>
          <w:p>
            <w:r>
              <w:rPr>
                <w:sz w:val="16"/>
              </w:rPr>
              <w:t>-3.3%</w:t>
            </w:r>
          </w:p>
        </w:tc>
        <w:tc>
          <w:tcPr>
            <w:tcW w:type="dxa" w:w="1224"/>
          </w:tcPr>
          <w:p>
            <w:r>
              <w:rPr>
                <w:sz w:val="16"/>
              </w:rPr>
              <w:t>-3.7%</w:t>
            </w:r>
          </w:p>
        </w:tc>
        <w:tc>
          <w:tcPr>
            <w:tcW w:type="dxa" w:w="1224"/>
          </w:tcPr>
          <w:p>
            <w:r>
              <w:rPr>
                <w:b/>
                <w:sz w:val="16"/>
              </w:rPr>
              <w:t>-4.1%</w:t>
            </w:r>
          </w:p>
        </w:tc>
        <w:tc>
          <w:tcPr>
            <w:tcW w:type="dxa" w:w="1224"/>
          </w:tcPr>
          <w:p>
            <w:r>
              <w:rPr>
                <w:sz w:val="16"/>
              </w:rPr>
              <w:t>-4.6%</w:t>
            </w:r>
          </w:p>
        </w:tc>
        <w:tc>
          <w:tcPr>
            <w:tcW w:type="dxa" w:w="1224"/>
          </w:tcPr>
          <w:p>
            <w:r>
              <w:rPr>
                <w:sz w:val="16"/>
              </w:rPr>
              <w:t>-5.1%</w:t>
            </w:r>
          </w:p>
        </w:tc>
        <w:tc>
          <w:tcPr>
            <w:tcW w:type="dxa" w:w="1224"/>
          </w:tcPr>
          <w:p>
            <w:r>
              <w:rPr>
                <w:sz w:val="16"/>
              </w:rPr>
              <w:t>Escenario favorable; exigencia de crecimiento más moderada.</w:t>
            </w:r>
          </w:p>
        </w:tc>
      </w:tr>
      <w:tr>
        <w:tc>
          <w:tcPr>
            <w:tcW w:type="dxa" w:w="1224"/>
            <w:shd w:fill="F7FAFC"/>
          </w:tcPr>
          <w:p>
            <w:r>
              <w:rPr>
                <w:sz w:val="16"/>
              </w:rPr>
              <w:t>10.01% (Favorable)</w:t>
            </w:r>
          </w:p>
        </w:tc>
        <w:tc>
          <w:tcPr>
            <w:tcW w:type="dxa" w:w="1224"/>
            <w:shd w:fill="F7FAFC"/>
          </w:tcPr>
          <w:p>
            <w:r>
              <w:rPr>
                <w:sz w:val="16"/>
              </w:rPr>
              <w:t>-2.1%</w:t>
            </w:r>
          </w:p>
        </w:tc>
        <w:tc>
          <w:tcPr>
            <w:tcW w:type="dxa" w:w="1224"/>
            <w:shd w:fill="F7FAFC"/>
          </w:tcPr>
          <w:p>
            <w:r>
              <w:rPr>
                <w:sz w:val="16"/>
              </w:rPr>
              <w:t>-2.5%</w:t>
            </w:r>
          </w:p>
        </w:tc>
        <w:tc>
          <w:tcPr>
            <w:tcW w:type="dxa" w:w="1224"/>
            <w:shd w:fill="F7FAFC"/>
          </w:tcPr>
          <w:p>
            <w:r>
              <w:rPr>
                <w:sz w:val="16"/>
              </w:rPr>
              <w:t>-2.9%</w:t>
            </w:r>
          </w:p>
        </w:tc>
        <w:tc>
          <w:tcPr>
            <w:tcW w:type="dxa" w:w="1224"/>
            <w:shd w:fill="F7FAFC"/>
          </w:tcPr>
          <w:p>
            <w:r>
              <w:rPr>
                <w:b/>
                <w:sz w:val="16"/>
              </w:rPr>
              <w:t>-3.3%</w:t>
            </w:r>
          </w:p>
        </w:tc>
        <w:tc>
          <w:tcPr>
            <w:tcW w:type="dxa" w:w="1224"/>
            <w:shd w:fill="F7FAFC"/>
          </w:tcPr>
          <w:p>
            <w:r>
              <w:rPr>
                <w:sz w:val="16"/>
              </w:rPr>
              <w:t>-3.7%</w:t>
            </w:r>
          </w:p>
        </w:tc>
        <w:tc>
          <w:tcPr>
            <w:tcW w:type="dxa" w:w="1224"/>
            <w:shd w:fill="F7FAFC"/>
          </w:tcPr>
          <w:p>
            <w:r>
              <w:rPr>
                <w:sz w:val="16"/>
              </w:rPr>
              <w:t>-4.2%</w:t>
            </w:r>
          </w:p>
        </w:tc>
        <w:tc>
          <w:tcPr>
            <w:tcW w:type="dxa" w:w="1224"/>
            <w:shd w:fill="F7FAFC"/>
          </w:tcPr>
          <w:p>
            <w:r>
              <w:rPr>
                <w:sz w:val="16"/>
              </w:rPr>
              <w:t>Escenario de sensibilidad operativa.</w:t>
            </w:r>
          </w:p>
        </w:tc>
      </w:tr>
      <w:tr>
        <w:tc>
          <w:tcPr>
            <w:tcW w:type="dxa" w:w="1224"/>
            <w:shd w:fill="F7FAFC"/>
          </w:tcPr>
          <w:p>
            <w:r>
              <w:rPr>
                <w:sz w:val="16"/>
              </w:rPr>
              <w:t>10.51% (WACC Auditado Base)</w:t>
            </w:r>
          </w:p>
        </w:tc>
        <w:tc>
          <w:tcPr>
            <w:tcW w:type="dxa" w:w="1224"/>
            <w:shd w:fill="F7FAFC"/>
          </w:tcPr>
          <w:p>
            <w:r>
              <w:rPr>
                <w:b/>
                <w:sz w:val="16"/>
              </w:rPr>
              <w:t>-1.4%</w:t>
            </w:r>
          </w:p>
        </w:tc>
        <w:tc>
          <w:tcPr>
            <w:tcW w:type="dxa" w:w="1224"/>
            <w:shd w:fill="F7FAFC"/>
          </w:tcPr>
          <w:p>
            <w:r>
              <w:rPr>
                <w:b/>
                <w:sz w:val="16"/>
              </w:rPr>
              <w:t>-1.7%</w:t>
            </w:r>
          </w:p>
        </w:tc>
        <w:tc>
          <w:tcPr>
            <w:tcW w:type="dxa" w:w="1224"/>
            <w:shd w:fill="F7FAFC"/>
          </w:tcPr>
          <w:p>
            <w:r>
              <w:rPr>
                <w:b/>
                <w:sz w:val="16"/>
              </w:rPr>
              <w:t>-2.1%</w:t>
            </w:r>
          </w:p>
        </w:tc>
        <w:tc>
          <w:tcPr>
            <w:tcW w:type="dxa" w:w="1224"/>
            <w:shd w:fill="FFF2CC"/>
          </w:tcPr>
          <w:p>
            <w:r>
              <w:rPr>
                <w:b/>
                <w:sz w:val="16"/>
              </w:rPr>
              <w:t>-2.5%</w:t>
            </w:r>
          </w:p>
        </w:tc>
        <w:tc>
          <w:tcPr>
            <w:tcW w:type="dxa" w:w="1224"/>
            <w:shd w:fill="F7FAFC"/>
          </w:tcPr>
          <w:p>
            <w:r>
              <w:rPr>
                <w:b/>
                <w:sz w:val="16"/>
              </w:rPr>
              <w:t>-2.9%</w:t>
            </w:r>
          </w:p>
        </w:tc>
        <w:tc>
          <w:tcPr>
            <w:tcW w:type="dxa" w:w="1224"/>
            <w:shd w:fill="F7FAFC"/>
          </w:tcPr>
          <w:p>
            <w:r>
              <w:rPr>
                <w:b/>
                <w:sz w:val="16"/>
              </w:rPr>
              <w:t>-3.3%</w:t>
            </w:r>
          </w:p>
        </w:tc>
        <w:tc>
          <w:tcPr>
            <w:tcW w:type="dxa" w:w="1224"/>
            <w:shd w:fill="F7FAFC"/>
          </w:tcPr>
          <w:p>
            <w:r>
              <w:rPr>
                <w:sz w:val="16"/>
              </w:rPr>
              <w:t>ESCENARIO CENTRAL: Crecimiento implícito real de mercado.</w:t>
            </w:r>
          </w:p>
        </w:tc>
      </w:tr>
      <w:tr>
        <w:tc>
          <w:tcPr>
            <w:tcW w:type="dxa" w:w="1224"/>
            <w:shd w:fill="F7FAFC"/>
          </w:tcPr>
          <w:p>
            <w:r>
              <w:rPr>
                <w:sz w:val="16"/>
              </w:rPr>
              <w:t>11.01% (Exigente)</w:t>
            </w:r>
          </w:p>
        </w:tc>
        <w:tc>
          <w:tcPr>
            <w:tcW w:type="dxa" w:w="1224"/>
            <w:shd w:fill="F7FAFC"/>
          </w:tcPr>
          <w:p>
            <w:r>
              <w:rPr>
                <w:sz w:val="16"/>
              </w:rPr>
              <w:t>-0.7%</w:t>
            </w:r>
          </w:p>
        </w:tc>
        <w:tc>
          <w:tcPr>
            <w:tcW w:type="dxa" w:w="1224"/>
            <w:shd w:fill="F7FAFC"/>
          </w:tcPr>
          <w:p>
            <w:r>
              <w:rPr>
                <w:sz w:val="16"/>
              </w:rPr>
              <w:t>-1.0%</w:t>
            </w:r>
          </w:p>
        </w:tc>
        <w:tc>
          <w:tcPr>
            <w:tcW w:type="dxa" w:w="1224"/>
            <w:shd w:fill="F7FAFC"/>
          </w:tcPr>
          <w:p>
            <w:r>
              <w:rPr>
                <w:sz w:val="16"/>
              </w:rPr>
              <w:t>-1.3%</w:t>
            </w:r>
          </w:p>
        </w:tc>
        <w:tc>
          <w:tcPr>
            <w:tcW w:type="dxa" w:w="1224"/>
            <w:shd w:fill="F7FAFC"/>
          </w:tcPr>
          <w:p>
            <w:r>
              <w:rPr>
                <w:b/>
                <w:sz w:val="16"/>
              </w:rPr>
              <w:t>-1.7%</w:t>
            </w:r>
          </w:p>
        </w:tc>
        <w:tc>
          <w:tcPr>
            <w:tcW w:type="dxa" w:w="1224"/>
            <w:shd w:fill="F7FAFC"/>
          </w:tcPr>
          <w:p>
            <w:r>
              <w:rPr>
                <w:sz w:val="16"/>
              </w:rPr>
              <w:t>-2.0%</w:t>
            </w:r>
          </w:p>
        </w:tc>
        <w:tc>
          <w:tcPr>
            <w:tcW w:type="dxa" w:w="1224"/>
            <w:shd w:fill="F7FAFC"/>
          </w:tcPr>
          <w:p>
            <w:r>
              <w:rPr>
                <w:sz w:val="16"/>
              </w:rPr>
              <w:t>-2.5%</w:t>
            </w:r>
          </w:p>
        </w:tc>
        <w:tc>
          <w:tcPr>
            <w:tcW w:type="dxa" w:w="1224"/>
            <w:shd w:fill="F7FAFC"/>
          </w:tcPr>
          <w:p>
            <w:r>
              <w:rPr>
                <w:sz w:val="16"/>
              </w:rPr>
              <w:t>Escenario de sensibilidad operativa.</w:t>
            </w:r>
          </w:p>
        </w:tc>
      </w:tr>
      <w:tr>
        <w:tc>
          <w:tcPr>
            <w:tcW w:type="dxa" w:w="1224"/>
          </w:tcPr>
          <w:p>
            <w:r>
              <w:rPr>
                <w:sz w:val="16"/>
              </w:rPr>
              <w:t>11.51% (Estrés / Tipos Altos)</w:t>
            </w:r>
          </w:p>
        </w:tc>
        <w:tc>
          <w:tcPr>
            <w:tcW w:type="dxa" w:w="1224"/>
          </w:tcPr>
          <w:p>
            <w:r>
              <w:rPr>
                <w:sz w:val="16"/>
              </w:rPr>
              <w:t>0.1%</w:t>
            </w:r>
          </w:p>
        </w:tc>
        <w:tc>
          <w:tcPr>
            <w:tcW w:type="dxa" w:w="1224"/>
          </w:tcPr>
          <w:p>
            <w:r>
              <w:rPr>
                <w:sz w:val="16"/>
              </w:rPr>
              <w:t>-0.2%</w:t>
            </w:r>
          </w:p>
        </w:tc>
        <w:tc>
          <w:tcPr>
            <w:tcW w:type="dxa" w:w="1224"/>
          </w:tcPr>
          <w:p>
            <w:r>
              <w:rPr>
                <w:sz w:val="16"/>
              </w:rPr>
              <w:t>-0.6%</w:t>
            </w:r>
          </w:p>
        </w:tc>
        <w:tc>
          <w:tcPr>
            <w:tcW w:type="dxa" w:w="1224"/>
          </w:tcPr>
          <w:p>
            <w:r>
              <w:rPr>
                <w:b/>
                <w:sz w:val="16"/>
              </w:rPr>
              <w:t>-0.9%</w:t>
            </w:r>
          </w:p>
        </w:tc>
        <w:tc>
          <w:tcPr>
            <w:tcW w:type="dxa" w:w="1224"/>
          </w:tcPr>
          <w:p>
            <w:r>
              <w:rPr>
                <w:sz w:val="16"/>
              </w:rPr>
              <w:t>-1.2%</w:t>
            </w:r>
          </w:p>
        </w:tc>
        <w:tc>
          <w:tcPr>
            <w:tcW w:type="dxa" w:w="1224"/>
          </w:tcPr>
          <w:p>
            <w:r>
              <w:rPr>
                <w:sz w:val="16"/>
              </w:rPr>
              <w:t>-1.6%</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-2.5% - -4.6%</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