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14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Segmento Comercio Electrónico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$15,891.2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55.0%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Segmento FinTech y Servicios Financieros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$15,831.9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$13,001.9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45.0%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Segmento Comercio Electrónico (55.0% de facturación): </w:t>
      </w:r>
      <w:r>
        <w:rPr>
          <w:rFonts w:ascii="Calibri" w:hAnsi="Calibri"/>
          <w:i w:val="0"/>
          <w:color w:val="2D3748"/>
          <w:sz w:val="20"/>
        </w:rPr>
        <w:t>Genera $19,350.1 M (+21.8% YoY), consolidándose como pilar operativo clave de MercadoLibre, Inc..</w:t>
      </w:r>
    </w:p>
    <w:p>
      <w:pPr>
        <w:spacing w:before="40" w:after="80" w:line="276" w:lineRule="auto"/>
      </w:pPr>
      <w:r>
        <w:rPr>
          <w:rFonts w:ascii="Calibri" w:hAnsi="Calibri"/>
          <w:b/>
          <w:color w:val="2D3748"/>
          <w:sz w:val="20"/>
        </w:rPr>
        <w:t xml:space="preserve">• Segmento FinTech y Servicios Financieros (45.0% de facturación): </w:t>
      </w:r>
      <w:r>
        <w:rPr>
          <w:rFonts w:ascii="Calibri" w:hAnsi="Calibri"/>
          <w:i w:val="0"/>
          <w:color w:val="2D3748"/>
          <w:sz w:val="20"/>
        </w:rPr>
        <w:t>Genera $15,831.9 M (+21.8%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$15,457.8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$8,514.0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$6,992.1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$6,367.9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$5,229.6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18.1%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Otros Mercados Internacionales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$1,477.6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$1,213.5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0.75x vs 0.85x (-0.10x)).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3.96%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4.0% vs 5.9% (-1.92%)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0.75x vs 0.85x (-0.10x)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+7.07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18.10% frente a un ROIC contable tradicional de 25.45%.</w:t>
            </w:r>
          </w:p>
          <w:p>
            <w:pPr>
              <w:spacing w:before="40" w:after="40" w:line="276" w:lineRule="auto"/>
            </w:pPr>
            <w:r>
              <w:rPr>
                <w:rFonts w:ascii="Calibri" w:hAnsi="Calibri"/>
                <w:color w:val="2D3748"/>
                <w:sz w:val="19"/>
              </w:rPr>
              <w:t>• Costo Promedio Ponderado de Capital (WACC): 11.03% (Costo del Equity Ke: 11.67%, Deuda Neta Kd: 5.50%).</w:t>
            </w:r>
          </w:p>
          <w:p>
            <w:pPr>
              <w:spacing w:before="40" w:after="40" w:line="276" w:lineRule="auto"/>
            </w:pPr>
            <w:r>
              <w:rPr>
                <w:rFonts w:ascii="Calibri" w:hAnsi="Calibri"/>
                <w:color w:val="2D3748"/>
                <w:sz w:val="19"/>
              </w:rPr>
              <w:t>• Spread Económico Neto: +7.07 p.p. de rendimiento por encima del costo de capital exigido por el mercado.</w:t>
            </w:r>
          </w:p>
          <w:p>
            <w:pPr>
              <w:spacing w:before="40" w:after="40" w:line="276" w:lineRule="auto"/>
            </w:pPr>
            <w:r>
              <w:rPr>
                <w:rFonts w:ascii="Calibri" w:hAnsi="Calibri"/>
                <w:color w:val="2D3748"/>
                <w:sz w:val="19"/>
              </w:rPr>
              <w:t>• Stock de Intangibles Fuera de Balance: $7,912.4M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+7.07 p.p. sobre el WACC (11.03%),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$1821.81</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$92,360.8M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$7,912.4M de intangibles fuera de balance. El ROIC Ajustado resultante de 18.10% refleja el verdadero retorno económico sobre el capital total invertido ($18,531.3M).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+34.15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+39.14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+25.83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+19.17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18.10%</w:t>
            </w:r>
          </w:p>
        </w:tc>
        <w:tc>
          <w:tcPr>
            <w:tcW w:type="dxa" w:w="1399"/>
            <w:tcMar>
              <w:top w:w="60" w:type="dxa"/>
              <w:bottom w:w="60" w:type="dxa"/>
              <w:left w:w="100" w:type="dxa"/>
              <w:right w:w="100" w:type="dxa"/>
            </w:tcMar>
            <w:shd w:fill="F7FAFC"/>
            <w:shd w:fill="E2EFDA"/>
          </w:tcPr>
          <w:p>
            <w:r>
              <w:rPr>
                <w:sz w:val="17"/>
              </w:rPr>
              <w:t>$7,912.4M</w:t>
            </w:r>
          </w:p>
        </w:tc>
        <w:tc>
          <w:tcPr>
            <w:tcW w:type="dxa" w:w="1399"/>
            <w:tcMar>
              <w:top w:w="60" w:type="dxa"/>
              <w:bottom w:w="60" w:type="dxa"/>
              <w:left w:w="100" w:type="dxa"/>
              <w:right w:w="100" w:type="dxa"/>
            </w:tcMar>
            <w:shd w:fill="F7FAFC"/>
            <w:shd w:fill="E2EFDA"/>
          </w:tcPr>
          <w:p>
            <w:r>
              <w:rPr>
                <w:sz w:val="17"/>
              </w:rPr>
              <w:t>$18,531.3M</w:t>
            </w:r>
          </w:p>
        </w:tc>
        <w:tc>
          <w:tcPr>
            <w:tcW w:type="dxa" w:w="1399"/>
            <w:tcMar>
              <w:top w:w="60" w:type="dxa"/>
              <w:bottom w:w="60" w:type="dxa"/>
              <w:left w:w="100" w:type="dxa"/>
              <w:right w:w="100" w:type="dxa"/>
            </w:tcMar>
            <w:shd w:fill="F7FAFC"/>
            <w:shd w:fill="E2EFDA"/>
          </w:tcPr>
          <w:p>
            <w:r>
              <w:rPr>
                <w:b/>
                <w:sz w:val="17"/>
              </w:rPr>
              <w:t>+7.07 p.p.</w:t>
            </w:r>
          </w:p>
        </w:tc>
      </w:tr>
    </w:tbl>
    <w:p>
      <w:pPr>
        <w:spacing w:before="160" w:after="160"/>
      </w:pPr>
      <w:r>
        <w:rPr>
          <w:i/>
          <w:sz w:val="18"/>
        </w:rPr>
        <w:t>Matriz de Sensibilidad de Vida Útil: N-1 (2a) = 18.18% | N Base (3a) = 18.10% | N+1 (4a) = 17.94%.</w:t>
      </w:r>
    </w:p>
    <w:p>
      <w:pPr>
        <w:pStyle w:val="Heading2"/>
      </w:pPr>
      <w:r>
        <w:t>11.4. Creación de Valor Económico (EVA) y Durabilidad del Foso Defensivo</w:t>
      </w:r>
    </w:p>
    <w:p>
      <w:r>
        <w:rPr>
          <w:sz w:val="19"/>
        </w:rPr>
        <w:t>Spread Económico = ROIC Ajustado (18.10%) − WACC (11.03%) = +7.07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11.67%</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11.03%</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$7,912.4M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$18,531.3M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18.10%</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+7.07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+20.4%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$1821.81  |  WACC Auditado: 11.03% (Rf: 5.19%, ERP: 4.75%)</w:t>
        <w:br/>
        <w:t>• Crecimiento Implícito Calculado: 14.0% Anual a 10 Años (vs. 48.7% Histórico)</w:t>
        <w:br/>
        <w:t>• Veredicto: Descuenta expectativas de 14.0% anual. Exigencia asumible (+14.0% anual); alineada con el ritmo tendencial de la empresa y su sector.</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$1821.81</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5.79%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10.3%</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89.7%</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11.03%</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10.03% (Bajo / Expansión)</w:t>
            </w:r>
          </w:p>
        </w:tc>
        <w:tc>
          <w:tcPr>
            <w:tcW w:type="dxa" w:w="1224"/>
          </w:tcPr>
          <w:p>
            <w:r>
              <w:rPr>
                <w:sz w:val="16"/>
              </w:rPr>
              <w:t>13.5%</w:t>
            </w:r>
          </w:p>
        </w:tc>
        <w:tc>
          <w:tcPr>
            <w:tcW w:type="dxa" w:w="1224"/>
          </w:tcPr>
          <w:p>
            <w:r>
              <w:rPr>
                <w:sz w:val="16"/>
              </w:rPr>
              <w:t>13.0%</w:t>
            </w:r>
          </w:p>
        </w:tc>
        <w:tc>
          <w:tcPr>
            <w:tcW w:type="dxa" w:w="1224"/>
          </w:tcPr>
          <w:p>
            <w:r>
              <w:rPr>
                <w:sz w:val="16"/>
              </w:rPr>
              <w:t>12.5%</w:t>
            </w:r>
          </w:p>
        </w:tc>
        <w:tc>
          <w:tcPr>
            <w:tcW w:type="dxa" w:w="1224"/>
          </w:tcPr>
          <w:p>
            <w:r>
              <w:rPr>
                <w:b/>
                <w:sz w:val="16"/>
              </w:rPr>
              <w:t>12.0%</w:t>
            </w:r>
          </w:p>
        </w:tc>
        <w:tc>
          <w:tcPr>
            <w:tcW w:type="dxa" w:w="1224"/>
          </w:tcPr>
          <w:p>
            <w:r>
              <w:rPr>
                <w:sz w:val="16"/>
              </w:rPr>
              <w:t>11.4%</w:t>
            </w:r>
          </w:p>
        </w:tc>
        <w:tc>
          <w:tcPr>
            <w:tcW w:type="dxa" w:w="1224"/>
          </w:tcPr>
          <w:p>
            <w:r>
              <w:rPr>
                <w:sz w:val="16"/>
              </w:rPr>
              <w:t>10.7%</w:t>
            </w:r>
          </w:p>
        </w:tc>
        <w:tc>
          <w:tcPr>
            <w:tcW w:type="dxa" w:w="1224"/>
          </w:tcPr>
          <w:p>
            <w:r>
              <w:rPr>
                <w:sz w:val="16"/>
              </w:rPr>
              <w:t>Escenario favorable; exigencia de crecimiento más moderada.</w:t>
            </w:r>
          </w:p>
        </w:tc>
      </w:tr>
      <w:tr>
        <w:tc>
          <w:tcPr>
            <w:tcW w:type="dxa" w:w="1224"/>
            <w:shd w:fill="F7FAFC"/>
          </w:tcPr>
          <w:p>
            <w:r>
              <w:rPr>
                <w:sz w:val="16"/>
              </w:rPr>
              <w:t>10.53% (Favorable)</w:t>
            </w:r>
          </w:p>
        </w:tc>
        <w:tc>
          <w:tcPr>
            <w:tcW w:type="dxa" w:w="1224"/>
            <w:shd w:fill="F7FAFC"/>
          </w:tcPr>
          <w:p>
            <w:r>
              <w:rPr>
                <w:sz w:val="16"/>
              </w:rPr>
              <w:t>14.5%</w:t>
            </w:r>
          </w:p>
        </w:tc>
        <w:tc>
          <w:tcPr>
            <w:tcW w:type="dxa" w:w="1224"/>
            <w:shd w:fill="F7FAFC"/>
          </w:tcPr>
          <w:p>
            <w:r>
              <w:rPr>
                <w:sz w:val="16"/>
              </w:rPr>
              <w:t>14.0%</w:t>
            </w:r>
          </w:p>
        </w:tc>
        <w:tc>
          <w:tcPr>
            <w:tcW w:type="dxa" w:w="1224"/>
            <w:shd w:fill="F7FAFC"/>
          </w:tcPr>
          <w:p>
            <w:r>
              <w:rPr>
                <w:sz w:val="16"/>
              </w:rPr>
              <w:t>13.5%</w:t>
            </w:r>
          </w:p>
        </w:tc>
        <w:tc>
          <w:tcPr>
            <w:tcW w:type="dxa" w:w="1224"/>
            <w:shd w:fill="F7FAFC"/>
          </w:tcPr>
          <w:p>
            <w:r>
              <w:rPr>
                <w:b/>
                <w:sz w:val="16"/>
              </w:rPr>
              <w:t>13.0%</w:t>
            </w:r>
          </w:p>
        </w:tc>
        <w:tc>
          <w:tcPr>
            <w:tcW w:type="dxa" w:w="1224"/>
            <w:shd w:fill="F7FAFC"/>
          </w:tcPr>
          <w:p>
            <w:r>
              <w:rPr>
                <w:sz w:val="16"/>
              </w:rPr>
              <w:t>12.4%</w:t>
            </w:r>
          </w:p>
        </w:tc>
        <w:tc>
          <w:tcPr>
            <w:tcW w:type="dxa" w:w="1224"/>
            <w:shd w:fill="F7FAFC"/>
          </w:tcPr>
          <w:p>
            <w:r>
              <w:rPr>
                <w:sz w:val="16"/>
              </w:rPr>
              <w:t>11.8%</w:t>
            </w:r>
          </w:p>
        </w:tc>
        <w:tc>
          <w:tcPr>
            <w:tcW w:type="dxa" w:w="1224"/>
            <w:shd w:fill="F7FAFC"/>
          </w:tcPr>
          <w:p>
            <w:r>
              <w:rPr>
                <w:sz w:val="16"/>
              </w:rPr>
              <w:t>Escenario de sensibilidad operativa.</w:t>
            </w:r>
          </w:p>
        </w:tc>
      </w:tr>
      <w:tr>
        <w:tc>
          <w:tcPr>
            <w:tcW w:type="dxa" w:w="1224"/>
            <w:shd w:fill="F7FAFC"/>
          </w:tcPr>
          <w:p>
            <w:r>
              <w:rPr>
                <w:sz w:val="16"/>
              </w:rPr>
              <w:t>11.03% (WACC Auditado Base)</w:t>
            </w:r>
          </w:p>
        </w:tc>
        <w:tc>
          <w:tcPr>
            <w:tcW w:type="dxa" w:w="1224"/>
            <w:shd w:fill="F7FAFC"/>
          </w:tcPr>
          <w:p>
            <w:r>
              <w:rPr>
                <w:b/>
                <w:sz w:val="16"/>
              </w:rPr>
              <w:t>15.4%</w:t>
            </w:r>
          </w:p>
        </w:tc>
        <w:tc>
          <w:tcPr>
            <w:tcW w:type="dxa" w:w="1224"/>
            <w:shd w:fill="F7FAFC"/>
          </w:tcPr>
          <w:p>
            <w:r>
              <w:rPr>
                <w:b/>
                <w:sz w:val="16"/>
              </w:rPr>
              <w:t>15.0%</w:t>
            </w:r>
          </w:p>
        </w:tc>
        <w:tc>
          <w:tcPr>
            <w:tcW w:type="dxa" w:w="1224"/>
            <w:shd w:fill="F7FAFC"/>
          </w:tcPr>
          <w:p>
            <w:r>
              <w:rPr>
                <w:b/>
                <w:sz w:val="16"/>
              </w:rPr>
              <w:t>14.5%</w:t>
            </w:r>
          </w:p>
        </w:tc>
        <w:tc>
          <w:tcPr>
            <w:tcW w:type="dxa" w:w="1224"/>
            <w:shd w:fill="FFF2CC"/>
          </w:tcPr>
          <w:p>
            <w:r>
              <w:rPr>
                <w:b/>
                <w:sz w:val="16"/>
              </w:rPr>
              <w:t>14.0%</w:t>
            </w:r>
          </w:p>
        </w:tc>
        <w:tc>
          <w:tcPr>
            <w:tcW w:type="dxa" w:w="1224"/>
            <w:shd w:fill="F7FAFC"/>
          </w:tcPr>
          <w:p>
            <w:r>
              <w:rPr>
                <w:b/>
                <w:sz w:val="16"/>
              </w:rPr>
              <w:t>13.5%</w:t>
            </w:r>
          </w:p>
        </w:tc>
        <w:tc>
          <w:tcPr>
            <w:tcW w:type="dxa" w:w="1224"/>
            <w:shd w:fill="F7FAFC"/>
          </w:tcPr>
          <w:p>
            <w:r>
              <w:rPr>
                <w:b/>
                <w:sz w:val="16"/>
              </w:rPr>
              <w:t>12.9%</w:t>
            </w:r>
          </w:p>
        </w:tc>
        <w:tc>
          <w:tcPr>
            <w:tcW w:type="dxa" w:w="1224"/>
            <w:shd w:fill="F7FAFC"/>
          </w:tcPr>
          <w:p>
            <w:r>
              <w:rPr>
                <w:sz w:val="16"/>
              </w:rPr>
              <w:t>ESCENARIO CENTRAL: Crecimiento implícito real de mercado.</w:t>
            </w:r>
          </w:p>
        </w:tc>
      </w:tr>
      <w:tr>
        <w:tc>
          <w:tcPr>
            <w:tcW w:type="dxa" w:w="1224"/>
            <w:shd w:fill="F7FAFC"/>
          </w:tcPr>
          <w:p>
            <w:r>
              <w:rPr>
                <w:sz w:val="16"/>
              </w:rPr>
              <w:t>11.53% (Exigente)</w:t>
            </w:r>
          </w:p>
        </w:tc>
        <w:tc>
          <w:tcPr>
            <w:tcW w:type="dxa" w:w="1224"/>
            <w:shd w:fill="F7FAFC"/>
          </w:tcPr>
          <w:p>
            <w:r>
              <w:rPr>
                <w:sz w:val="16"/>
              </w:rPr>
              <w:t>16.3%</w:t>
            </w:r>
          </w:p>
        </w:tc>
        <w:tc>
          <w:tcPr>
            <w:tcW w:type="dxa" w:w="1224"/>
            <w:shd w:fill="F7FAFC"/>
          </w:tcPr>
          <w:p>
            <w:r>
              <w:rPr>
                <w:sz w:val="16"/>
              </w:rPr>
              <w:t>15.9%</w:t>
            </w:r>
          </w:p>
        </w:tc>
        <w:tc>
          <w:tcPr>
            <w:tcW w:type="dxa" w:w="1224"/>
            <w:shd w:fill="F7FAFC"/>
          </w:tcPr>
          <w:p>
            <w:r>
              <w:rPr>
                <w:sz w:val="16"/>
              </w:rPr>
              <w:t>15.4%</w:t>
            </w:r>
          </w:p>
        </w:tc>
        <w:tc>
          <w:tcPr>
            <w:tcW w:type="dxa" w:w="1224"/>
            <w:shd w:fill="F7FAFC"/>
          </w:tcPr>
          <w:p>
            <w:r>
              <w:rPr>
                <w:b/>
                <w:sz w:val="16"/>
              </w:rPr>
              <w:t>15.0%</w:t>
            </w:r>
          </w:p>
        </w:tc>
        <w:tc>
          <w:tcPr>
            <w:tcW w:type="dxa" w:w="1224"/>
            <w:shd w:fill="F7FAFC"/>
          </w:tcPr>
          <w:p>
            <w:r>
              <w:rPr>
                <w:sz w:val="16"/>
              </w:rPr>
              <w:t>14.5%</w:t>
            </w:r>
          </w:p>
        </w:tc>
        <w:tc>
          <w:tcPr>
            <w:tcW w:type="dxa" w:w="1224"/>
            <w:shd w:fill="F7FAFC"/>
          </w:tcPr>
          <w:p>
            <w:r>
              <w:rPr>
                <w:sz w:val="16"/>
              </w:rPr>
              <w:t>13.9%</w:t>
            </w:r>
          </w:p>
        </w:tc>
        <w:tc>
          <w:tcPr>
            <w:tcW w:type="dxa" w:w="1224"/>
            <w:shd w:fill="F7FAFC"/>
          </w:tcPr>
          <w:p>
            <w:r>
              <w:rPr>
                <w:sz w:val="16"/>
              </w:rPr>
              <w:t>Escenario de sensibilidad operativa.</w:t>
            </w:r>
          </w:p>
        </w:tc>
      </w:tr>
      <w:tr>
        <w:tc>
          <w:tcPr>
            <w:tcW w:type="dxa" w:w="1224"/>
          </w:tcPr>
          <w:p>
            <w:r>
              <w:rPr>
                <w:sz w:val="16"/>
              </w:rPr>
              <w:t>12.03% (Estrés / Tipos Altos)</w:t>
            </w:r>
          </w:p>
        </w:tc>
        <w:tc>
          <w:tcPr>
            <w:tcW w:type="dxa" w:w="1224"/>
          </w:tcPr>
          <w:p>
            <w:r>
              <w:rPr>
                <w:sz w:val="16"/>
              </w:rPr>
              <w:t>17.2%</w:t>
            </w:r>
          </w:p>
        </w:tc>
        <w:tc>
          <w:tcPr>
            <w:tcW w:type="dxa" w:w="1224"/>
          </w:tcPr>
          <w:p>
            <w:r>
              <w:rPr>
                <w:sz w:val="16"/>
              </w:rPr>
              <w:t>16.8%</w:t>
            </w:r>
          </w:p>
        </w:tc>
        <w:tc>
          <w:tcPr>
            <w:tcW w:type="dxa" w:w="1224"/>
          </w:tcPr>
          <w:p>
            <w:r>
              <w:rPr>
                <w:sz w:val="16"/>
              </w:rPr>
              <w:t>16.4%</w:t>
            </w:r>
          </w:p>
        </w:tc>
        <w:tc>
          <w:tcPr>
            <w:tcW w:type="dxa" w:w="1224"/>
          </w:tcPr>
          <w:p>
            <w:r>
              <w:rPr>
                <w:b/>
                <w:sz w:val="16"/>
              </w:rPr>
              <w:t>15.9%</w:t>
            </w:r>
          </w:p>
        </w:tc>
        <w:tc>
          <w:tcPr>
            <w:tcW w:type="dxa" w:w="1224"/>
          </w:tcPr>
          <w:p>
            <w:r>
              <w:rPr>
                <w:sz w:val="16"/>
              </w:rPr>
              <w:t>15.4%</w:t>
            </w:r>
          </w:p>
        </w:tc>
        <w:tc>
          <w:tcPr>
            <w:tcW w:type="dxa" w:w="1224"/>
          </w:tcPr>
          <w:p>
            <w:r>
              <w:rPr>
                <w:sz w:val="16"/>
              </w:rPr>
              <w:t>14.9%</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Valoración por Suma de las Partes (SOTP - Platform Ecosystem)</w:t>
      </w:r>
    </w:p>
    <w:p>
      <w:r>
        <w:rPr>
          <w:rFonts w:ascii="Calibri" w:hAnsi="Calibri"/>
          <w:color w:val="2D3748"/>
          <w:sz w:val="18"/>
        </w:rPr>
        <w:t>Al combinar infraestructura de e-commerce y fintech bancaria/crédito, se desagregan los componentes: Comercio a 3.2x EV/Ventas ($61,920.3 M) y FinTech a 2.4x EV/Ventas ($37,996.6 M), resultando en un Equity Value de $95,020.9 M y un Valor Teórico SOTP de $1874.28 por título.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958"/>
        <w:gridCol w:w="1958"/>
        <w:gridCol w:w="1958"/>
        <w:gridCol w:w="1958"/>
        <w:gridCol w:w="1958"/>
      </w:tblGrid>
      <w:tr>
        <w:tc>
          <w:tcPr>
            <w:tcW w:type="dxa" w:w="1958"/>
            <w:shd w:fill="1B365D"/>
          </w:tcPr>
          <w:p>
            <w:r>
              <w:rPr>
                <w:b/>
                <w:color w:val="FFFFFF"/>
                <w:sz w:val="18"/>
              </w:rPr>
              <w:t>Segmento Operativo</w:t>
            </w:r>
          </w:p>
        </w:tc>
        <w:tc>
          <w:tcPr>
            <w:tcW w:type="dxa" w:w="1958"/>
            <w:shd w:fill="1B365D"/>
          </w:tcPr>
          <w:p>
            <w:r>
              <w:rPr>
                <w:b/>
                <w:color w:val="FFFFFF"/>
                <w:sz w:val="18"/>
              </w:rPr>
              <w:t>Ventas LTM</w:t>
            </w:r>
          </w:p>
        </w:tc>
        <w:tc>
          <w:tcPr>
            <w:tcW w:type="dxa" w:w="1958"/>
            <w:shd w:fill="1B365D"/>
          </w:tcPr>
          <w:p>
            <w:r>
              <w:rPr>
                <w:b/>
                <w:color w:val="FFFFFF"/>
                <w:sz w:val="18"/>
              </w:rPr>
              <w:t>Múltiplo EV/Sales</w:t>
            </w:r>
          </w:p>
        </w:tc>
        <w:tc>
          <w:tcPr>
            <w:tcW w:type="dxa" w:w="1958"/>
            <w:shd w:fill="1B365D"/>
          </w:tcPr>
          <w:p>
            <w:r>
              <w:rPr>
                <w:b/>
                <w:color w:val="FFFFFF"/>
                <w:sz w:val="18"/>
              </w:rPr>
              <w:t>Enterprise Value</w:t>
            </w:r>
          </w:p>
        </w:tc>
        <w:tc>
          <w:tcPr>
            <w:tcW w:type="dxa" w:w="1958"/>
            <w:shd w:fill="1B365D"/>
          </w:tcPr>
          <w:p>
            <w:r>
              <w:rPr>
                <w:b/>
                <w:color w:val="FFFFFF"/>
                <w:sz w:val="18"/>
              </w:rPr>
              <w:t>Ponderación EV</w:t>
            </w:r>
          </w:p>
        </w:tc>
      </w:tr>
      <w:tr>
        <w:tc>
          <w:tcPr>
            <w:tcW w:type="dxa" w:w="1958"/>
          </w:tcPr>
          <w:p>
            <w:r>
              <w:rPr>
                <w:b/>
                <w:sz w:val="17"/>
              </w:rPr>
              <w:t>Comercio Electrónico / Marketplace</w:t>
            </w:r>
          </w:p>
        </w:tc>
        <w:tc>
          <w:tcPr>
            <w:tcW w:type="dxa" w:w="1958"/>
          </w:tcPr>
          <w:p>
            <w:r>
              <w:rPr>
                <w:sz w:val="17"/>
              </w:rPr>
              <w:t>$19,350.1 M</w:t>
            </w:r>
          </w:p>
        </w:tc>
        <w:tc>
          <w:tcPr>
            <w:tcW w:type="dxa" w:w="1958"/>
          </w:tcPr>
          <w:p>
            <w:r>
              <w:rPr>
                <w:sz w:val="17"/>
              </w:rPr>
              <w:t>3.2x</w:t>
            </w:r>
          </w:p>
        </w:tc>
        <w:tc>
          <w:tcPr>
            <w:tcW w:type="dxa" w:w="1958"/>
          </w:tcPr>
          <w:p>
            <w:r>
              <w:rPr>
                <w:b/>
                <w:sz w:val="17"/>
              </w:rPr>
              <w:t>$61,920.3 M</w:t>
            </w:r>
          </w:p>
        </w:tc>
        <w:tc>
          <w:tcPr>
            <w:tcW w:type="dxa" w:w="1958"/>
          </w:tcPr>
          <w:p>
            <w:r>
              <w:rPr>
                <w:sz w:val="17"/>
              </w:rPr>
              <w:t>62.0%</w:t>
            </w:r>
          </w:p>
        </w:tc>
      </w:tr>
      <w:tr>
        <w:tc>
          <w:tcPr>
            <w:tcW w:type="dxa" w:w="1958"/>
            <w:shd w:fill="F7FAFC"/>
          </w:tcPr>
          <w:p>
            <w:r>
              <w:rPr>
                <w:b/>
                <w:sz w:val="17"/>
              </w:rPr>
              <w:t>FinTech y Crédito Digital</w:t>
            </w:r>
          </w:p>
        </w:tc>
        <w:tc>
          <w:tcPr>
            <w:tcW w:type="dxa" w:w="1958"/>
            <w:shd w:fill="F7FAFC"/>
          </w:tcPr>
          <w:p>
            <w:r>
              <w:rPr>
                <w:sz w:val="17"/>
              </w:rPr>
              <w:t>$15,831.9 M</w:t>
            </w:r>
          </w:p>
        </w:tc>
        <w:tc>
          <w:tcPr>
            <w:tcW w:type="dxa" w:w="1958"/>
            <w:shd w:fill="F7FAFC"/>
          </w:tcPr>
          <w:p>
            <w:r>
              <w:rPr>
                <w:sz w:val="17"/>
              </w:rPr>
              <w:t>2.4x</w:t>
            </w:r>
          </w:p>
        </w:tc>
        <w:tc>
          <w:tcPr>
            <w:tcW w:type="dxa" w:w="1958"/>
            <w:shd w:fill="F7FAFC"/>
          </w:tcPr>
          <w:p>
            <w:r>
              <w:rPr>
                <w:b/>
                <w:sz w:val="17"/>
              </w:rPr>
              <w:t>$37,996.6 M</w:t>
            </w:r>
          </w:p>
        </w:tc>
        <w:tc>
          <w:tcPr>
            <w:tcW w:type="dxa" w:w="1958"/>
            <w:shd w:fill="F7FAFC"/>
          </w:tcPr>
          <w:p>
            <w:r>
              <w:rPr>
                <w:sz w:val="17"/>
              </w:rPr>
              <w:t>38.0%</w:t>
            </w:r>
          </w:p>
        </w:tc>
      </w:tr>
      <w:tr>
        <w:tc>
          <w:tcPr>
            <w:tcW w:type="dxa" w:w="1958"/>
          </w:tcPr>
          <w:p>
            <w:r>
              <w:rPr>
                <w:b/>
                <w:sz w:val="17"/>
              </w:rPr>
              <w:t>Total Enterprise Value (EV)</w:t>
            </w:r>
          </w:p>
        </w:tc>
        <w:tc>
          <w:tcPr>
            <w:tcW w:type="dxa" w:w="1958"/>
          </w:tcPr>
          <w:p>
            <w:r>
              <w:rPr>
                <w:b/>
                <w:sz w:val="17"/>
              </w:rPr>
              <w:t>$35,182.0 M</w:t>
            </w:r>
          </w:p>
        </w:tc>
        <w:tc>
          <w:tcPr>
            <w:tcW w:type="dxa" w:w="1958"/>
          </w:tcPr>
          <w:p>
            <w:r>
              <w:rPr>
                <w:b/>
                <w:sz w:val="17"/>
              </w:rPr>
              <w:t>—</w:t>
            </w:r>
          </w:p>
        </w:tc>
        <w:tc>
          <w:tcPr>
            <w:tcW w:type="dxa" w:w="1958"/>
          </w:tcPr>
          <w:p>
            <w:r>
              <w:rPr>
                <w:b/>
                <w:sz w:val="17"/>
              </w:rPr>
              <w:t>$99,916.9 M</w:t>
            </w:r>
          </w:p>
        </w:tc>
        <w:tc>
          <w:tcPr>
            <w:tcW w:type="dxa" w:w="1958"/>
          </w:tcPr>
          <w:p>
            <w:r>
              <w:rPr>
                <w:b/>
                <w:sz w:val="17"/>
              </w:rPr>
              <w:t>100.0%</w:t>
            </w:r>
          </w:p>
        </w:tc>
      </w:tr>
      <w:tr>
        <w:tc>
          <w:tcPr>
            <w:tcW w:type="dxa" w:w="1958"/>
            <w:shd w:fill="F7FAFC"/>
          </w:tcPr>
          <w:p>
            <w:r>
              <w:rPr>
                <w:b/>
                <w:sz w:val="17"/>
              </w:rPr>
              <w:t>(-) Deuda Neta</w:t>
            </w:r>
          </w:p>
        </w:tc>
        <w:tc>
          <w:tcPr>
            <w:tcW w:type="dxa" w:w="1958"/>
            <w:shd w:fill="F7FAFC"/>
          </w:tcPr>
          <w:p>
            <w:r>
              <w:rPr>
                <w:sz w:val="17"/>
              </w:rPr>
              <w:t>—</w:t>
            </w:r>
          </w:p>
        </w:tc>
        <w:tc>
          <w:tcPr>
            <w:tcW w:type="dxa" w:w="1958"/>
            <w:shd w:fill="F7FAFC"/>
          </w:tcPr>
          <w:p>
            <w:r>
              <w:rPr>
                <w:sz w:val="17"/>
              </w:rPr>
              <w:t>—</w:t>
            </w:r>
          </w:p>
        </w:tc>
        <w:tc>
          <w:tcPr>
            <w:tcW w:type="dxa" w:w="1958"/>
            <w:shd w:fill="F7FAFC"/>
          </w:tcPr>
          <w:p>
            <w:r>
              <w:rPr>
                <w:b/>
                <w:sz w:val="17"/>
              </w:rPr>
              <w:t>$-4,896.0 M</w:t>
            </w:r>
          </w:p>
        </w:tc>
        <w:tc>
          <w:tcPr>
            <w:tcW w:type="dxa" w:w="1958"/>
            <w:shd w:fill="F7FAFC"/>
          </w:tcPr>
          <w:p>
            <w:r>
              <w:rPr>
                <w:sz w:val="17"/>
              </w:rPr>
              <w:t>—</w:t>
            </w:r>
          </w:p>
        </w:tc>
      </w:tr>
      <w:tr>
        <w:tc>
          <w:tcPr>
            <w:tcW w:type="dxa" w:w="1958"/>
          </w:tcPr>
          <w:p>
            <w:r>
              <w:rPr>
                <w:b/>
                <w:sz w:val="17"/>
              </w:rPr>
              <w:t>Equity Value Justificado SOTP</w:t>
            </w:r>
          </w:p>
        </w:tc>
        <w:tc>
          <w:tcPr>
            <w:tcW w:type="dxa" w:w="1958"/>
          </w:tcPr>
          <w:p>
            <w:r>
              <w:rPr>
                <w:b/>
                <w:sz w:val="17"/>
              </w:rPr>
              <w:t>—</w:t>
            </w:r>
          </w:p>
        </w:tc>
        <w:tc>
          <w:tcPr>
            <w:tcW w:type="dxa" w:w="1958"/>
          </w:tcPr>
          <w:p>
            <w:r>
              <w:rPr>
                <w:b/>
                <w:sz w:val="17"/>
              </w:rPr>
              <w:t>—</w:t>
            </w:r>
          </w:p>
        </w:tc>
        <w:tc>
          <w:tcPr>
            <w:tcW w:type="dxa" w:w="1958"/>
          </w:tcPr>
          <w:p>
            <w:r>
              <w:rPr>
                <w:b/>
                <w:sz w:val="17"/>
              </w:rPr>
              <w:t>$95,020.9 M</w:t>
            </w:r>
          </w:p>
        </w:tc>
        <w:tc>
          <w:tcPr>
            <w:tcW w:type="dxa" w:w="1958"/>
          </w:tcPr>
          <w:p>
            <w:r>
              <w:rPr>
                <w:b/>
                <w:sz w:val="17"/>
              </w:rPr>
              <w:t>$1874.28/sh (+2.9%)</w:t>
            </w:r>
          </w:p>
        </w:tc>
      </w:tr>
    </w:tbl>
    <w:p/>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3/6</w:t>
            </w:r>
          </w:p>
        </w:tc>
        <w:tc>
          <w:tcPr>
            <w:tcW w:type="dxa" w:w="2448"/>
            <w:shd w:fill="F7FAFC"/>
          </w:tcPr>
          <w:p>
            <w:r>
              <w:rPr>
                <w:b/>
                <w:sz w:val="17"/>
              </w:rPr>
              <w:t>CALIDAD SÓLIDA / BAJO RIESGO</w:t>
            </w:r>
          </w:p>
        </w:tc>
        <w:tc>
          <w:tcPr>
            <w:tcW w:type="dxa" w:w="2448"/>
            <w:shd w:fill="F7FAFC"/>
          </w:tcPr>
          <w:p>
            <w:r>
              <w:rPr>
                <w:sz w:val="17"/>
              </w:rPr>
              <w:t>Ganancias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18.1%</w:t>
            </w:r>
          </w:p>
        </w:tc>
        <w:tc>
          <w:tcPr>
            <w:tcW w:type="dxa" w:w="2448"/>
            <w:shd w:fill="F7FAFC"/>
          </w:tcPr>
          <w:p>
            <w:r>
              <w:rPr>
                <w:b/>
                <w:sz w:val="17"/>
              </w:rPr>
              <w:t>CREADOR DE VALOR</w:t>
            </w:r>
          </w:p>
        </w:tc>
        <w:tc>
          <w:tcPr>
            <w:tcW w:type="dxa" w:w="2448"/>
            <w:shd w:fill="F7FAFC"/>
          </w:tcPr>
          <w:p>
            <w:r>
              <w:rPr>
                <w:sz w:val="17"/>
              </w:rPr>
              <w:t>Spread económico de +7.1 pp sobre WACC (Creación de valor de élite).</w:t>
            </w:r>
          </w:p>
        </w:tc>
      </w:tr>
      <w:tr>
        <w:tc>
          <w:tcPr>
            <w:tcW w:type="dxa" w:w="2448"/>
          </w:tcPr>
          <w:p>
            <w:r>
              <w:rPr>
                <w:b/>
                <w:sz w:val="17"/>
              </w:rPr>
              <w:t>Valoración de Mercado</w:t>
            </w:r>
          </w:p>
        </w:tc>
        <w:tc>
          <w:tcPr>
            <w:tcW w:type="dxa" w:w="2448"/>
          </w:tcPr>
          <w:p>
            <w:r>
              <w:rPr>
                <w:sz w:val="17"/>
              </w:rPr>
              <w:t>Crecimiento Implícito: 14.0% - 1.4%</w:t>
            </w:r>
          </w:p>
        </w:tc>
        <w:tc>
          <w:tcPr>
            <w:tcW w:type="dxa" w:w="2448"/>
          </w:tcPr>
          <w:p>
            <w:r>
              <w:rPr>
                <w:b/>
                <w:sz w:val="17"/>
              </w:rPr>
              <w:t>VALORACIÓN EXIGENTE</w:t>
            </w:r>
          </w:p>
        </w:tc>
        <w:tc>
          <w:tcPr>
            <w:tcW w:type="dxa" w:w="2448"/>
          </w:tcPr>
          <w:p>
            <w:r>
              <w:rPr>
                <w:sz w:val="17"/>
              </w:rPr>
              <w:t>Exigencia asumible (+14.0% anual); alineada con el ritmo tendencial de la empresa y su sector.</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