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17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29.2%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(+0.4%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20.8%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(+1.8%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$2,637.7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23.9%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(+1.9%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$2,751.8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24.9%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(+0.5%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$137.8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1.2%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(-5.7%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Wholesale (29.2% de facturación): </w:t>
      </w:r>
      <w:r>
        <w:rPr>
          <w:rFonts w:ascii="Calibri" w:hAnsi="Calibri"/>
          <w:i w:val="0"/>
          <w:color w:val="2D3748"/>
          <w:sz w:val="20"/>
        </w:rPr>
        <w:t>Genera $3,222.4 M (+0.4% YoY), consolidándose como pilar operativo clave de Deckers Outdoor Corporation.</w:t>
      </w:r>
    </w:p>
    <w:p>
      <w:pPr>
        <w:spacing w:before="40" w:after="80" w:line="276" w:lineRule="auto"/>
      </w:pPr>
      <w:r>
        <w:rPr>
          <w:rFonts w:ascii="Calibri" w:hAnsi="Calibri"/>
          <w:b/>
          <w:color w:val="2D3748"/>
          <w:sz w:val="20"/>
        </w:rPr>
        <w:t xml:space="preserve">• Direct-to-Consumer (20.8% de facturación): </w:t>
      </w:r>
      <w:r>
        <w:rPr>
          <w:rFonts w:ascii="Calibri" w:hAnsi="Calibri"/>
          <w:i w:val="0"/>
          <w:color w:val="2D3748"/>
          <w:sz w:val="20"/>
        </w:rPr>
        <w:t>Genera $2,304.8 M (+1.8% YoY), consolidándose como pilar operativo clave de Deckers Outdoor Corporation.</w:t>
      </w:r>
    </w:p>
    <w:p>
      <w:pPr>
        <w:spacing w:before="40" w:after="80" w:line="276" w:lineRule="auto"/>
      </w:pPr>
      <w:r>
        <w:rPr>
          <w:rFonts w:ascii="Calibri" w:hAnsi="Calibri"/>
          <w:b/>
          <w:color w:val="2D3748"/>
          <w:sz w:val="20"/>
        </w:rPr>
        <w:t xml:space="preserve">• HOKA (23.9% de facturación): </w:t>
      </w:r>
      <w:r>
        <w:rPr>
          <w:rFonts w:ascii="Calibri" w:hAnsi="Calibri"/>
          <w:i w:val="0"/>
          <w:color w:val="2D3748"/>
          <w:sz w:val="20"/>
        </w:rPr>
        <w:t>Genera $2,637.7 M (+1.9% YoY), consolidándose como pilar operativo clave de Deckers Outdoor Corporation.</w:t>
      </w:r>
    </w:p>
    <w:p>
      <w:pPr>
        <w:spacing w:before="40" w:after="80" w:line="276" w:lineRule="auto"/>
      </w:pPr>
      <w:r>
        <w:rPr>
          <w:rFonts w:ascii="Calibri" w:hAnsi="Calibri"/>
          <w:b/>
          <w:color w:val="2D3748"/>
          <w:sz w:val="20"/>
        </w:rPr>
        <w:t xml:space="preserve">• UGG (24.9% de facturación): </w:t>
      </w:r>
      <w:r>
        <w:rPr>
          <w:rFonts w:ascii="Calibri" w:hAnsi="Calibri"/>
          <w:i w:val="0"/>
          <w:color w:val="2D3748"/>
          <w:sz w:val="20"/>
        </w:rPr>
        <w:t>Genera $2,751.8 M (+0.5%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$3,207.7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(+0.5%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$2,319.6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31.8%</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(+1.7%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(44.0% del total): </w:t>
      </w:r>
      <w:r>
        <w:rPr>
          <w:rFonts w:ascii="Calibri" w:hAnsi="Calibri"/>
          <w:i w:val="0"/>
          <w:color w:val="2D3748"/>
          <w:sz w:val="20"/>
        </w:rPr>
        <w:t>Aporta $3,207.7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(31.8% del total): </w:t>
      </w:r>
      <w:r>
        <w:rPr>
          <w:rFonts w:ascii="Calibri" w:hAnsi="Calibri"/>
          <w:i w:val="0"/>
          <w:color w:val="2D3748"/>
          <w:sz w:val="20"/>
        </w:rPr>
        <w:t>Aporta $2,319.6 M con variación YoY de +1.7%,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-3.2% Anual a 10 Años (vs. 16.5% Histórico)</w:t>
        <w:br/>
        <w:t>• Veredicto: Descuenta expectativas de -3.2%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-3.6%</w:t>
            </w:r>
          </w:p>
        </w:tc>
        <w:tc>
          <w:tcPr>
            <w:tcW w:type="dxa" w:w="1224"/>
          </w:tcPr>
          <w:p>
            <w:r>
              <w:rPr>
                <w:sz w:val="16"/>
              </w:rPr>
              <w:t>-4.0%</w:t>
            </w:r>
          </w:p>
        </w:tc>
        <w:tc>
          <w:tcPr>
            <w:tcW w:type="dxa" w:w="1224"/>
          </w:tcPr>
          <w:p>
            <w:r>
              <w:rPr>
                <w:sz w:val="16"/>
              </w:rPr>
              <w:t>-4.4%</w:t>
            </w:r>
          </w:p>
        </w:tc>
        <w:tc>
          <w:tcPr>
            <w:tcW w:type="dxa" w:w="1224"/>
          </w:tcPr>
          <w:p>
            <w:r>
              <w:rPr>
                <w:b/>
                <w:sz w:val="16"/>
              </w:rPr>
              <w:t>-4.8%</w:t>
            </w:r>
          </w:p>
        </w:tc>
        <w:tc>
          <w:tcPr>
            <w:tcW w:type="dxa" w:w="1224"/>
          </w:tcPr>
          <w:p>
            <w:r>
              <w:rPr>
                <w:sz w:val="16"/>
              </w:rPr>
              <w:t>-5.3%</w:t>
            </w:r>
          </w:p>
        </w:tc>
        <w:tc>
          <w:tcPr>
            <w:tcW w:type="dxa" w:w="1224"/>
          </w:tcPr>
          <w:p>
            <w:r>
              <w:rPr>
                <w:sz w:val="16"/>
              </w:rPr>
              <w:t>-5.8%</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-2.9%</w:t>
            </w:r>
          </w:p>
        </w:tc>
        <w:tc>
          <w:tcPr>
            <w:tcW w:type="dxa" w:w="1224"/>
            <w:shd w:fill="F7FAFC"/>
          </w:tcPr>
          <w:p>
            <w:r>
              <w:rPr>
                <w:sz w:val="16"/>
              </w:rPr>
              <w:t>-3.2%</w:t>
            </w:r>
          </w:p>
        </w:tc>
        <w:tc>
          <w:tcPr>
            <w:tcW w:type="dxa" w:w="1224"/>
            <w:shd w:fill="F7FAFC"/>
          </w:tcPr>
          <w:p>
            <w:r>
              <w:rPr>
                <w:sz w:val="16"/>
              </w:rPr>
              <w:t>-3.6%</w:t>
            </w:r>
          </w:p>
        </w:tc>
        <w:tc>
          <w:tcPr>
            <w:tcW w:type="dxa" w:w="1224"/>
            <w:shd w:fill="F7FAFC"/>
          </w:tcPr>
          <w:p>
            <w:r>
              <w:rPr>
                <w:b/>
                <w:sz w:val="16"/>
              </w:rPr>
              <w:t>-4.0%</w:t>
            </w:r>
          </w:p>
        </w:tc>
        <w:tc>
          <w:tcPr>
            <w:tcW w:type="dxa" w:w="1224"/>
            <w:shd w:fill="F7FAFC"/>
          </w:tcPr>
          <w:p>
            <w:r>
              <w:rPr>
                <w:sz w:val="16"/>
              </w:rPr>
              <w:t>-4.4%</w:t>
            </w:r>
          </w:p>
        </w:tc>
        <w:tc>
          <w:tcPr>
            <w:tcW w:type="dxa" w:w="1224"/>
            <w:shd w:fill="F7FAFC"/>
          </w:tcPr>
          <w:p>
            <w:r>
              <w:rPr>
                <w:sz w:val="16"/>
              </w:rPr>
              <w:t>-4.9%</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-2.1%</w:t>
            </w:r>
          </w:p>
        </w:tc>
        <w:tc>
          <w:tcPr>
            <w:tcW w:type="dxa" w:w="1224"/>
            <w:shd w:fill="F7FAFC"/>
          </w:tcPr>
          <w:p>
            <w:r>
              <w:rPr>
                <w:b/>
                <w:sz w:val="16"/>
              </w:rPr>
              <w:t>-2.4%</w:t>
            </w:r>
          </w:p>
        </w:tc>
        <w:tc>
          <w:tcPr>
            <w:tcW w:type="dxa" w:w="1224"/>
            <w:shd w:fill="F7FAFC"/>
          </w:tcPr>
          <w:p>
            <w:r>
              <w:rPr>
                <w:b/>
                <w:sz w:val="16"/>
              </w:rPr>
              <w:t>-2.8%</w:t>
            </w:r>
          </w:p>
        </w:tc>
        <w:tc>
          <w:tcPr>
            <w:tcW w:type="dxa" w:w="1224"/>
            <w:shd w:fill="FFF2CC"/>
          </w:tcPr>
          <w:p>
            <w:r>
              <w:rPr>
                <w:b/>
                <w:sz w:val="16"/>
              </w:rPr>
              <w:t>-3.2%</w:t>
            </w:r>
          </w:p>
        </w:tc>
        <w:tc>
          <w:tcPr>
            <w:tcW w:type="dxa" w:w="1224"/>
            <w:shd w:fill="F7FAFC"/>
          </w:tcPr>
          <w:p>
            <w:r>
              <w:rPr>
                <w:b/>
                <w:sz w:val="16"/>
              </w:rPr>
              <w:t>-3.6%</w:t>
            </w:r>
          </w:p>
        </w:tc>
        <w:tc>
          <w:tcPr>
            <w:tcW w:type="dxa" w:w="1224"/>
            <w:shd w:fill="F7FAFC"/>
          </w:tcPr>
          <w:p>
            <w:r>
              <w:rPr>
                <w:b/>
                <w:sz w:val="16"/>
              </w:rPr>
              <w:t>-4.0%</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-1.4%</w:t>
            </w:r>
          </w:p>
        </w:tc>
        <w:tc>
          <w:tcPr>
            <w:tcW w:type="dxa" w:w="1224"/>
            <w:shd w:fill="F7FAFC"/>
          </w:tcPr>
          <w:p>
            <w:r>
              <w:rPr>
                <w:sz w:val="16"/>
              </w:rPr>
              <w:t>-1.7%</w:t>
            </w:r>
          </w:p>
        </w:tc>
        <w:tc>
          <w:tcPr>
            <w:tcW w:type="dxa" w:w="1224"/>
            <w:shd w:fill="F7FAFC"/>
          </w:tcPr>
          <w:p>
            <w:r>
              <w:rPr>
                <w:sz w:val="16"/>
              </w:rPr>
              <w:t>-2.0%</w:t>
            </w:r>
          </w:p>
        </w:tc>
        <w:tc>
          <w:tcPr>
            <w:tcW w:type="dxa" w:w="1224"/>
            <w:shd w:fill="F7FAFC"/>
          </w:tcPr>
          <w:p>
            <w:r>
              <w:rPr>
                <w:b/>
                <w:sz w:val="16"/>
              </w:rPr>
              <w:t>-2.4%</w:t>
            </w:r>
          </w:p>
        </w:tc>
        <w:tc>
          <w:tcPr>
            <w:tcW w:type="dxa" w:w="1224"/>
            <w:shd w:fill="F7FAFC"/>
          </w:tcPr>
          <w:p>
            <w:r>
              <w:rPr>
                <w:sz w:val="16"/>
              </w:rPr>
              <w:t>-2.8%</w:t>
            </w:r>
          </w:p>
        </w:tc>
        <w:tc>
          <w:tcPr>
            <w:tcW w:type="dxa" w:w="1224"/>
            <w:shd w:fill="F7FAFC"/>
          </w:tcPr>
          <w:p>
            <w:r>
              <w:rPr>
                <w:sz w:val="16"/>
              </w:rPr>
              <w:t>-3.2%</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-0.7%</w:t>
            </w:r>
          </w:p>
        </w:tc>
        <w:tc>
          <w:tcPr>
            <w:tcW w:type="dxa" w:w="1224"/>
          </w:tcPr>
          <w:p>
            <w:r>
              <w:rPr>
                <w:sz w:val="16"/>
              </w:rPr>
              <w:t>-1.0%</w:t>
            </w:r>
          </w:p>
        </w:tc>
        <w:tc>
          <w:tcPr>
            <w:tcW w:type="dxa" w:w="1224"/>
          </w:tcPr>
          <w:p>
            <w:r>
              <w:rPr>
                <w:sz w:val="16"/>
              </w:rPr>
              <w:t>-1.3%</w:t>
            </w:r>
          </w:p>
        </w:tc>
        <w:tc>
          <w:tcPr>
            <w:tcW w:type="dxa" w:w="1224"/>
          </w:tcPr>
          <w:p>
            <w:r>
              <w:rPr>
                <w:b/>
                <w:sz w:val="16"/>
              </w:rPr>
              <w:t>-1.6%</w:t>
            </w:r>
          </w:p>
        </w:tc>
        <w:tc>
          <w:tcPr>
            <w:tcW w:type="dxa" w:w="1224"/>
          </w:tcPr>
          <w:p>
            <w:r>
              <w:rPr>
                <w:sz w:val="16"/>
              </w:rPr>
              <w:t>-2.0%</w:t>
            </w:r>
          </w:p>
        </w:tc>
        <w:tc>
          <w:tcPr>
            <w:tcW w:type="dxa" w:w="1224"/>
          </w:tcPr>
          <w:p>
            <w:r>
              <w:rPr>
                <w:sz w:val="16"/>
              </w:rPr>
              <w:t>-2.3%</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-3.2% - -5.4%</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