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+40.06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10.00% (Costo del Equity Ke: 10.10%, Deuda Neta Kd: 3.67%).</w:t>
            </w:r>
          </w:p>
          <w:p>
            <w:pPr>
              <w:spacing w:before="40" w:after="40" w:line="276" w:lineRule="auto"/>
            </w:pPr>
            <w:r>
              <w:rPr>
                <w:rFonts w:ascii="Calibri" w:hAnsi="Calibri"/>
                <w:color w:val="2D3748"/>
                <w:sz w:val="19"/>
              </w:rPr>
              <w:t>• Spread Económico Neto: +40.06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(10.00%) por más de 40.06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$347.73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$5,074,834.2M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+32.56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+30.04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+38.15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+40.06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(10.00%) = +40.06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3.67%</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10.00%</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+40.06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42.4x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$3,650.0M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42.4x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2.49%</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$347.73  |  WACC Auditado: 10.0% (Rf: 4.99%,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$347.73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4.43%</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3.67%</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9.00%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13.1%</w:t>
            </w:r>
          </w:p>
        </w:tc>
        <w:tc>
          <w:tcPr>
            <w:tcW w:type="dxa" w:w="1224"/>
          </w:tcPr>
          <w:p>
            <w:r>
              <w:rPr>
                <w:sz w:val="16"/>
              </w:rPr>
              <w:t>12.3%</w:t>
            </w:r>
          </w:p>
        </w:tc>
        <w:tc>
          <w:tcPr>
            <w:tcW w:type="dxa" w:w="1224"/>
          </w:tcPr>
          <w:p>
            <w:r>
              <w:rPr>
                <w:sz w:val="16"/>
              </w:rPr>
              <w:t>Escenario favorable; exigencia de crecimiento más moderada.</w:t>
            </w:r>
          </w:p>
        </w:tc>
      </w:tr>
      <w:tr>
        <w:tc>
          <w:tcPr>
            <w:tcW w:type="dxa" w:w="1224"/>
            <w:shd w:fill="F7FAFC"/>
          </w:tcPr>
          <w:p>
            <w:r>
              <w:rPr>
                <w:sz w:val="16"/>
              </w:rPr>
              <w:t>9.50% (Favorable)</w:t>
            </w:r>
          </w:p>
        </w:tc>
        <w:tc>
          <w:tcPr>
            <w:tcW w:type="dxa" w:w="1224"/>
            <w:shd w:fill="F7FAFC"/>
          </w:tcPr>
          <w:p>
            <w:r>
              <w:rPr>
                <w:sz w:val="16"/>
              </w:rPr>
              <w:t>16.8%</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13.6%</w:t>
            </w:r>
          </w:p>
        </w:tc>
        <w:tc>
          <w:tcPr>
            <w:tcW w:type="dxa" w:w="1224"/>
            <w:shd w:fill="F7FAFC"/>
          </w:tcPr>
          <w:p>
            <w:r>
              <w:rPr>
                <w:sz w:val="16"/>
              </w:rPr>
              <w:t>Escenario de sensibilidad operativa.</w:t>
            </w:r>
          </w:p>
        </w:tc>
      </w:tr>
      <w:tr>
        <w:tc>
          <w:tcPr>
            <w:tcW w:type="dxa" w:w="1224"/>
            <w:shd w:fill="F7FAFC"/>
          </w:tcPr>
          <w:p>
            <w:r>
              <w:rPr>
                <w:sz w:val="16"/>
              </w:rPr>
              <w:t>10.00% (WACC Auditado Base)</w:t>
            </w:r>
          </w:p>
        </w:tc>
        <w:tc>
          <w:tcPr>
            <w:tcW w:type="dxa" w:w="1224"/>
            <w:shd w:fill="F7FAFC"/>
          </w:tcPr>
          <w:p>
            <w:r>
              <w:rPr>
                <w:b/>
                <w:sz w:val="16"/>
              </w:rPr>
              <w:t>17.9%</w:t>
            </w:r>
          </w:p>
        </w:tc>
        <w:tc>
          <w:tcPr>
            <w:tcW w:type="dxa" w:w="1224"/>
            <w:shd w:fill="F7FAFC"/>
          </w:tcPr>
          <w:p>
            <w:r>
              <w:rPr>
                <w:b/>
                <w:sz w:val="16"/>
              </w:rPr>
              <w:t>17.3%</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15.5%</w:t>
            </w:r>
          </w:p>
        </w:tc>
        <w:tc>
          <w:tcPr>
            <w:tcW w:type="dxa" w:w="1224"/>
            <w:shd w:fill="F7FAFC"/>
          </w:tcPr>
          <w:p>
            <w:r>
              <w:rPr>
                <w:b/>
                <w:sz w:val="16"/>
              </w:rPr>
              <w:t>14.8%</w:t>
            </w:r>
          </w:p>
        </w:tc>
        <w:tc>
          <w:tcPr>
            <w:tcW w:type="dxa" w:w="1224"/>
            <w:shd w:fill="F7FAFC"/>
          </w:tcPr>
          <w:p>
            <w:r>
              <w:rPr>
                <w:sz w:val="16"/>
              </w:rPr>
              <w:t>ESCENARIO CENTRAL: Crecimiento implícito real de mercado.</w:t>
            </w:r>
          </w:p>
        </w:tc>
      </w:tr>
      <w:tr>
        <w:tc>
          <w:tcPr>
            <w:tcW w:type="dxa" w:w="1224"/>
            <w:shd w:fill="F7FAFC"/>
          </w:tcPr>
          <w:p>
            <w:r>
              <w:rPr>
                <w:sz w:val="16"/>
              </w:rPr>
              <w:t>10.50% (Exigente)</w:t>
            </w:r>
          </w:p>
        </w:tc>
        <w:tc>
          <w:tcPr>
            <w:tcW w:type="dxa" w:w="1224"/>
            <w:shd w:fill="F7FAFC"/>
          </w:tcPr>
          <w:p>
            <w:r>
              <w:rPr>
                <w:sz w:val="16"/>
              </w:rPr>
              <w:t>18.8%</w:t>
            </w:r>
          </w:p>
        </w:tc>
        <w:tc>
          <w:tcPr>
            <w:tcW w:type="dxa" w:w="1224"/>
            <w:shd w:fill="F7FAFC"/>
          </w:tcPr>
          <w:p>
            <w:r>
              <w:rPr>
                <w:sz w:val="16"/>
              </w:rPr>
              <w:t>18.3%</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16.0%</w:t>
            </w:r>
          </w:p>
        </w:tc>
        <w:tc>
          <w:tcPr>
            <w:tcW w:type="dxa" w:w="1224"/>
            <w:shd w:fill="F7FAFC"/>
          </w:tcPr>
          <w:p>
            <w:r>
              <w:rPr>
                <w:sz w:val="16"/>
              </w:rPr>
              <w:t>Escenario de sensibilidad operativa.</w:t>
            </w:r>
          </w:p>
        </w:tc>
      </w:tr>
      <w:tr>
        <w:tc>
          <w:tcPr>
            <w:tcW w:type="dxa" w:w="1224"/>
          </w:tcPr>
          <w:p>
            <w:r>
              <w:rPr>
                <w:sz w:val="16"/>
              </w:rPr>
              <w:t>11.00% (Estrés / Tipos Altos)</w:t>
            </w:r>
          </w:p>
        </w:tc>
        <w:tc>
          <w:tcPr>
            <w:tcW w:type="dxa" w:w="1224"/>
          </w:tcPr>
          <w:p>
            <w:r>
              <w:rPr>
                <w:sz w:val="16"/>
              </w:rPr>
              <w:t>19.8%</w:t>
            </w:r>
          </w:p>
        </w:tc>
        <w:tc>
          <w:tcPr>
            <w:tcW w:type="dxa" w:w="1224"/>
          </w:tcPr>
          <w:p>
            <w:r>
              <w:rPr>
                <w:sz w:val="16"/>
              </w:rPr>
              <w:t>19.3%</w:t>
            </w:r>
          </w:p>
        </w:tc>
        <w:tc>
          <w:tcPr>
            <w:tcW w:type="dxa" w:w="1224"/>
          </w:tcPr>
          <w:p>
            <w:r>
              <w:rPr>
                <w:sz w:val="16"/>
              </w:rPr>
              <w:t>18.8%</w:t>
            </w:r>
          </w:p>
        </w:tc>
        <w:tc>
          <w:tcPr>
            <w:tcW w:type="dxa" w:w="1224"/>
          </w:tcPr>
          <w:p>
            <w:r>
              <w:rPr>
                <w:b/>
                <w:sz w:val="16"/>
              </w:rPr>
              <w:t>18.3%</w:t>
            </w:r>
          </w:p>
        </w:tc>
        <w:tc>
          <w:tcPr>
            <w:tcW w:type="dxa" w:w="1224"/>
          </w:tcPr>
          <w:p>
            <w:r>
              <w:rPr>
                <w:sz w:val="16"/>
              </w:rPr>
              <w:t>17.7%</w:t>
            </w:r>
          </w:p>
        </w:tc>
        <w:tc>
          <w:tcPr>
            <w:tcW w:type="dxa" w:w="1224"/>
          </w:tcPr>
          <w:p>
            <w:r>
              <w:rPr>
                <w:sz w:val="16"/>
              </w:rPr>
              <w:t>17.1%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42.4x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16.2% - 20.7%</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