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24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Segmento Comercio Electrónico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$19,350.1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$15,891.2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55.0%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Segmento FinTech y Servicios Financieros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$15,831.9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$13,001.9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45.0%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Segmento Comercio Electrónico (55.0% de facturación): </w:t>
      </w:r>
      <w:r>
        <w:rPr>
          <w:rFonts w:ascii="Calibri" w:hAnsi="Calibri"/>
          <w:i w:val="0"/>
          <w:color w:val="2D3748"/>
          <w:sz w:val="20"/>
        </w:rPr>
        <w:t>Genera $19,350.1 M (+21.8% YoY), consolidándose como pilar operativo clave de MercadoLibre, Inc..</w:t>
      </w:r>
    </w:p>
    <w:p>
      <w:pPr>
        <w:spacing w:before="40" w:after="80" w:line="276" w:lineRule="auto"/>
      </w:pPr>
      <w:r>
        <w:rPr>
          <w:rFonts w:ascii="Calibri" w:hAnsi="Calibri"/>
          <w:b/>
          <w:color w:val="2D3748"/>
          <w:sz w:val="20"/>
        </w:rPr>
        <w:t xml:space="preserve">• Segmento FinTech y Servicios Financieros (45.0% de facturación): </w:t>
      </w:r>
      <w:r>
        <w:rPr>
          <w:rFonts w:ascii="Calibri" w:hAnsi="Calibri"/>
          <w:i w:val="0"/>
          <w:color w:val="2D3748"/>
          <w:sz w:val="20"/>
        </w:rPr>
        <w:t>Genera $15,831.9 M (+21.8% YoY), consolidándose como pilar operativo clave de MercadoLibre,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$15,457.8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$8,514.0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$6,992.1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Argentina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$6,367.9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$5,229.6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18.1%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Otros Mercados Internacionales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$1,477.6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$1,213.5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3 / 8 Puntos | CRECIMIENTO FRÁGIL</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($13,905.0M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0.75x vs 0.85x (-0.10x)).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3.96%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$13,905.0M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4.0% vs 5.9% (-1.92%)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0.75x vs 0.85x (-0.10x)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8 Puntos en LTM (CRECIMIENTO FRÁGIL) (5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3/8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0.16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6.04%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3.51%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-13.86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0.160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50.41%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+7.32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50.24%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37.84%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43.95%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+6.11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48.22%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0.785x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0.69x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-25.23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NARROW MOAT / CREACIÓN DE VALOR SOSTENIBLE (SPREAD +7.07 p.p.)</w:t>
              <w:br/>
            </w:r>
          </w:p>
          <w:p>
            <w:pPr>
              <w:spacing w:before="40" w:after="40" w:line="276" w:lineRule="auto"/>
            </w:pPr>
            <w:r>
              <w:rPr>
                <w:rFonts w:ascii="Calibri" w:hAnsi="Calibri"/>
                <w:color w:val="2D3748"/>
                <w:sz w:val="19"/>
              </w:rPr>
              <w:t>• ROC Greenblatt Tangible (LTM): 82.36% (Productividad operativa pura pre-tax sobre capital de trabajo y PP&amp;E físico instalado).</w:t>
            </w:r>
          </w:p>
          <w:p>
            <w:pPr>
              <w:spacing w:before="40" w:after="40" w:line="276" w:lineRule="auto"/>
            </w:pPr>
            <w:r>
              <w:rPr>
                <w:rFonts w:ascii="Calibri" w:hAnsi="Calibri"/>
                <w:color w:val="2D3748"/>
                <w:sz w:val="19"/>
              </w:rPr>
              <w:t>• ROIC Ajustado por Intangibles (LTM): 18.10% frente a un ROIC contable tradicional de 25.45%.</w:t>
            </w:r>
          </w:p>
          <w:p>
            <w:pPr>
              <w:spacing w:before="40" w:after="40" w:line="276" w:lineRule="auto"/>
            </w:pPr>
            <w:r>
              <w:rPr>
                <w:rFonts w:ascii="Calibri" w:hAnsi="Calibri"/>
                <w:color w:val="2D3748"/>
                <w:sz w:val="19"/>
              </w:rPr>
              <w:t>• Costo Promedio Ponderado de Capital (WACC): 11.03% (Costo del Equity Ke: 11.67%, Deuda Neta Kd: 5.50%).</w:t>
            </w:r>
          </w:p>
          <w:p>
            <w:pPr>
              <w:spacing w:before="40" w:after="40" w:line="276" w:lineRule="auto"/>
            </w:pPr>
            <w:r>
              <w:rPr>
                <w:rFonts w:ascii="Calibri" w:hAnsi="Calibri"/>
                <w:color w:val="2D3748"/>
                <w:sz w:val="19"/>
              </w:rPr>
              <w:t>• Spread Económico Neto: +7.07 p.p. de rendimiento por encima del costo de capital exigido por el mercado.</w:t>
            </w:r>
          </w:p>
          <w:p>
            <w:pPr>
              <w:spacing w:before="40" w:after="40" w:line="276" w:lineRule="auto"/>
            </w:pPr>
            <w:r>
              <w:rPr>
                <w:rFonts w:ascii="Calibri" w:hAnsi="Calibri"/>
                <w:color w:val="2D3748"/>
                <w:sz w:val="19"/>
              </w:rPr>
              <w:t>• Stock de Intangibles Fuera de Balance: $7,912.4M capitalizados en innovación y amortizados económicamente a 3 años.</w:t>
            </w:r>
          </w:p>
          <w:p>
            <w:pPr>
              <w:spacing w:before="40" w:after="40" w:line="276" w:lineRule="auto"/>
            </w:pPr>
            <w:r>
              <w:rPr>
                <w:rFonts w:ascii="Calibri" w:hAnsi="Calibri"/>
                <w:color w:val="2D3748"/>
                <w:sz w:val="19"/>
              </w:rPr>
              <w:t>• Tesis de Foso Defensivo: El negocio genera un Spread positivo de +7.07 p.p. sobre el WACC (11.03%), demostrando capacidad de generar valor económico superior a la media de forma constante frente a sus competidores.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$1821.81</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$92,360.8M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82.36%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$2,725.0M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$3,486.0M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$3,529.5M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82.36%</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(25.45%) sobrestima el retorno al mandar el I+D a gasto inmediato. La metodología Damodaran capitaliza la innovación a 3 años, reconociendo $7,912.4M de intangibles fuera de balance. El ROIC Ajustado resultante de 18.10% refleja el verdadero retorno económico sobre el capital total invertido ($18,531.3M).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73.58%</w:t>
            </w:r>
          </w:p>
        </w:tc>
        <w:tc>
          <w:tcPr>
            <w:tcW w:type="dxa" w:w="1399"/>
            <w:tcMar>
              <w:top w:w="60" w:type="dxa"/>
              <w:bottom w:w="60" w:type="dxa"/>
              <w:left w:w="100" w:type="dxa"/>
              <w:right w:w="100" w:type="dxa"/>
            </w:tcMar>
          </w:tcPr>
          <w:p>
            <w:r>
              <w:rPr>
                <w:b/>
                <w:sz w:val="17"/>
              </w:rPr>
              <w:t>30.88%</w:t>
            </w:r>
          </w:p>
        </w:tc>
        <w:tc>
          <w:tcPr>
            <w:tcW w:type="dxa" w:w="1399"/>
            <w:tcMar>
              <w:top w:w="60" w:type="dxa"/>
              <w:bottom w:w="60" w:type="dxa"/>
              <w:left w:w="100" w:type="dxa"/>
              <w:right w:w="100" w:type="dxa"/>
            </w:tcMar>
          </w:tcPr>
          <w:p>
            <w:r>
              <w:rPr>
                <w:b/>
                <w:sz w:val="17"/>
              </w:rPr>
              <w:t>36.82%</w:t>
            </w:r>
          </w:p>
        </w:tc>
        <w:tc>
          <w:tcPr>
            <w:tcW w:type="dxa" w:w="1399"/>
            <w:tcMar>
              <w:top w:w="60" w:type="dxa"/>
              <w:bottom w:w="60" w:type="dxa"/>
              <w:left w:w="100" w:type="dxa"/>
              <w:right w:w="100" w:type="dxa"/>
            </w:tcMar>
          </w:tcPr>
          <w:p>
            <w:r>
              <w:rPr>
                <w:sz w:val="17"/>
              </w:rPr>
              <w:t>$1,738.6M</w:t>
            </w:r>
          </w:p>
        </w:tc>
        <w:tc>
          <w:tcPr>
            <w:tcW w:type="dxa" w:w="1399"/>
            <w:tcMar>
              <w:top w:w="60" w:type="dxa"/>
              <w:bottom w:w="60" w:type="dxa"/>
              <w:left w:w="100" w:type="dxa"/>
              <w:right w:w="100" w:type="dxa"/>
            </w:tcMar>
          </w:tcPr>
          <w:p>
            <w:r>
              <w:rPr>
                <w:sz w:val="17"/>
              </w:rPr>
              <w:t>$2,777.4M</w:t>
            </w:r>
          </w:p>
        </w:tc>
        <w:tc>
          <w:tcPr>
            <w:tcW w:type="dxa" w:w="1399"/>
            <w:tcMar>
              <w:top w:w="60" w:type="dxa"/>
              <w:bottom w:w="60" w:type="dxa"/>
              <w:left w:w="100" w:type="dxa"/>
              <w:right w:w="100" w:type="dxa"/>
            </w:tcMar>
          </w:tcPr>
          <w:p>
            <w:r>
              <w:rPr>
                <w:b/>
                <w:sz w:val="17"/>
              </w:rPr>
              <w:t>+25.79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93.73%</w:t>
            </w:r>
          </w:p>
        </w:tc>
        <w:tc>
          <w:tcPr>
            <w:tcW w:type="dxa" w:w="1399"/>
            <w:tcMar>
              <w:top w:w="60" w:type="dxa"/>
              <w:bottom w:w="60" w:type="dxa"/>
              <w:left w:w="100" w:type="dxa"/>
              <w:right w:w="100" w:type="dxa"/>
            </w:tcMar>
            <w:shd w:fill="F7FAFC"/>
          </w:tcPr>
          <w:p>
            <w:r>
              <w:rPr>
                <w:b/>
                <w:sz w:val="17"/>
              </w:rPr>
              <w:t>41.09%</w:t>
            </w:r>
          </w:p>
        </w:tc>
        <w:tc>
          <w:tcPr>
            <w:tcW w:type="dxa" w:w="1399"/>
            <w:tcMar>
              <w:top w:w="60" w:type="dxa"/>
              <w:bottom w:w="60" w:type="dxa"/>
              <w:left w:w="100" w:type="dxa"/>
              <w:right w:w="100" w:type="dxa"/>
            </w:tcMar>
            <w:shd w:fill="F7FAFC"/>
          </w:tcPr>
          <w:p>
            <w:r>
              <w:rPr>
                <w:b/>
                <w:sz w:val="17"/>
              </w:rPr>
              <w:t>45.18%</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$4,822.2M</w:t>
            </w:r>
          </w:p>
        </w:tc>
        <w:tc>
          <w:tcPr>
            <w:tcW w:type="dxa" w:w="1399"/>
            <w:tcMar>
              <w:top w:w="60" w:type="dxa"/>
              <w:bottom w:w="60" w:type="dxa"/>
              <w:left w:w="100" w:type="dxa"/>
              <w:right w:w="100" w:type="dxa"/>
            </w:tcMar>
            <w:shd w:fill="F7FAFC"/>
          </w:tcPr>
          <w:p>
            <w:r>
              <w:rPr>
                <w:b/>
                <w:sz w:val="17"/>
              </w:rPr>
              <w:t>+34.15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139.46%</w:t>
            </w:r>
          </w:p>
        </w:tc>
        <w:tc>
          <w:tcPr>
            <w:tcW w:type="dxa" w:w="1399"/>
            <w:tcMar>
              <w:top w:w="60" w:type="dxa"/>
              <w:bottom w:w="60" w:type="dxa"/>
              <w:left w:w="100" w:type="dxa"/>
              <w:right w:w="100" w:type="dxa"/>
            </w:tcMar>
          </w:tcPr>
          <w:p>
            <w:r>
              <w:rPr>
                <w:b/>
                <w:sz w:val="17"/>
              </w:rPr>
              <w:t>59.42%</w:t>
            </w:r>
          </w:p>
        </w:tc>
        <w:tc>
          <w:tcPr>
            <w:tcW w:type="dxa" w:w="1399"/>
            <w:tcMar>
              <w:top w:w="60" w:type="dxa"/>
              <w:bottom w:w="60" w:type="dxa"/>
              <w:left w:w="100" w:type="dxa"/>
              <w:right w:w="100" w:type="dxa"/>
            </w:tcMar>
          </w:tcPr>
          <w:p>
            <w:r>
              <w:rPr>
                <w:b/>
                <w:sz w:val="17"/>
              </w:rPr>
              <w:t>50.17%</w:t>
            </w:r>
          </w:p>
        </w:tc>
        <w:tc>
          <w:tcPr>
            <w:tcW w:type="dxa" w:w="1399"/>
            <w:tcMar>
              <w:top w:w="60" w:type="dxa"/>
              <w:bottom w:w="60" w:type="dxa"/>
              <w:left w:w="100" w:type="dxa"/>
              <w:right w:w="100" w:type="dxa"/>
            </w:tcMar>
          </w:tcPr>
          <w:p>
            <w:r>
              <w:rPr>
                <w:sz w:val="17"/>
              </w:rPr>
              <w:t>$4,622.2M</w:t>
            </w:r>
          </w:p>
        </w:tc>
        <w:tc>
          <w:tcPr>
            <w:tcW w:type="dxa" w:w="1399"/>
            <w:tcMar>
              <w:top w:w="60" w:type="dxa"/>
              <w:bottom w:w="60" w:type="dxa"/>
              <w:left w:w="100" w:type="dxa"/>
              <w:right w:w="100" w:type="dxa"/>
            </w:tcMar>
          </w:tcPr>
          <w:p>
            <w:r>
              <w:rPr>
                <w:sz w:val="17"/>
              </w:rPr>
              <w:t>$7,321.0M</w:t>
            </w:r>
          </w:p>
        </w:tc>
        <w:tc>
          <w:tcPr>
            <w:tcW w:type="dxa" w:w="1399"/>
            <w:tcMar>
              <w:top w:w="60" w:type="dxa"/>
              <w:bottom w:w="60" w:type="dxa"/>
              <w:left w:w="100" w:type="dxa"/>
              <w:right w:w="100" w:type="dxa"/>
            </w:tcMar>
          </w:tcPr>
          <w:p>
            <w:r>
              <w:rPr>
                <w:b/>
                <w:sz w:val="17"/>
              </w:rPr>
              <w:t>+39.14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51.27%</w:t>
            </w:r>
          </w:p>
        </w:tc>
        <w:tc>
          <w:tcPr>
            <w:tcW w:type="dxa" w:w="1399"/>
            <w:tcMar>
              <w:top w:w="60" w:type="dxa"/>
              <w:bottom w:w="60" w:type="dxa"/>
              <w:left w:w="100" w:type="dxa"/>
              <w:right w:w="100" w:type="dxa"/>
            </w:tcMar>
            <w:shd w:fill="F7FAFC"/>
          </w:tcPr>
          <w:p>
            <w:r>
              <w:rPr>
                <w:b/>
                <w:sz w:val="17"/>
              </w:rPr>
              <w:t>36.86%</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+25.83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37.26%</w:t>
            </w:r>
          </w:p>
        </w:tc>
        <w:tc>
          <w:tcPr>
            <w:tcW w:type="dxa" w:w="1399"/>
            <w:tcMar>
              <w:top w:w="60" w:type="dxa"/>
              <w:bottom w:w="60" w:type="dxa"/>
              <w:left w:w="100" w:type="dxa"/>
              <w:right w:w="100" w:type="dxa"/>
            </w:tcMar>
          </w:tcPr>
          <w:p>
            <w:r>
              <w:rPr>
                <w:b/>
                <w:sz w:val="17"/>
              </w:rPr>
              <w:t>30.20%</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+19.17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82.36%</w:t>
            </w:r>
          </w:p>
        </w:tc>
        <w:tc>
          <w:tcPr>
            <w:tcW w:type="dxa" w:w="1399"/>
            <w:tcMar>
              <w:top w:w="60" w:type="dxa"/>
              <w:bottom w:w="60" w:type="dxa"/>
              <w:left w:w="100" w:type="dxa"/>
              <w:right w:w="100" w:type="dxa"/>
            </w:tcMar>
            <w:shd w:fill="F7FAFC"/>
            <w:shd w:fill="E2EFDA"/>
          </w:tcPr>
          <w:p>
            <w:r>
              <w:rPr>
                <w:b/>
                <w:sz w:val="17"/>
              </w:rPr>
              <w:t>25.45%</w:t>
            </w:r>
          </w:p>
        </w:tc>
        <w:tc>
          <w:tcPr>
            <w:tcW w:type="dxa" w:w="1399"/>
            <w:tcMar>
              <w:top w:w="60" w:type="dxa"/>
              <w:bottom w:w="60" w:type="dxa"/>
              <w:left w:w="100" w:type="dxa"/>
              <w:right w:w="100" w:type="dxa"/>
            </w:tcMar>
            <w:shd w:fill="F7FAFC"/>
            <w:shd w:fill="E2EFDA"/>
          </w:tcPr>
          <w:p>
            <w:r>
              <w:rPr>
                <w:b/>
                <w:sz w:val="17"/>
              </w:rPr>
              <w:t>18.10%</w:t>
            </w:r>
          </w:p>
        </w:tc>
        <w:tc>
          <w:tcPr>
            <w:tcW w:type="dxa" w:w="1399"/>
            <w:tcMar>
              <w:top w:w="60" w:type="dxa"/>
              <w:bottom w:w="60" w:type="dxa"/>
              <w:left w:w="100" w:type="dxa"/>
              <w:right w:w="100" w:type="dxa"/>
            </w:tcMar>
            <w:shd w:fill="F7FAFC"/>
            <w:shd w:fill="E2EFDA"/>
          </w:tcPr>
          <w:p>
            <w:r>
              <w:rPr>
                <w:sz w:val="17"/>
              </w:rPr>
              <w:t>$7,912.4M</w:t>
            </w:r>
          </w:p>
        </w:tc>
        <w:tc>
          <w:tcPr>
            <w:tcW w:type="dxa" w:w="1399"/>
            <w:tcMar>
              <w:top w:w="60" w:type="dxa"/>
              <w:bottom w:w="60" w:type="dxa"/>
              <w:left w:w="100" w:type="dxa"/>
              <w:right w:w="100" w:type="dxa"/>
            </w:tcMar>
            <w:shd w:fill="F7FAFC"/>
            <w:shd w:fill="E2EFDA"/>
          </w:tcPr>
          <w:p>
            <w:r>
              <w:rPr>
                <w:sz w:val="17"/>
              </w:rPr>
              <w:t>$18,531.3M</w:t>
            </w:r>
          </w:p>
        </w:tc>
        <w:tc>
          <w:tcPr>
            <w:tcW w:type="dxa" w:w="1399"/>
            <w:tcMar>
              <w:top w:w="60" w:type="dxa"/>
              <w:bottom w:w="60" w:type="dxa"/>
              <w:left w:w="100" w:type="dxa"/>
              <w:right w:w="100" w:type="dxa"/>
            </w:tcMar>
            <w:shd w:fill="F7FAFC"/>
            <w:shd w:fill="E2EFDA"/>
          </w:tcPr>
          <w:p>
            <w:r>
              <w:rPr>
                <w:b/>
                <w:sz w:val="17"/>
              </w:rPr>
              <w:t>+7.07 p.p.</w:t>
            </w:r>
          </w:p>
        </w:tc>
      </w:tr>
    </w:tbl>
    <w:p>
      <w:pPr>
        <w:spacing w:before="160" w:after="160"/>
      </w:pPr>
      <w:r>
        <w:rPr>
          <w:i/>
          <w:sz w:val="18"/>
        </w:rPr>
        <w:t>Matriz de Sensibilidad de Vida Útil: N-1 (2a) = 18.18% | N Base (3a) = 18.10% | N+1 (4a) = 17.94%.</w:t>
      </w:r>
    </w:p>
    <w:p>
      <w:pPr>
        <w:pStyle w:val="Heading2"/>
      </w:pPr>
      <w:r>
        <w:t>11.4. Creación de Valor Económico (EVA) y Durabilidad del Foso Defensivo</w:t>
      </w:r>
    </w:p>
    <w:p>
      <w:r>
        <w:rPr>
          <w:sz w:val="19"/>
        </w:rPr>
        <w:t>Spread Económico = ROIC Ajustado (18.10%) − WACC (11.03%) = +7.07 p.p.</w:t>
        <w:br/>
        <w:t>Dictamen: 🛡️ NARROW MOAT / CREACIÓN DE VALOR SOSTENIBLE.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11.67%</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5.50%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11.03%</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82.36%</w:t>
            </w:r>
          </w:p>
        </w:tc>
        <w:tc>
          <w:tcPr>
            <w:tcW w:type="dxa" w:w="1958"/>
            <w:tcMar>
              <w:top w:w="60" w:type="dxa"/>
              <w:bottom w:w="60" w:type="dxa"/>
              <w:left w:w="100" w:type="dxa"/>
              <w:right w:w="100" w:type="dxa"/>
            </w:tcMar>
            <w:shd w:fill="E2EFDA"/>
          </w:tcPr>
          <w:p>
            <w:r>
              <w:rPr>
                <w:sz w:val="17"/>
              </w:rPr>
              <w:t>Mediana Sector (32.00%)</w:t>
            </w:r>
          </w:p>
        </w:tc>
        <w:tc>
          <w:tcPr>
            <w:tcW w:type="dxa" w:w="1958"/>
            <w:tcMar>
              <w:top w:w="60" w:type="dxa"/>
              <w:bottom w:w="60" w:type="dxa"/>
              <w:left w:w="100" w:type="dxa"/>
              <w:right w:w="100" w:type="dxa"/>
            </w:tcMar>
            <w:shd w:fill="E2EFDA"/>
          </w:tcPr>
          <w:p>
            <w:r>
              <w:rPr>
                <w:sz w:val="17"/>
              </w:rPr>
              <w:t>Asset-Light; supera al sector por +50.36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$3,529.5M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25.45%</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$7,912.4M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$18,531.3M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18.10%</w:t>
            </w:r>
          </w:p>
        </w:tc>
        <w:tc>
          <w:tcPr>
            <w:tcW w:type="dxa" w:w="1958"/>
            <w:tcMar>
              <w:top w:w="60" w:type="dxa"/>
              <w:bottom w:w="60" w:type="dxa"/>
              <w:left w:w="100" w:type="dxa"/>
              <w:right w:w="100" w:type="dxa"/>
            </w:tcMar>
            <w:shd w:fill="F7FAFC"/>
            <w:shd w:fill="E2EFDA"/>
          </w:tcPr>
          <w:p>
            <w:r>
              <w:rPr>
                <w:b/>
                <w:sz w:val="17"/>
              </w:rPr>
              <w:t>Mediana Sector (17.20%)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+7.07 p.p.</w:t>
            </w:r>
          </w:p>
        </w:tc>
        <w:tc>
          <w:tcPr>
            <w:tcW w:type="dxa" w:w="1958"/>
            <w:tcMar>
              <w:top w:w="60" w:type="dxa"/>
              <w:bottom w:w="60" w:type="dxa"/>
              <w:left w:w="100" w:type="dxa"/>
              <w:right w:w="100" w:type="dxa"/>
            </w:tcMar>
            <w:shd w:fill="E2EFDA"/>
          </w:tcPr>
          <w:p>
            <w:r>
              <w:rPr>
                <w:b/>
                <w:sz w:val="17"/>
              </w:rPr>
              <w:t>Mediana Sector (+8.00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NARROW MOAT / CREACIÓN DE VALOR SOSTENIBLE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-25.62% [ALTA CONVERSIÓN DE CAJA (CFO &gt; NI)]</w:t>
        <w:br/>
        <w:t>• Montier C-Score: 3 / 6 [RIESGO MEDIO-ALTO / VIGILANCIA RIGUROSA (&lt; 40% VIGILANCIA)]</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$21,404.0M</w:t>
            </w:r>
          </w:p>
        </w:tc>
        <w:tc>
          <w:tcPr>
            <w:tcW w:type="dxa" w:w="1094"/>
            <w:tcMar>
              <w:top w:w="60" w:type="dxa"/>
              <w:bottom w:w="60" w:type="dxa"/>
              <w:left w:w="60" w:type="dxa"/>
              <w:right w:w="60" w:type="dxa"/>
            </w:tcMar>
          </w:tcPr>
          <w:p>
            <w:pPr>
              <w:jc w:val="right"/>
            </w:pPr>
            <w:r>
              <w:rPr>
                <w:rFonts w:ascii="Calibri" w:hAnsi="Calibri"/>
                <w:b w:val="0"/>
                <w:sz w:val="17"/>
              </w:rPr>
              <w:t>$15,674.0M</w:t>
            </w:r>
          </w:p>
        </w:tc>
        <w:tc>
          <w:tcPr>
            <w:tcW w:type="dxa" w:w="1094"/>
            <w:tcMar>
              <w:top w:w="60" w:type="dxa"/>
              <w:bottom w:w="60" w:type="dxa"/>
              <w:left w:w="60" w:type="dxa"/>
              <w:right w:w="60" w:type="dxa"/>
            </w:tcMar>
          </w:tcPr>
          <w:p>
            <w:pPr>
              <w:jc w:val="right"/>
            </w:pPr>
            <w:r>
              <w:rPr>
                <w:rFonts w:ascii="Calibri" w:hAnsi="Calibri"/>
                <w:b w:val="0"/>
                <w:sz w:val="17"/>
              </w:rPr>
              <w:t>$11,918.5M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-28.06%</w:t>
            </w:r>
          </w:p>
        </w:tc>
        <w:tc>
          <w:tcPr>
            <w:tcW w:type="dxa" w:w="1094"/>
            <w:tcMar>
              <w:top w:w="60" w:type="dxa"/>
              <w:bottom w:w="60" w:type="dxa"/>
              <w:left w:w="60" w:type="dxa"/>
              <w:right w:w="60" w:type="dxa"/>
            </w:tcMar>
          </w:tcPr>
          <w:p>
            <w:pPr>
              <w:jc w:val="right"/>
            </w:pPr>
            <w:r>
              <w:rPr>
                <w:rFonts w:ascii="Calibri" w:hAnsi="Calibri"/>
                <w:b/>
                <w:sz w:val="17"/>
              </w:rPr>
              <w:t>-26.50%</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$13,905.0M de CFO frente a $1,863.0M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+18.4%</w:t>
            </w:r>
          </w:p>
        </w:tc>
        <w:tc>
          <w:tcPr>
            <w:tcW w:type="dxa" w:w="1440"/>
            <w:tcMar>
              <w:top w:w="60" w:type="dxa"/>
              <w:bottom w:w="60" w:type="dxa"/>
              <w:left w:w="80" w:type="dxa"/>
              <w:right w:w="80" w:type="dxa"/>
            </w:tcMar>
          </w:tcPr>
          <w:p>
            <w:pPr>
              <w:jc w:val="center"/>
            </w:pPr>
            <w:r>
              <w:rPr>
                <w:rFonts w:ascii="Calibri" w:hAnsi="Calibri"/>
                <w:sz w:val="17"/>
              </w:rPr>
              <w:t>DIO: 14.9d (+1.9d)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87.6%</w:t>
            </w:r>
          </w:p>
        </w:tc>
        <w:tc>
          <w:tcPr>
            <w:tcW w:type="dxa" w:w="1440"/>
            <w:tcMar>
              <w:top w:w="60" w:type="dxa"/>
              <w:bottom w:w="60" w:type="dxa"/>
              <w:left w:w="80" w:type="dxa"/>
              <w:right w:w="80" w:type="dxa"/>
            </w:tcMar>
          </w:tcPr>
          <w:p>
            <w:pPr>
              <w:jc w:val="center"/>
            </w:pPr>
            <w:r>
              <w:rPr>
                <w:rFonts w:ascii="Calibri" w:hAnsi="Calibri"/>
                <w:sz w:val="17"/>
              </w:rPr>
              <w:t>Δ: +1.6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(MercadoLibre, Inc.): Inventario en sintonía con la cadencia de costes (Spread: 18.4%, DIO: 14.9d). Existencias optimizadas.</w:t>
      </w:r>
    </w:p>
    <w:p>
      <w:pPr>
        <w:pStyle w:val="Heading2"/>
      </w:pPr>
      <w:r>
        <w:rPr>
          <w:rFonts w:ascii="Calibri" w:hAnsi="Calibri"/>
          <w:b/>
          <w:color w:val="1B365D"/>
          <w:sz w:val="23"/>
        </w:rPr>
        <w:t>12.3. Desglose Forense Montier C-Score (3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4.3d (Δ: -0.3d)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14.9d (Δ: +1.9d)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2.66% vs 2.49%</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23.09% vs 26.21%</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+20.4% vs ΔVentas: +21.8%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3 / 6 Banderas — RIESGO MEDIO-ALTO / VIGILANCIA RIGUROSA. Probabilidad empírica de manipulación zona de vigilancia (&lt; 40%).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14.9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(14.9d);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+1.6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Vigilancia rigurosa (3/6); desfases en capital de trabajo o balance (&lt; 40%).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AAA (GRADO INSTITUCIONAL MÁXIMO (AAA / Aaa)) | Altman Z''-Score: 1.56 [ZONA GRIS]</w:t>
              <w:br/>
              <w:br/>
              <w:t>SOLVENCIA EQUILIBRADA BAJO MONITOREO: Apalancamiento controlado (1.31x), cobertura de 13.7x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$5,730.0M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$4,896.0M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1.31x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0.39x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$212.0M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13.7x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1.52%</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$1821.81  |  WACC Auditado: 11.03% (Rf: 5.19%, ERP: 4.75%)</w:t>
        <w:br/>
        <w:t>• Crecimiento Implícito Calculado: 14.0% Anual a 10 Años (vs. 48.7% Histórico)</w:t>
        <w:br/>
        <w:t>• Veredicto: Descuenta expectativas de 14.0% anual. Exigencia asumible (+14.0% anual); alineada con el ritmo tendencial de la empresa y su sector.</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$1821.81</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1.36</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5.79%</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5.5%</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10.3%</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89.7%</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11.03%</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10.2%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10.03% (Bajo / Expansión)</w:t>
            </w:r>
          </w:p>
        </w:tc>
        <w:tc>
          <w:tcPr>
            <w:tcW w:type="dxa" w:w="1224"/>
          </w:tcPr>
          <w:p>
            <w:r>
              <w:rPr>
                <w:sz w:val="16"/>
              </w:rPr>
              <w:t>13.5%</w:t>
            </w:r>
          </w:p>
        </w:tc>
        <w:tc>
          <w:tcPr>
            <w:tcW w:type="dxa" w:w="1224"/>
          </w:tcPr>
          <w:p>
            <w:r>
              <w:rPr>
                <w:sz w:val="16"/>
              </w:rPr>
              <w:t>13.0%</w:t>
            </w:r>
          </w:p>
        </w:tc>
        <w:tc>
          <w:tcPr>
            <w:tcW w:type="dxa" w:w="1224"/>
          </w:tcPr>
          <w:p>
            <w:r>
              <w:rPr>
                <w:sz w:val="16"/>
              </w:rPr>
              <w:t>12.5%</w:t>
            </w:r>
          </w:p>
        </w:tc>
        <w:tc>
          <w:tcPr>
            <w:tcW w:type="dxa" w:w="1224"/>
          </w:tcPr>
          <w:p>
            <w:r>
              <w:rPr>
                <w:b/>
                <w:sz w:val="16"/>
              </w:rPr>
              <w:t>12.0%</w:t>
            </w:r>
          </w:p>
        </w:tc>
        <w:tc>
          <w:tcPr>
            <w:tcW w:type="dxa" w:w="1224"/>
          </w:tcPr>
          <w:p>
            <w:r>
              <w:rPr>
                <w:sz w:val="16"/>
              </w:rPr>
              <w:t>11.4%</w:t>
            </w:r>
          </w:p>
        </w:tc>
        <w:tc>
          <w:tcPr>
            <w:tcW w:type="dxa" w:w="1224"/>
          </w:tcPr>
          <w:p>
            <w:r>
              <w:rPr>
                <w:sz w:val="16"/>
              </w:rPr>
              <w:t>10.7%</w:t>
            </w:r>
          </w:p>
        </w:tc>
        <w:tc>
          <w:tcPr>
            <w:tcW w:type="dxa" w:w="1224"/>
          </w:tcPr>
          <w:p>
            <w:r>
              <w:rPr>
                <w:sz w:val="16"/>
              </w:rPr>
              <w:t>Escenario favorable; exigencia de crecimiento más moderada.</w:t>
            </w:r>
          </w:p>
        </w:tc>
      </w:tr>
      <w:tr>
        <w:tc>
          <w:tcPr>
            <w:tcW w:type="dxa" w:w="1224"/>
            <w:shd w:fill="F7FAFC"/>
          </w:tcPr>
          <w:p>
            <w:r>
              <w:rPr>
                <w:sz w:val="16"/>
              </w:rPr>
              <w:t>10.53% (Favorable)</w:t>
            </w:r>
          </w:p>
        </w:tc>
        <w:tc>
          <w:tcPr>
            <w:tcW w:type="dxa" w:w="1224"/>
            <w:shd w:fill="F7FAFC"/>
          </w:tcPr>
          <w:p>
            <w:r>
              <w:rPr>
                <w:sz w:val="16"/>
              </w:rPr>
              <w:t>14.5%</w:t>
            </w:r>
          </w:p>
        </w:tc>
        <w:tc>
          <w:tcPr>
            <w:tcW w:type="dxa" w:w="1224"/>
            <w:shd w:fill="F7FAFC"/>
          </w:tcPr>
          <w:p>
            <w:r>
              <w:rPr>
                <w:sz w:val="16"/>
              </w:rPr>
              <w:t>14.0%</w:t>
            </w:r>
          </w:p>
        </w:tc>
        <w:tc>
          <w:tcPr>
            <w:tcW w:type="dxa" w:w="1224"/>
            <w:shd w:fill="F7FAFC"/>
          </w:tcPr>
          <w:p>
            <w:r>
              <w:rPr>
                <w:sz w:val="16"/>
              </w:rPr>
              <w:t>13.5%</w:t>
            </w:r>
          </w:p>
        </w:tc>
        <w:tc>
          <w:tcPr>
            <w:tcW w:type="dxa" w:w="1224"/>
            <w:shd w:fill="F7FAFC"/>
          </w:tcPr>
          <w:p>
            <w:r>
              <w:rPr>
                <w:b/>
                <w:sz w:val="16"/>
              </w:rPr>
              <w:t>13.0%</w:t>
            </w:r>
          </w:p>
        </w:tc>
        <w:tc>
          <w:tcPr>
            <w:tcW w:type="dxa" w:w="1224"/>
            <w:shd w:fill="F7FAFC"/>
          </w:tcPr>
          <w:p>
            <w:r>
              <w:rPr>
                <w:sz w:val="16"/>
              </w:rPr>
              <w:t>12.4%</w:t>
            </w:r>
          </w:p>
        </w:tc>
        <w:tc>
          <w:tcPr>
            <w:tcW w:type="dxa" w:w="1224"/>
            <w:shd w:fill="F7FAFC"/>
          </w:tcPr>
          <w:p>
            <w:r>
              <w:rPr>
                <w:sz w:val="16"/>
              </w:rPr>
              <w:t>11.8%</w:t>
            </w:r>
          </w:p>
        </w:tc>
        <w:tc>
          <w:tcPr>
            <w:tcW w:type="dxa" w:w="1224"/>
            <w:shd w:fill="F7FAFC"/>
          </w:tcPr>
          <w:p>
            <w:r>
              <w:rPr>
                <w:sz w:val="16"/>
              </w:rPr>
              <w:t>Escenario de sensibilidad operativa.</w:t>
            </w:r>
          </w:p>
        </w:tc>
      </w:tr>
      <w:tr>
        <w:tc>
          <w:tcPr>
            <w:tcW w:type="dxa" w:w="1224"/>
            <w:shd w:fill="F7FAFC"/>
          </w:tcPr>
          <w:p>
            <w:r>
              <w:rPr>
                <w:sz w:val="16"/>
              </w:rPr>
              <w:t>11.03% (WACC Auditado Base)</w:t>
            </w:r>
          </w:p>
        </w:tc>
        <w:tc>
          <w:tcPr>
            <w:tcW w:type="dxa" w:w="1224"/>
            <w:shd w:fill="F7FAFC"/>
          </w:tcPr>
          <w:p>
            <w:r>
              <w:rPr>
                <w:b/>
                <w:sz w:val="16"/>
              </w:rPr>
              <w:t>15.4%</w:t>
            </w:r>
          </w:p>
        </w:tc>
        <w:tc>
          <w:tcPr>
            <w:tcW w:type="dxa" w:w="1224"/>
            <w:shd w:fill="F7FAFC"/>
          </w:tcPr>
          <w:p>
            <w:r>
              <w:rPr>
                <w:b/>
                <w:sz w:val="16"/>
              </w:rPr>
              <w:t>15.0%</w:t>
            </w:r>
          </w:p>
        </w:tc>
        <w:tc>
          <w:tcPr>
            <w:tcW w:type="dxa" w:w="1224"/>
            <w:shd w:fill="F7FAFC"/>
          </w:tcPr>
          <w:p>
            <w:r>
              <w:rPr>
                <w:b/>
                <w:sz w:val="16"/>
              </w:rPr>
              <w:t>14.5%</w:t>
            </w:r>
          </w:p>
        </w:tc>
        <w:tc>
          <w:tcPr>
            <w:tcW w:type="dxa" w:w="1224"/>
            <w:shd w:fill="FFF2CC"/>
          </w:tcPr>
          <w:p>
            <w:r>
              <w:rPr>
                <w:b/>
                <w:sz w:val="16"/>
              </w:rPr>
              <w:t>14.0%</w:t>
            </w:r>
          </w:p>
        </w:tc>
        <w:tc>
          <w:tcPr>
            <w:tcW w:type="dxa" w:w="1224"/>
            <w:shd w:fill="F7FAFC"/>
          </w:tcPr>
          <w:p>
            <w:r>
              <w:rPr>
                <w:b/>
                <w:sz w:val="16"/>
              </w:rPr>
              <w:t>13.5%</w:t>
            </w:r>
          </w:p>
        </w:tc>
        <w:tc>
          <w:tcPr>
            <w:tcW w:type="dxa" w:w="1224"/>
            <w:shd w:fill="F7FAFC"/>
          </w:tcPr>
          <w:p>
            <w:r>
              <w:rPr>
                <w:b/>
                <w:sz w:val="16"/>
              </w:rPr>
              <w:t>12.9%</w:t>
            </w:r>
          </w:p>
        </w:tc>
        <w:tc>
          <w:tcPr>
            <w:tcW w:type="dxa" w:w="1224"/>
            <w:shd w:fill="F7FAFC"/>
          </w:tcPr>
          <w:p>
            <w:r>
              <w:rPr>
                <w:sz w:val="16"/>
              </w:rPr>
              <w:t>ESCENARIO CENTRAL: Crecimiento implícito real de mercado.</w:t>
            </w:r>
          </w:p>
        </w:tc>
      </w:tr>
      <w:tr>
        <w:tc>
          <w:tcPr>
            <w:tcW w:type="dxa" w:w="1224"/>
            <w:shd w:fill="F7FAFC"/>
          </w:tcPr>
          <w:p>
            <w:r>
              <w:rPr>
                <w:sz w:val="16"/>
              </w:rPr>
              <w:t>11.53% (Exigente)</w:t>
            </w:r>
          </w:p>
        </w:tc>
        <w:tc>
          <w:tcPr>
            <w:tcW w:type="dxa" w:w="1224"/>
            <w:shd w:fill="F7FAFC"/>
          </w:tcPr>
          <w:p>
            <w:r>
              <w:rPr>
                <w:sz w:val="16"/>
              </w:rPr>
              <w:t>16.3%</w:t>
            </w:r>
          </w:p>
        </w:tc>
        <w:tc>
          <w:tcPr>
            <w:tcW w:type="dxa" w:w="1224"/>
            <w:shd w:fill="F7FAFC"/>
          </w:tcPr>
          <w:p>
            <w:r>
              <w:rPr>
                <w:sz w:val="16"/>
              </w:rPr>
              <w:t>15.9%</w:t>
            </w:r>
          </w:p>
        </w:tc>
        <w:tc>
          <w:tcPr>
            <w:tcW w:type="dxa" w:w="1224"/>
            <w:shd w:fill="F7FAFC"/>
          </w:tcPr>
          <w:p>
            <w:r>
              <w:rPr>
                <w:sz w:val="16"/>
              </w:rPr>
              <w:t>15.4%</w:t>
            </w:r>
          </w:p>
        </w:tc>
        <w:tc>
          <w:tcPr>
            <w:tcW w:type="dxa" w:w="1224"/>
            <w:shd w:fill="F7FAFC"/>
          </w:tcPr>
          <w:p>
            <w:r>
              <w:rPr>
                <w:b/>
                <w:sz w:val="16"/>
              </w:rPr>
              <w:t>15.0%</w:t>
            </w:r>
          </w:p>
        </w:tc>
        <w:tc>
          <w:tcPr>
            <w:tcW w:type="dxa" w:w="1224"/>
            <w:shd w:fill="F7FAFC"/>
          </w:tcPr>
          <w:p>
            <w:r>
              <w:rPr>
                <w:sz w:val="16"/>
              </w:rPr>
              <w:t>14.5%</w:t>
            </w:r>
          </w:p>
        </w:tc>
        <w:tc>
          <w:tcPr>
            <w:tcW w:type="dxa" w:w="1224"/>
            <w:shd w:fill="F7FAFC"/>
          </w:tcPr>
          <w:p>
            <w:r>
              <w:rPr>
                <w:sz w:val="16"/>
              </w:rPr>
              <w:t>13.9%</w:t>
            </w:r>
          </w:p>
        </w:tc>
        <w:tc>
          <w:tcPr>
            <w:tcW w:type="dxa" w:w="1224"/>
            <w:shd w:fill="F7FAFC"/>
          </w:tcPr>
          <w:p>
            <w:r>
              <w:rPr>
                <w:sz w:val="16"/>
              </w:rPr>
              <w:t>Escenario de sensibilidad operativa.</w:t>
            </w:r>
          </w:p>
        </w:tc>
      </w:tr>
      <w:tr>
        <w:tc>
          <w:tcPr>
            <w:tcW w:type="dxa" w:w="1224"/>
          </w:tcPr>
          <w:p>
            <w:r>
              <w:rPr>
                <w:sz w:val="16"/>
              </w:rPr>
              <w:t>12.03% (Estrés / Tipos Altos)</w:t>
            </w:r>
          </w:p>
        </w:tc>
        <w:tc>
          <w:tcPr>
            <w:tcW w:type="dxa" w:w="1224"/>
          </w:tcPr>
          <w:p>
            <w:r>
              <w:rPr>
                <w:sz w:val="16"/>
              </w:rPr>
              <w:t>17.2%</w:t>
            </w:r>
          </w:p>
        </w:tc>
        <w:tc>
          <w:tcPr>
            <w:tcW w:type="dxa" w:w="1224"/>
          </w:tcPr>
          <w:p>
            <w:r>
              <w:rPr>
                <w:sz w:val="16"/>
              </w:rPr>
              <w:t>16.8%</w:t>
            </w:r>
          </w:p>
        </w:tc>
        <w:tc>
          <w:tcPr>
            <w:tcW w:type="dxa" w:w="1224"/>
          </w:tcPr>
          <w:p>
            <w:r>
              <w:rPr>
                <w:sz w:val="16"/>
              </w:rPr>
              <w:t>16.4%</w:t>
            </w:r>
          </w:p>
        </w:tc>
        <w:tc>
          <w:tcPr>
            <w:tcW w:type="dxa" w:w="1224"/>
          </w:tcPr>
          <w:p>
            <w:r>
              <w:rPr>
                <w:b/>
                <w:sz w:val="16"/>
              </w:rPr>
              <w:t>15.9%</w:t>
            </w:r>
          </w:p>
        </w:tc>
        <w:tc>
          <w:tcPr>
            <w:tcW w:type="dxa" w:w="1224"/>
          </w:tcPr>
          <w:p>
            <w:r>
              <w:rPr>
                <w:sz w:val="16"/>
              </w:rPr>
              <w:t>15.4%</w:t>
            </w:r>
          </w:p>
        </w:tc>
        <w:tc>
          <w:tcPr>
            <w:tcW w:type="dxa" w:w="1224"/>
          </w:tcPr>
          <w:p>
            <w:r>
              <w:rPr>
                <w:sz w:val="16"/>
              </w:rPr>
              <w:t>14.9%</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Valoración por Suma de las Partes (SOTP - Platform Ecosystem)</w:t>
      </w:r>
    </w:p>
    <w:p>
      <w:r>
        <w:rPr>
          <w:rFonts w:ascii="Calibri" w:hAnsi="Calibri"/>
          <w:color w:val="2D3748"/>
          <w:sz w:val="18"/>
        </w:rPr>
        <w:t>Al combinar infraestructura de e-commerce y fintech bancaria/crédito, se desagregan los componentes: Comercio a 3.2x EV/Ventas ($61,920.3 M) y FinTech a 2.4x EV/Ventas ($37,996.6 M), resultando en un Equity Value de $95,020.9 M y un Valor Teórico SOTP de $1874.28 por título.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958"/>
        <w:gridCol w:w="1958"/>
        <w:gridCol w:w="1958"/>
        <w:gridCol w:w="1958"/>
        <w:gridCol w:w="1958"/>
      </w:tblGrid>
      <w:tr>
        <w:tc>
          <w:tcPr>
            <w:tcW w:type="dxa" w:w="1958"/>
            <w:shd w:fill="1B365D"/>
          </w:tcPr>
          <w:p>
            <w:r>
              <w:rPr>
                <w:b/>
                <w:color w:val="FFFFFF"/>
                <w:sz w:val="18"/>
              </w:rPr>
              <w:t>Segmento Operativo</w:t>
            </w:r>
          </w:p>
        </w:tc>
        <w:tc>
          <w:tcPr>
            <w:tcW w:type="dxa" w:w="1958"/>
            <w:shd w:fill="1B365D"/>
          </w:tcPr>
          <w:p>
            <w:r>
              <w:rPr>
                <w:b/>
                <w:color w:val="FFFFFF"/>
                <w:sz w:val="18"/>
              </w:rPr>
              <w:t>Ventas LTM</w:t>
            </w:r>
          </w:p>
        </w:tc>
        <w:tc>
          <w:tcPr>
            <w:tcW w:type="dxa" w:w="1958"/>
            <w:shd w:fill="1B365D"/>
          </w:tcPr>
          <w:p>
            <w:r>
              <w:rPr>
                <w:b/>
                <w:color w:val="FFFFFF"/>
                <w:sz w:val="18"/>
              </w:rPr>
              <w:t>Múltiplo EV/Sales</w:t>
            </w:r>
          </w:p>
        </w:tc>
        <w:tc>
          <w:tcPr>
            <w:tcW w:type="dxa" w:w="1958"/>
            <w:shd w:fill="1B365D"/>
          </w:tcPr>
          <w:p>
            <w:r>
              <w:rPr>
                <w:b/>
                <w:color w:val="FFFFFF"/>
                <w:sz w:val="18"/>
              </w:rPr>
              <w:t>Enterprise Value</w:t>
            </w:r>
          </w:p>
        </w:tc>
        <w:tc>
          <w:tcPr>
            <w:tcW w:type="dxa" w:w="1958"/>
            <w:shd w:fill="1B365D"/>
          </w:tcPr>
          <w:p>
            <w:r>
              <w:rPr>
                <w:b/>
                <w:color w:val="FFFFFF"/>
                <w:sz w:val="18"/>
              </w:rPr>
              <w:t>Ponderación EV</w:t>
            </w:r>
          </w:p>
        </w:tc>
      </w:tr>
      <w:tr>
        <w:tc>
          <w:tcPr>
            <w:tcW w:type="dxa" w:w="1958"/>
          </w:tcPr>
          <w:p>
            <w:r>
              <w:rPr>
                <w:b/>
                <w:sz w:val="17"/>
              </w:rPr>
              <w:t>Comercio Electrónico / Marketplace</w:t>
            </w:r>
          </w:p>
        </w:tc>
        <w:tc>
          <w:tcPr>
            <w:tcW w:type="dxa" w:w="1958"/>
          </w:tcPr>
          <w:p>
            <w:r>
              <w:rPr>
                <w:sz w:val="17"/>
              </w:rPr>
              <w:t>$19,350.1 M</w:t>
            </w:r>
          </w:p>
        </w:tc>
        <w:tc>
          <w:tcPr>
            <w:tcW w:type="dxa" w:w="1958"/>
          </w:tcPr>
          <w:p>
            <w:r>
              <w:rPr>
                <w:sz w:val="17"/>
              </w:rPr>
              <w:t>3.2x</w:t>
            </w:r>
          </w:p>
        </w:tc>
        <w:tc>
          <w:tcPr>
            <w:tcW w:type="dxa" w:w="1958"/>
          </w:tcPr>
          <w:p>
            <w:r>
              <w:rPr>
                <w:b/>
                <w:sz w:val="17"/>
              </w:rPr>
              <w:t>$61,920.3 M</w:t>
            </w:r>
          </w:p>
        </w:tc>
        <w:tc>
          <w:tcPr>
            <w:tcW w:type="dxa" w:w="1958"/>
          </w:tcPr>
          <w:p>
            <w:r>
              <w:rPr>
                <w:sz w:val="17"/>
              </w:rPr>
              <w:t>62.0%</w:t>
            </w:r>
          </w:p>
        </w:tc>
      </w:tr>
      <w:tr>
        <w:tc>
          <w:tcPr>
            <w:tcW w:type="dxa" w:w="1958"/>
            <w:shd w:fill="F7FAFC"/>
          </w:tcPr>
          <w:p>
            <w:r>
              <w:rPr>
                <w:b/>
                <w:sz w:val="17"/>
              </w:rPr>
              <w:t>FinTech y Crédito Digital</w:t>
            </w:r>
          </w:p>
        </w:tc>
        <w:tc>
          <w:tcPr>
            <w:tcW w:type="dxa" w:w="1958"/>
            <w:shd w:fill="F7FAFC"/>
          </w:tcPr>
          <w:p>
            <w:r>
              <w:rPr>
                <w:sz w:val="17"/>
              </w:rPr>
              <w:t>$15,831.9 M</w:t>
            </w:r>
          </w:p>
        </w:tc>
        <w:tc>
          <w:tcPr>
            <w:tcW w:type="dxa" w:w="1958"/>
            <w:shd w:fill="F7FAFC"/>
          </w:tcPr>
          <w:p>
            <w:r>
              <w:rPr>
                <w:sz w:val="17"/>
              </w:rPr>
              <w:t>2.4x</w:t>
            </w:r>
          </w:p>
        </w:tc>
        <w:tc>
          <w:tcPr>
            <w:tcW w:type="dxa" w:w="1958"/>
            <w:shd w:fill="F7FAFC"/>
          </w:tcPr>
          <w:p>
            <w:r>
              <w:rPr>
                <w:b/>
                <w:sz w:val="17"/>
              </w:rPr>
              <w:t>$37,996.6 M</w:t>
            </w:r>
          </w:p>
        </w:tc>
        <w:tc>
          <w:tcPr>
            <w:tcW w:type="dxa" w:w="1958"/>
            <w:shd w:fill="F7FAFC"/>
          </w:tcPr>
          <w:p>
            <w:r>
              <w:rPr>
                <w:sz w:val="17"/>
              </w:rPr>
              <w:t>38.0%</w:t>
            </w:r>
          </w:p>
        </w:tc>
      </w:tr>
      <w:tr>
        <w:tc>
          <w:tcPr>
            <w:tcW w:type="dxa" w:w="1958"/>
          </w:tcPr>
          <w:p>
            <w:r>
              <w:rPr>
                <w:b/>
                <w:sz w:val="17"/>
              </w:rPr>
              <w:t>Total Enterprise Value (EV)</w:t>
            </w:r>
          </w:p>
        </w:tc>
        <w:tc>
          <w:tcPr>
            <w:tcW w:type="dxa" w:w="1958"/>
          </w:tcPr>
          <w:p>
            <w:r>
              <w:rPr>
                <w:b/>
                <w:sz w:val="17"/>
              </w:rPr>
              <w:t>$35,182.0 M</w:t>
            </w:r>
          </w:p>
        </w:tc>
        <w:tc>
          <w:tcPr>
            <w:tcW w:type="dxa" w:w="1958"/>
          </w:tcPr>
          <w:p>
            <w:r>
              <w:rPr>
                <w:b/>
                <w:sz w:val="17"/>
              </w:rPr>
              <w:t>—</w:t>
            </w:r>
          </w:p>
        </w:tc>
        <w:tc>
          <w:tcPr>
            <w:tcW w:type="dxa" w:w="1958"/>
          </w:tcPr>
          <w:p>
            <w:r>
              <w:rPr>
                <w:b/>
                <w:sz w:val="17"/>
              </w:rPr>
              <w:t>$99,916.9 M</w:t>
            </w:r>
          </w:p>
        </w:tc>
        <w:tc>
          <w:tcPr>
            <w:tcW w:type="dxa" w:w="1958"/>
          </w:tcPr>
          <w:p>
            <w:r>
              <w:rPr>
                <w:b/>
                <w:sz w:val="17"/>
              </w:rPr>
              <w:t>100.0%</w:t>
            </w:r>
          </w:p>
        </w:tc>
      </w:tr>
      <w:tr>
        <w:tc>
          <w:tcPr>
            <w:tcW w:type="dxa" w:w="1958"/>
            <w:shd w:fill="F7FAFC"/>
          </w:tcPr>
          <w:p>
            <w:r>
              <w:rPr>
                <w:b/>
                <w:sz w:val="17"/>
              </w:rPr>
              <w:t>(-) Deuda Neta</w:t>
            </w:r>
          </w:p>
        </w:tc>
        <w:tc>
          <w:tcPr>
            <w:tcW w:type="dxa" w:w="1958"/>
            <w:shd w:fill="F7FAFC"/>
          </w:tcPr>
          <w:p>
            <w:r>
              <w:rPr>
                <w:sz w:val="17"/>
              </w:rPr>
              <w:t>—</w:t>
            </w:r>
          </w:p>
        </w:tc>
        <w:tc>
          <w:tcPr>
            <w:tcW w:type="dxa" w:w="1958"/>
            <w:shd w:fill="F7FAFC"/>
          </w:tcPr>
          <w:p>
            <w:r>
              <w:rPr>
                <w:sz w:val="17"/>
              </w:rPr>
              <w:t>—</w:t>
            </w:r>
          </w:p>
        </w:tc>
        <w:tc>
          <w:tcPr>
            <w:tcW w:type="dxa" w:w="1958"/>
            <w:shd w:fill="F7FAFC"/>
          </w:tcPr>
          <w:p>
            <w:r>
              <w:rPr>
                <w:b/>
                <w:sz w:val="17"/>
              </w:rPr>
              <w:t>$-4,896.0 M</w:t>
            </w:r>
          </w:p>
        </w:tc>
        <w:tc>
          <w:tcPr>
            <w:tcW w:type="dxa" w:w="1958"/>
            <w:shd w:fill="F7FAFC"/>
          </w:tcPr>
          <w:p>
            <w:r>
              <w:rPr>
                <w:sz w:val="17"/>
              </w:rPr>
              <w:t>—</w:t>
            </w:r>
          </w:p>
        </w:tc>
      </w:tr>
      <w:tr>
        <w:tc>
          <w:tcPr>
            <w:tcW w:type="dxa" w:w="1958"/>
          </w:tcPr>
          <w:p>
            <w:r>
              <w:rPr>
                <w:b/>
                <w:sz w:val="17"/>
              </w:rPr>
              <w:t>Equity Value Justificado SOTP</w:t>
            </w:r>
          </w:p>
        </w:tc>
        <w:tc>
          <w:tcPr>
            <w:tcW w:type="dxa" w:w="1958"/>
          </w:tcPr>
          <w:p>
            <w:r>
              <w:rPr>
                <w:b/>
                <w:sz w:val="17"/>
              </w:rPr>
              <w:t>—</w:t>
            </w:r>
          </w:p>
        </w:tc>
        <w:tc>
          <w:tcPr>
            <w:tcW w:type="dxa" w:w="1958"/>
          </w:tcPr>
          <w:p>
            <w:r>
              <w:rPr>
                <w:b/>
                <w:sz w:val="17"/>
              </w:rPr>
              <w:t>—</w:t>
            </w:r>
          </w:p>
        </w:tc>
        <w:tc>
          <w:tcPr>
            <w:tcW w:type="dxa" w:w="1958"/>
          </w:tcPr>
          <w:p>
            <w:r>
              <w:rPr>
                <w:b/>
                <w:sz w:val="17"/>
              </w:rPr>
              <w:t>$95,020.9 M</w:t>
            </w:r>
          </w:p>
        </w:tc>
        <w:tc>
          <w:tcPr>
            <w:tcW w:type="dxa" w:w="1958"/>
          </w:tcPr>
          <w:p>
            <w:r>
              <w:rPr>
                <w:b/>
                <w:sz w:val="17"/>
              </w:rPr>
              <w:t>$1874.28/sh (+2.9%)</w:t>
            </w:r>
          </w:p>
        </w:tc>
      </w:tr>
    </w:tbl>
    <w:p/>
    <w:p>
      <w:pPr>
        <w:pStyle w:val="Heading2"/>
      </w:pPr>
      <w:r>
        <w:rPr>
          <w:rFonts w:ascii="Calibri" w:hAnsi="Calibri"/>
          <w:b/>
          <w:color w:val="1B365D"/>
          <w:sz w:val="23"/>
        </w:rPr>
        <w:t>14.5.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Efecto de Red Bilateral (Two-Sided Network) + Infraestructura Logística Propia (Mercado Envíos)</w:t>
            </w:r>
          </w:p>
        </w:tc>
        <w:tc>
          <w:tcPr>
            <w:tcW w:type="dxa" w:w="2448"/>
          </w:tcPr>
          <w:p>
            <w:r>
              <w:rPr>
                <w:b/>
                <w:sz w:val="17"/>
              </w:rPr>
              <w:t>WIDE MOAT</w:t>
            </w:r>
          </w:p>
        </w:tc>
        <w:tc>
          <w:tcPr>
            <w:tcW w:type="dxa" w:w="2448"/>
          </w:tcPr>
          <w:p>
            <w:r>
              <w:rPr>
                <w:sz w:val="17"/>
              </w:rPr>
              <w:t>Poder de fijación de precios y resiliencia de márgenes (8.3% EBIT).</w:t>
            </w:r>
          </w:p>
        </w:tc>
      </w:tr>
      <w:tr>
        <w:tc>
          <w:tcPr>
            <w:tcW w:type="dxa" w:w="2448"/>
            <w:shd w:fill="F7FAFC"/>
          </w:tcPr>
          <w:p>
            <w:r>
              <w:rPr>
                <w:b/>
                <w:sz w:val="17"/>
              </w:rPr>
              <w:t>Calidad de Beneficios</w:t>
            </w:r>
          </w:p>
        </w:tc>
        <w:tc>
          <w:tcPr>
            <w:tcW w:type="dxa" w:w="2448"/>
            <w:shd w:fill="F7FAFC"/>
          </w:tcPr>
          <w:p>
            <w:r>
              <w:rPr>
                <w:sz w:val="17"/>
              </w:rPr>
              <w:t>Ratio Sloan: -25.62% / Montier: 3/6</w:t>
            </w:r>
          </w:p>
        </w:tc>
        <w:tc>
          <w:tcPr>
            <w:tcW w:type="dxa" w:w="2448"/>
            <w:shd w:fill="F7FAFC"/>
          </w:tcPr>
          <w:p>
            <w:r>
              <w:rPr>
                <w:b/>
                <w:sz w:val="17"/>
              </w:rPr>
              <w:t>CALIDAD SÓLIDA / BAJO RIESGO</w:t>
            </w:r>
          </w:p>
        </w:tc>
        <w:tc>
          <w:tcPr>
            <w:tcW w:type="dxa" w:w="2448"/>
            <w:shd w:fill="F7FAFC"/>
          </w:tcPr>
          <w:p>
            <w:r>
              <w:rPr>
                <w:sz w:val="17"/>
              </w:rPr>
              <w:t>Ganancias avaladas por caja real ($2.17 CFO por dólar de NI).</w:t>
            </w:r>
          </w:p>
        </w:tc>
      </w:tr>
      <w:tr>
        <w:tc>
          <w:tcPr>
            <w:tcW w:type="dxa" w:w="2448"/>
          </w:tcPr>
          <w:p>
            <w:r>
              <w:rPr>
                <w:b/>
                <w:sz w:val="17"/>
              </w:rPr>
              <w:t>Solvencia y Estructura</w:t>
            </w:r>
          </w:p>
        </w:tc>
        <w:tc>
          <w:tcPr>
            <w:tcW w:type="dxa" w:w="2448"/>
          </w:tcPr>
          <w:p>
            <w:r>
              <w:rPr>
                <w:sz w:val="17"/>
              </w:rPr>
              <w:t>Cobertura EBIT: 13.7x / Altman Z'': 1.56</w:t>
            </w:r>
          </w:p>
        </w:tc>
        <w:tc>
          <w:tcPr>
            <w:tcW w:type="dxa" w:w="2448"/>
          </w:tcPr>
          <w:p>
            <w:r>
              <w:rPr>
                <w:b/>
                <w:sz w:val="17"/>
              </w:rPr>
              <w:t>SINTÉTICO AAA</w:t>
            </w:r>
          </w:p>
        </w:tc>
        <w:tc>
          <w:tcPr>
            <w:tcW w:type="dxa" w:w="2448"/>
          </w:tcPr>
          <w:p>
            <w:r>
              <w:rPr>
                <w:sz w:val="17"/>
              </w:rPr>
              <w:t>Cero estrés financiero; colchón de $5.7B.</w:t>
            </w:r>
          </w:p>
        </w:tc>
      </w:tr>
      <w:tr>
        <w:tc>
          <w:tcPr>
            <w:tcW w:type="dxa" w:w="2448"/>
            <w:shd w:fill="F7FAFC"/>
          </w:tcPr>
          <w:p>
            <w:r>
              <w:rPr>
                <w:b/>
                <w:sz w:val="17"/>
              </w:rPr>
              <w:t>Productividad del Capital</w:t>
            </w:r>
          </w:p>
        </w:tc>
        <w:tc>
          <w:tcPr>
            <w:tcW w:type="dxa" w:w="2448"/>
            <w:shd w:fill="F7FAFC"/>
          </w:tcPr>
          <w:p>
            <w:r>
              <w:rPr>
                <w:sz w:val="17"/>
              </w:rPr>
              <w:t>ROC Greenblatt: 82.4% / ROIC Adj: 18.1%</w:t>
            </w:r>
          </w:p>
        </w:tc>
        <w:tc>
          <w:tcPr>
            <w:tcW w:type="dxa" w:w="2448"/>
            <w:shd w:fill="F7FAFC"/>
          </w:tcPr>
          <w:p>
            <w:r>
              <w:rPr>
                <w:b/>
                <w:sz w:val="17"/>
              </w:rPr>
              <w:t>CREADOR DE VALOR</w:t>
            </w:r>
          </w:p>
        </w:tc>
        <w:tc>
          <w:tcPr>
            <w:tcW w:type="dxa" w:w="2448"/>
            <w:shd w:fill="F7FAFC"/>
          </w:tcPr>
          <w:p>
            <w:r>
              <w:rPr>
                <w:sz w:val="17"/>
              </w:rPr>
              <w:t>Spread económico de +7.1 pp sobre WACC (Creación de valor de élite).</w:t>
            </w:r>
          </w:p>
        </w:tc>
      </w:tr>
      <w:tr>
        <w:tc>
          <w:tcPr>
            <w:tcW w:type="dxa" w:w="2448"/>
          </w:tcPr>
          <w:p>
            <w:r>
              <w:rPr>
                <w:b/>
                <w:sz w:val="17"/>
              </w:rPr>
              <w:t>Valoración de Mercado</w:t>
            </w:r>
          </w:p>
        </w:tc>
        <w:tc>
          <w:tcPr>
            <w:tcW w:type="dxa" w:w="2448"/>
          </w:tcPr>
          <w:p>
            <w:r>
              <w:rPr>
                <w:sz w:val="17"/>
              </w:rPr>
              <w:t>Crecimiento Implícito: 14.0% - 1.4%</w:t>
            </w:r>
          </w:p>
        </w:tc>
        <w:tc>
          <w:tcPr>
            <w:tcW w:type="dxa" w:w="2448"/>
          </w:tcPr>
          <w:p>
            <w:r>
              <w:rPr>
                <w:b/>
                <w:sz w:val="17"/>
              </w:rPr>
              <w:t>VALORACIÓN EXIGENTE</w:t>
            </w:r>
          </w:p>
        </w:tc>
        <w:tc>
          <w:tcPr>
            <w:tcW w:type="dxa" w:w="2448"/>
          </w:tcPr>
          <w:p>
            <w:r>
              <w:rPr>
                <w:sz w:val="17"/>
              </w:rPr>
              <w:t>Exigencia asumible (+14.0% anual); alineada con el ritmo tendencial de la empresa y su sector.</w:t>
            </w:r>
          </w:p>
        </w:tc>
      </w:tr>
    </w:tbl>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