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6D43" w:rsidRPr="002E6D43" w:rsidRDefault="002E6D43" w:rsidP="002E6D43">
      <w:pPr>
        <w:spacing w:before="100" w:beforeAutospacing="1" w:after="100" w:afterAutospacing="1" w:line="240" w:lineRule="auto"/>
        <w:jc w:val="both"/>
        <w:rPr>
          <w:rFonts w:ascii="Times New Roman" w:hAnsi="Times New Roman" w:cs="Times New Roman"/>
          <w:b/>
          <w:sz w:val="24"/>
          <w:szCs w:val="24"/>
        </w:rPr>
      </w:pPr>
    </w:p>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lang w:val="es-CL"/>
        </w:rPr>
      </w:pPr>
      <w:r w:rsidRPr="002E6D43">
        <w:rPr>
          <w:rFonts w:ascii="Times New Roman" w:hAnsi="Times New Roman" w:cs="Times New Roman"/>
          <w:b/>
          <w:sz w:val="24"/>
          <w:szCs w:val="24"/>
          <w:lang w:val="es-CL"/>
        </w:rPr>
        <w:t>TRABAJO PRÁCTICO 4</w:t>
      </w:r>
    </w:p>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lang w:val="es-CL"/>
        </w:rPr>
      </w:pPr>
      <w:r w:rsidRPr="002E6D43">
        <w:rPr>
          <w:rFonts w:ascii="Times New Roman" w:hAnsi="Times New Roman" w:cs="Times New Roman"/>
          <w:b/>
          <w:sz w:val="24"/>
          <w:szCs w:val="24"/>
          <w:lang w:val="es-CL"/>
        </w:rPr>
        <w:t>Clasificación de informalidad en la EPH:</w:t>
      </w:r>
      <w:r w:rsidR="002E6D43">
        <w:rPr>
          <w:rFonts w:ascii="Times New Roman" w:hAnsi="Times New Roman" w:cs="Times New Roman"/>
          <w:b/>
          <w:sz w:val="24"/>
          <w:szCs w:val="24"/>
          <w:lang w:val="es-CL"/>
        </w:rPr>
        <w:t xml:space="preserve"> </w:t>
      </w:r>
      <w:r w:rsidRPr="002E6D43">
        <w:rPr>
          <w:rFonts w:ascii="Times New Roman" w:hAnsi="Times New Roman" w:cs="Times New Roman"/>
          <w:b/>
          <w:sz w:val="24"/>
          <w:szCs w:val="24"/>
          <w:lang w:val="es-CL"/>
        </w:rPr>
        <w:t>Regularización y CART</w:t>
      </w:r>
    </w:p>
    <w:p w:rsidR="00E52C57" w:rsidRDefault="007D0EB8" w:rsidP="002E6D43">
      <w:pPr>
        <w:spacing w:before="100" w:beforeAutospacing="1" w:after="100" w:afterAutospacing="1" w:line="240" w:lineRule="auto"/>
        <w:jc w:val="center"/>
        <w:rPr>
          <w:rFonts w:ascii="Times New Roman" w:hAnsi="Times New Roman" w:cs="Times New Roman"/>
          <w:sz w:val="24"/>
          <w:szCs w:val="24"/>
          <w:lang w:val="es-CL"/>
        </w:rPr>
      </w:pPr>
      <w:r w:rsidRPr="002E6D43">
        <w:rPr>
          <w:rFonts w:ascii="Times New Roman" w:hAnsi="Times New Roman" w:cs="Times New Roman"/>
          <w:sz w:val="24"/>
          <w:szCs w:val="24"/>
          <w:lang w:val="es-CL"/>
        </w:rPr>
        <w:t>Grupo 2 | Andrea Chasi · Santiago Soler · Pablo Ortiz</w:t>
      </w:r>
    </w:p>
    <w:p w:rsidR="008E17B4" w:rsidRDefault="008E17B4" w:rsidP="008E17B4">
      <w:pPr>
        <w:spacing w:before="100" w:beforeAutospacing="1" w:after="100" w:afterAutospacing="1" w:line="240" w:lineRule="auto"/>
        <w:jc w:val="center"/>
        <w:rPr>
          <w:rFonts w:ascii="Times New Roman" w:hAnsi="Times New Roman" w:cs="Times New Roman"/>
          <w:sz w:val="24"/>
          <w:szCs w:val="24"/>
          <w:lang w:val="es-CL"/>
        </w:rPr>
      </w:pPr>
      <w:r>
        <w:rPr>
          <w:rFonts w:ascii="Times New Roman" w:hAnsi="Times New Roman" w:cs="Times New Roman"/>
          <w:sz w:val="24"/>
          <w:szCs w:val="24"/>
          <w:lang w:val="es-CL"/>
        </w:rPr>
        <w:fldChar w:fldCharType="begin"/>
      </w:r>
      <w:r>
        <w:rPr>
          <w:rFonts w:ascii="Times New Roman" w:hAnsi="Times New Roman" w:cs="Times New Roman"/>
          <w:sz w:val="24"/>
          <w:szCs w:val="24"/>
          <w:lang w:val="es-CL"/>
        </w:rPr>
        <w:instrText xml:space="preserve"> HYPERLINK "</w:instrText>
      </w:r>
      <w:r w:rsidRPr="008E17B4">
        <w:rPr>
          <w:rFonts w:ascii="Times New Roman" w:hAnsi="Times New Roman" w:cs="Times New Roman" w:hint="eastAsia"/>
          <w:sz w:val="24"/>
          <w:szCs w:val="24"/>
          <w:lang w:val="es-CL"/>
        </w:rPr>
        <w:instrText>https://github.com/PabloTallerProgramacion/TP4_Programacion_UBA</w:instrText>
      </w:r>
      <w:r>
        <w:rPr>
          <w:rFonts w:ascii="Times New Roman" w:hAnsi="Times New Roman" w:cs="Times New Roman"/>
          <w:sz w:val="24"/>
          <w:szCs w:val="24"/>
          <w:lang w:val="es-CL"/>
        </w:rPr>
        <w:instrText xml:space="preserve">" </w:instrText>
      </w:r>
      <w:r>
        <w:rPr>
          <w:rFonts w:ascii="Times New Roman" w:hAnsi="Times New Roman" w:cs="Times New Roman"/>
          <w:sz w:val="24"/>
          <w:szCs w:val="24"/>
          <w:lang w:val="es-CL"/>
        </w:rPr>
        <w:fldChar w:fldCharType="separate"/>
      </w:r>
      <w:r w:rsidRPr="00284990">
        <w:rPr>
          <w:rStyle w:val="Hipervnculo"/>
          <w:rFonts w:ascii="Times New Roman" w:hAnsi="Times New Roman" w:cs="Times New Roman" w:hint="eastAsia"/>
          <w:sz w:val="24"/>
          <w:szCs w:val="24"/>
          <w:lang w:val="es-CL"/>
        </w:rPr>
        <w:t>https://github.com/PabloTallerProgramacion/TP4_Programacion_UBA</w:t>
      </w:r>
      <w:r>
        <w:rPr>
          <w:rFonts w:ascii="Times New Roman" w:hAnsi="Times New Roman" w:cs="Times New Roman"/>
          <w:sz w:val="24"/>
          <w:szCs w:val="24"/>
          <w:lang w:val="es-CL"/>
        </w:rPr>
        <w:fldChar w:fldCharType="end"/>
      </w:r>
    </w:p>
    <w:p w:rsidR="00B57FC0" w:rsidRPr="00B57FC0" w:rsidRDefault="007D0EB8" w:rsidP="002E6D43">
      <w:pPr>
        <w:pStyle w:val="ExecutiveCallout"/>
        <w:spacing w:before="100" w:beforeAutospacing="1" w:after="100" w:afterAutospacing="1" w:line="240" w:lineRule="auto"/>
        <w:jc w:val="both"/>
        <w:rPr>
          <w:rFonts w:ascii="Times New Roman" w:hAnsi="Times New Roman" w:cs="Times New Roman"/>
          <w:color w:val="auto"/>
          <w:sz w:val="24"/>
          <w:szCs w:val="24"/>
          <w:u w:val="single"/>
          <w:lang w:val="es-CL"/>
        </w:rPr>
      </w:pPr>
      <w:r w:rsidRPr="00B57FC0">
        <w:rPr>
          <w:rFonts w:ascii="Times New Roman" w:hAnsi="Times New Roman" w:cs="Times New Roman"/>
          <w:color w:val="auto"/>
          <w:sz w:val="24"/>
          <w:szCs w:val="24"/>
          <w:u w:val="single"/>
          <w:lang w:val="es-CL"/>
        </w:rPr>
        <w:t xml:space="preserve">Resumen ejecutivo. </w:t>
      </w:r>
      <w:bookmarkStart w:id="0" w:name="_GoBack"/>
      <w:bookmarkEnd w:id="0"/>
    </w:p>
    <w:p w:rsidR="00E52C57" w:rsidRPr="002E6D43" w:rsidRDefault="007D0EB8" w:rsidP="002E6D43">
      <w:pPr>
        <w:pStyle w:val="ExecutiveCallout"/>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 xml:space="preserve">El TP4 extiende el enfoque longitudinal del TP3 para predecir informalidad laboral en 2025, </w:t>
      </w:r>
      <w:r w:rsidRPr="002E6D43">
        <w:rPr>
          <w:rFonts w:ascii="Times New Roman" w:hAnsi="Times New Roman" w:cs="Times New Roman"/>
          <w:color w:val="auto"/>
          <w:sz w:val="24"/>
          <w:szCs w:val="24"/>
          <w:lang w:val="es-CL"/>
        </w:rPr>
        <w:t>incorporando el estatus observado en 2024 y comparando Logit sin penalización, LASSO, Ridge y CART. La evidencia muestra que el principal desafío no es maximizar accuracy, sino identificar correctamente a una clase minoritaria que representa 6,19% de la mu</w:t>
      </w:r>
      <w:r w:rsidRPr="002E6D43">
        <w:rPr>
          <w:rFonts w:ascii="Times New Roman" w:hAnsi="Times New Roman" w:cs="Times New Roman"/>
          <w:color w:val="auto"/>
          <w:sz w:val="24"/>
          <w:szCs w:val="24"/>
          <w:lang w:val="es-CL"/>
        </w:rPr>
        <w:t>estra de modelado.</w:t>
      </w:r>
    </w:p>
    <w:p w:rsidR="00E52C57" w:rsidRPr="002E6D43" w:rsidRDefault="007D0EB8"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1. Datos, variable objetivo y estrategia empírica</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La muestra final contiene 7.188 ocupados observados en 2025 que también pueden vincularse con 2024. La variable objetivo es la definición de informalidad asignada al Grupo 2. El vector de</w:t>
      </w:r>
      <w:r w:rsidRPr="002E6D43">
        <w:rPr>
          <w:rFonts w:ascii="Times New Roman" w:hAnsi="Times New Roman" w:cs="Times New Roman"/>
          <w:sz w:val="24"/>
          <w:szCs w:val="24"/>
          <w:lang w:val="es-CL"/>
        </w:rPr>
        <w:t xml:space="preserve"> predictores incluye 25 variables: edad, edad², años de educación, tamaño del hogar, género, cobertura de salud, dummies regionales, relación con el jefe/a del hogar, estado civil y el rezago informal_2024. Las variables numéricas se estandarizan; las dumm</w:t>
      </w:r>
      <w:r w:rsidRPr="002E6D43">
        <w:rPr>
          <w:rFonts w:ascii="Times New Roman" w:hAnsi="Times New Roman" w:cs="Times New Roman"/>
          <w:sz w:val="24"/>
          <w:szCs w:val="24"/>
          <w:lang w:val="es-CL"/>
        </w:rPr>
        <w:t>ies permanecen en 0/1.</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Siguiendo la indicación de clase, se excluyen salario/ingreso, tamaño del establecimiento y variables que forman parte directamente de la definición de informalidad, evitando leakage y relaciones mecánicas con la variable dependiente</w:t>
      </w:r>
      <w:r w:rsidRPr="002E6D43">
        <w:rPr>
          <w:rFonts w:ascii="Times New Roman" w:hAnsi="Times New Roman" w:cs="Times New Roman"/>
          <w:sz w:val="24"/>
          <w:szCs w:val="24"/>
          <w:lang w:val="es-CL"/>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611"/>
        <w:gridCol w:w="2428"/>
        <w:gridCol w:w="2268"/>
      </w:tblGrid>
      <w:tr w:rsidR="002E6D43" w:rsidRPr="002E6D43" w:rsidTr="00B57FC0">
        <w:trPr>
          <w:jc w:val="center"/>
        </w:trPr>
        <w:tc>
          <w:tcPr>
            <w:tcW w:w="2049" w:type="dxa"/>
            <w:shd w:val="clear" w:color="auto" w:fill="17365D"/>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proofErr w:type="spellStart"/>
            <w:r w:rsidRPr="002E6D43">
              <w:rPr>
                <w:rFonts w:ascii="Times New Roman" w:hAnsi="Times New Roman" w:cs="Times New Roman"/>
                <w:b/>
                <w:sz w:val="24"/>
                <w:szCs w:val="24"/>
              </w:rPr>
              <w:t>Muestra</w:t>
            </w:r>
            <w:proofErr w:type="spellEnd"/>
          </w:p>
        </w:tc>
        <w:tc>
          <w:tcPr>
            <w:tcW w:w="2611" w:type="dxa"/>
            <w:shd w:val="clear" w:color="auto" w:fill="17365D"/>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b/>
                <w:sz w:val="24"/>
                <w:szCs w:val="24"/>
              </w:rPr>
              <w:t>Formales</w:t>
            </w:r>
          </w:p>
        </w:tc>
        <w:tc>
          <w:tcPr>
            <w:tcW w:w="2428" w:type="dxa"/>
            <w:shd w:val="clear" w:color="auto" w:fill="17365D"/>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b/>
                <w:sz w:val="24"/>
                <w:szCs w:val="24"/>
              </w:rPr>
              <w:t>Informales</w:t>
            </w:r>
          </w:p>
        </w:tc>
        <w:tc>
          <w:tcPr>
            <w:tcW w:w="2268" w:type="dxa"/>
            <w:shd w:val="clear" w:color="auto" w:fill="17365D"/>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b/>
                <w:sz w:val="24"/>
                <w:szCs w:val="24"/>
              </w:rPr>
              <w:t>Participación informal</w:t>
            </w:r>
          </w:p>
        </w:tc>
      </w:tr>
      <w:tr w:rsidR="002E6D43" w:rsidRPr="002E6D43" w:rsidTr="00B57FC0">
        <w:trPr>
          <w:jc w:val="center"/>
        </w:trPr>
        <w:tc>
          <w:tcPr>
            <w:tcW w:w="2049" w:type="dxa"/>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7.188</w:t>
            </w:r>
          </w:p>
        </w:tc>
        <w:tc>
          <w:tcPr>
            <w:tcW w:w="2611" w:type="dxa"/>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6.743</w:t>
            </w:r>
          </w:p>
        </w:tc>
        <w:tc>
          <w:tcPr>
            <w:tcW w:w="2428" w:type="dxa"/>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445</w:t>
            </w:r>
          </w:p>
        </w:tc>
        <w:tc>
          <w:tcPr>
            <w:tcW w:w="2268" w:type="dxa"/>
            <w:vAlign w:val="center"/>
          </w:tcPr>
          <w:p w:rsidR="00E52C57" w:rsidRPr="002E6D43" w:rsidRDefault="007D0EB8" w:rsidP="00B57FC0">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b/>
                <w:sz w:val="24"/>
                <w:szCs w:val="24"/>
              </w:rPr>
              <w:t>6,19%</w:t>
            </w:r>
          </w:p>
        </w:tc>
      </w:tr>
    </w:tbl>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 xml:space="preserve">Criterio de evaluación. La consigna fija p=0,5 para matrices de confusión y exige ROC, métricas del TP3 y 1-accuracy. Para LASSO/Ridge y CART, los hiperparámetros se </w:t>
      </w:r>
      <w:r w:rsidRPr="002E6D43">
        <w:rPr>
          <w:rFonts w:ascii="Times New Roman" w:hAnsi="Times New Roman" w:cs="Times New Roman"/>
          <w:sz w:val="24"/>
          <w:szCs w:val="24"/>
          <w:lang w:val="es-CL"/>
        </w:rPr>
        <w:t>seleccionan mediante validación cruzada de 5 folds.</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br w:type="page"/>
      </w:r>
    </w:p>
    <w:p w:rsidR="002E6D43" w:rsidRPr="002E6D43" w:rsidRDefault="002E6D43"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p>
    <w:p w:rsidR="00E52C57" w:rsidRPr="002E6D43" w:rsidRDefault="007D0EB8"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2. Regularización: LASSO y Ridge</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 xml:space="preserve">La validación cruzada selecciona </w:t>
      </w:r>
      <w:r w:rsidRPr="002E6D43">
        <w:rPr>
          <w:rFonts w:ascii="Times New Roman" w:hAnsi="Times New Roman" w:cs="Times New Roman"/>
          <w:sz w:val="24"/>
          <w:szCs w:val="24"/>
        </w:rPr>
        <w:t>λ</w:t>
      </w:r>
      <w:r w:rsidRPr="002E6D43">
        <w:rPr>
          <w:rFonts w:ascii="Times New Roman" w:hAnsi="Times New Roman" w:cs="Times New Roman"/>
          <w:sz w:val="24"/>
          <w:szCs w:val="24"/>
          <w:lang w:val="es-CL"/>
        </w:rPr>
        <w:t xml:space="preserve">CV=100 tanto para LASSO como para Ridge al minimizar el error promedio de clasificación (≈0,0619). El resultado debe interpretarse con </w:t>
      </w:r>
      <w:r w:rsidRPr="002E6D43">
        <w:rPr>
          <w:rFonts w:ascii="Times New Roman" w:hAnsi="Times New Roman" w:cs="Times New Roman"/>
          <w:sz w:val="24"/>
          <w:szCs w:val="24"/>
          <w:lang w:val="es-CL"/>
        </w:rPr>
        <w:t>cautela: ese error coincide con el clasificador trivial que asigna a todos los individuos a la clase formal.</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noProof/>
          <w:sz w:val="24"/>
          <w:szCs w:val="24"/>
        </w:rPr>
        <w:drawing>
          <wp:inline distT="0" distB="0" distL="0" distR="0">
            <wp:extent cx="6217920" cy="2197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sso_seleccion.png"/>
                    <pic:cNvPicPr/>
                  </pic:nvPicPr>
                  <pic:blipFill>
                    <a:blip r:embed="rId8"/>
                    <a:stretch>
                      <a:fillRect/>
                    </a:stretch>
                  </pic:blipFill>
                  <pic:spPr>
                    <a:xfrm>
                      <a:off x="0" y="0"/>
                      <a:ext cx="6217920" cy="2197236"/>
                    </a:xfrm>
                    <a:prstGeom prst="rect">
                      <a:avLst/>
                    </a:prstGeom>
                  </pic:spPr>
                </pic:pic>
              </a:graphicData>
            </a:graphic>
          </wp:inline>
        </w:drawing>
      </w:r>
    </w:p>
    <w:p w:rsidR="00E52C57" w:rsidRPr="002E6D43" w:rsidRDefault="007D0EB8" w:rsidP="002E6D43">
      <w:pPr>
        <w:pStyle w:val="Ttulo2"/>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Selección de variables e interpretación</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LASSO lleva 22 de los 25 coeficientes exactamente a cero. Permanecen activos edad (-0,0712), cobertura de</w:t>
      </w:r>
      <w:r w:rsidRPr="002E6D43">
        <w:rPr>
          <w:rFonts w:ascii="Times New Roman" w:hAnsi="Times New Roman" w:cs="Times New Roman"/>
          <w:sz w:val="24"/>
          <w:szCs w:val="24"/>
          <w:lang w:val="es-CL"/>
        </w:rPr>
        <w:t xml:space="preserve"> salud (-0,6945) e informalidad en 2024 (+0,8624). La señal más robusta es la persistencia de la condición de informalidad: haber sido informal en 2024 eleva la propensión estimada a continuar en esa situación en 2025. La cobertura de salud se asocia negat</w:t>
      </w:r>
      <w:r w:rsidRPr="002E6D43">
        <w:rPr>
          <w:rFonts w:ascii="Times New Roman" w:hAnsi="Times New Roman" w:cs="Times New Roman"/>
          <w:sz w:val="24"/>
          <w:szCs w:val="24"/>
          <w:lang w:val="es-CL"/>
        </w:rPr>
        <w:t>ivamente con informalidad.</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Ridge conserva todos los predictores y contrae sus magnitudes. El coeficiente de informal_2024 pasa de 2,4960 en el Logit sin penalización a 0,8798 en Ridge, preservando el signo y la relevancia económica, pero reduciendo varianz</w:t>
      </w:r>
      <w:r w:rsidRPr="002E6D43">
        <w:rPr>
          <w:rFonts w:ascii="Times New Roman" w:hAnsi="Times New Roman" w:cs="Times New Roman"/>
          <w:sz w:val="24"/>
          <w:szCs w:val="24"/>
          <w:lang w:val="es-CL"/>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2610"/>
        <w:gridCol w:w="2611"/>
        <w:gridCol w:w="2610"/>
      </w:tblGrid>
      <w:tr w:rsidR="002E6D43" w:rsidRPr="002E6D43" w:rsidTr="002E6D43">
        <w:trPr>
          <w:jc w:val="center"/>
        </w:trPr>
        <w:tc>
          <w:tcPr>
            <w:tcW w:w="261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Variable clave</w:t>
            </w:r>
          </w:p>
        </w:tc>
        <w:tc>
          <w:tcPr>
            <w:tcW w:w="2613" w:type="dxa"/>
            <w:shd w:val="clear" w:color="auto" w:fill="17365D"/>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b/>
                <w:sz w:val="24"/>
                <w:szCs w:val="24"/>
              </w:rPr>
              <w:t>Logit</w:t>
            </w:r>
          </w:p>
        </w:tc>
        <w:tc>
          <w:tcPr>
            <w:tcW w:w="2613" w:type="dxa"/>
            <w:shd w:val="clear" w:color="auto" w:fill="17365D"/>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b/>
                <w:sz w:val="24"/>
                <w:szCs w:val="24"/>
              </w:rPr>
              <w:t>LASSO</w:t>
            </w:r>
          </w:p>
        </w:tc>
        <w:tc>
          <w:tcPr>
            <w:tcW w:w="2613" w:type="dxa"/>
            <w:shd w:val="clear" w:color="auto" w:fill="17365D"/>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b/>
                <w:sz w:val="24"/>
                <w:szCs w:val="24"/>
              </w:rPr>
              <w:t>Ridge</w:t>
            </w:r>
          </w:p>
        </w:tc>
      </w:tr>
      <w:tr w:rsidR="002E6D43" w:rsidRPr="002E6D43" w:rsidTr="002E6D43">
        <w:trPr>
          <w:jc w:val="center"/>
        </w:trPr>
        <w:tc>
          <w:tcPr>
            <w:tcW w:w="261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informal_2024</w:t>
            </w:r>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2,4960</w:t>
            </w:r>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0,8624</w:t>
            </w:r>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0,8798</w:t>
            </w:r>
          </w:p>
        </w:tc>
      </w:tr>
      <w:tr w:rsidR="002E6D43" w:rsidRPr="002E6D43" w:rsidTr="002E6D43">
        <w:trPr>
          <w:jc w:val="center"/>
        </w:trPr>
        <w:tc>
          <w:tcPr>
            <w:tcW w:w="261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proofErr w:type="spellStart"/>
            <w:r w:rsidRPr="002E6D43">
              <w:rPr>
                <w:rFonts w:ascii="Times New Roman" w:hAnsi="Times New Roman" w:cs="Times New Roman"/>
                <w:b/>
                <w:sz w:val="24"/>
                <w:szCs w:val="24"/>
              </w:rPr>
              <w:t>tiene_cobertura_salud</w:t>
            </w:r>
            <w:proofErr w:type="spellEnd"/>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-0,9067</w:t>
            </w:r>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-0,6945</w:t>
            </w:r>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-0,8892</w:t>
            </w:r>
          </w:p>
        </w:tc>
      </w:tr>
      <w:tr w:rsidR="002E6D43" w:rsidRPr="002E6D43" w:rsidTr="002E6D43">
        <w:trPr>
          <w:jc w:val="center"/>
        </w:trPr>
        <w:tc>
          <w:tcPr>
            <w:tcW w:w="261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proofErr w:type="spellStart"/>
            <w:r w:rsidRPr="002E6D43">
              <w:rPr>
                <w:rFonts w:ascii="Times New Roman" w:hAnsi="Times New Roman" w:cs="Times New Roman"/>
                <w:b/>
                <w:sz w:val="24"/>
                <w:szCs w:val="24"/>
              </w:rPr>
              <w:t>edad</w:t>
            </w:r>
            <w:proofErr w:type="spellEnd"/>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-1,1652</w:t>
            </w:r>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-0,0712</w:t>
            </w:r>
          </w:p>
        </w:tc>
        <w:tc>
          <w:tcPr>
            <w:tcW w:w="2613" w:type="dxa"/>
            <w:vAlign w:val="center"/>
          </w:tcPr>
          <w:p w:rsidR="00E52C57" w:rsidRPr="002E6D43" w:rsidRDefault="007D0EB8" w:rsidP="002E6D43">
            <w:pPr>
              <w:spacing w:before="100" w:beforeAutospacing="1" w:after="100" w:afterAutospacing="1" w:line="240" w:lineRule="auto"/>
              <w:jc w:val="center"/>
              <w:rPr>
                <w:rFonts w:ascii="Times New Roman" w:hAnsi="Times New Roman" w:cs="Times New Roman"/>
                <w:sz w:val="24"/>
                <w:szCs w:val="24"/>
              </w:rPr>
            </w:pPr>
            <w:r w:rsidRPr="002E6D43">
              <w:rPr>
                <w:rFonts w:ascii="Times New Roman" w:hAnsi="Times New Roman" w:cs="Times New Roman"/>
                <w:sz w:val="24"/>
                <w:szCs w:val="24"/>
              </w:rPr>
              <w:t>-0,1603</w:t>
            </w:r>
          </w:p>
        </w:tc>
      </w:tr>
    </w:tbl>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 xml:space="preserve">Lectura económica: la regularización mejora parsimonia y estabilidad, pero la elección del </w:t>
      </w:r>
      <w:r w:rsidRPr="002E6D43">
        <w:rPr>
          <w:rFonts w:ascii="Times New Roman" w:hAnsi="Times New Roman" w:cs="Times New Roman"/>
          <w:sz w:val="24"/>
          <w:szCs w:val="24"/>
          <w:lang w:val="es-CL"/>
        </w:rPr>
        <w:t>hiperparámetro por error de clasificación, en una muestra muy desbalanceada, termina favoreciendo soluciones excesivamente conservadoras.</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br w:type="page"/>
      </w:r>
    </w:p>
    <w:p w:rsidR="002E6D43" w:rsidRPr="002E6D43" w:rsidRDefault="002E6D43"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p>
    <w:p w:rsidR="00E52C57" w:rsidRPr="002E6D43" w:rsidRDefault="007D0EB8"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3. CART: poda, no linealidad e importancia</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 xml:space="preserve">El criterio de mínimo error en 5-fold CV selecciona ccp_alpha=0,0146568. </w:t>
      </w:r>
      <w:r w:rsidRPr="002E6D43">
        <w:rPr>
          <w:rFonts w:ascii="Times New Roman" w:hAnsi="Times New Roman" w:cs="Times New Roman"/>
          <w:sz w:val="24"/>
          <w:szCs w:val="24"/>
          <w:lang w:val="es-CL"/>
        </w:rPr>
        <w:t>Con esa poda, el árbol oficial queda reducido a un único nodo: profundidad 0, una hoja y ninguna partición. Predice 0 informales, obtiene accuracy=0,9381, recall=0, F1=0 y AUC=0,50. El resultado no evidencia una ventaja del método no lineal bajo el criteri</w:t>
      </w:r>
      <w:r w:rsidRPr="002E6D43">
        <w:rPr>
          <w:rFonts w:ascii="Times New Roman" w:hAnsi="Times New Roman" w:cs="Times New Roman"/>
          <w:sz w:val="24"/>
          <w:szCs w:val="24"/>
          <w:lang w:val="es-CL"/>
        </w:rPr>
        <w:t>o de selección exigido.</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Como análisis complementario de sensibilidad se examina el mejor árbol no degenerado: ccp_alpha=0,00044068, profundidad 3, 5 hojas y 9 nodos, con error CV=0,06205, prácticamente igual al mínimo oficial.</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noProof/>
          <w:sz w:val="24"/>
          <w:szCs w:val="24"/>
        </w:rPr>
        <w:drawing>
          <wp:inline distT="0" distB="0" distL="0" distR="0">
            <wp:extent cx="6217920" cy="2197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importancia.png"/>
                    <pic:cNvPicPr/>
                  </pic:nvPicPr>
                  <pic:blipFill>
                    <a:blip r:embed="rId9"/>
                    <a:stretch>
                      <a:fillRect/>
                    </a:stretch>
                  </pic:blipFill>
                  <pic:spPr>
                    <a:xfrm>
                      <a:off x="0" y="0"/>
                      <a:ext cx="6217920" cy="2197236"/>
                    </a:xfrm>
                    <a:prstGeom prst="rect">
                      <a:avLst/>
                    </a:prstGeom>
                  </pic:spPr>
                </pic:pic>
              </a:graphicData>
            </a:graphic>
          </wp:inline>
        </w:drawing>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En ese árbol, informal_2024</w:t>
      </w:r>
      <w:r w:rsidRPr="002E6D43">
        <w:rPr>
          <w:rFonts w:ascii="Times New Roman" w:hAnsi="Times New Roman" w:cs="Times New Roman"/>
          <w:sz w:val="24"/>
          <w:szCs w:val="24"/>
          <w:lang w:val="es-CL"/>
        </w:rPr>
        <w:t xml:space="preserve"> concentra 81,61% de la importancia; cobertura de salud 7,44%; region_40 6,12% y region_42 4,84%. La coincidencia con LASSO es sustantiva en las dos primeras variables. CART agrega heterogeneidad regional que LASSO descarta, mientras LASSO conserva edad, q</w:t>
      </w:r>
      <w:r w:rsidRPr="002E6D43">
        <w:rPr>
          <w:rFonts w:ascii="Times New Roman" w:hAnsi="Times New Roman" w:cs="Times New Roman"/>
          <w:sz w:val="24"/>
          <w:szCs w:val="24"/>
          <w:lang w:val="es-CL"/>
        </w:rPr>
        <w:t>ue el árbol no utiliza.</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La comparación sugiere que la persistencia temporal domina la señal predictiva. Las diferencias restantes reflejan la naturaleza de los métodos: LASSO selecciona efectos lineales aditivos; CART puede capturar umbrales e interaccione</w:t>
      </w:r>
      <w:r w:rsidRPr="002E6D43">
        <w:rPr>
          <w:rFonts w:ascii="Times New Roman" w:hAnsi="Times New Roman" w:cs="Times New Roman"/>
          <w:sz w:val="24"/>
          <w:szCs w:val="24"/>
          <w:lang w:val="es-CL"/>
        </w:rPr>
        <w:t>s.</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br w:type="page"/>
      </w:r>
    </w:p>
    <w:p w:rsidR="002E6D43" w:rsidRPr="002E6D43" w:rsidRDefault="002E6D43"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p>
    <w:p w:rsidR="00E52C57" w:rsidRPr="002E6D43" w:rsidRDefault="007D0EB8"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4. Comparación predictiva de los cuatro métodos</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noProof/>
          <w:sz w:val="24"/>
          <w:szCs w:val="24"/>
        </w:rPr>
        <w:drawing>
          <wp:inline distT="0" distB="0" distL="0" distR="0">
            <wp:extent cx="6309360" cy="27657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empeno_modelos.png"/>
                    <pic:cNvPicPr/>
                  </pic:nvPicPr>
                  <pic:blipFill>
                    <a:blip r:embed="rId10"/>
                    <a:stretch>
                      <a:fillRect/>
                    </a:stretch>
                  </pic:blipFill>
                  <pic:spPr>
                    <a:xfrm>
                      <a:off x="0" y="0"/>
                      <a:ext cx="6309360" cy="2765746"/>
                    </a:xfrm>
                    <a:prstGeom prst="rect">
                      <a:avLst/>
                    </a:prstGeom>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1492"/>
        <w:gridCol w:w="1492"/>
        <w:gridCol w:w="1492"/>
        <w:gridCol w:w="1492"/>
        <w:gridCol w:w="1492"/>
        <w:gridCol w:w="1492"/>
      </w:tblGrid>
      <w:tr w:rsidR="002E6D43" w:rsidRPr="002E6D43" w:rsidTr="002E6D43">
        <w:trPr>
          <w:jc w:val="center"/>
        </w:trPr>
        <w:tc>
          <w:tcPr>
            <w:tcW w:w="149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Modelo</w:t>
            </w:r>
          </w:p>
        </w:tc>
        <w:tc>
          <w:tcPr>
            <w:tcW w:w="149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Accuracy</w:t>
            </w:r>
          </w:p>
        </w:tc>
        <w:tc>
          <w:tcPr>
            <w:tcW w:w="149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1-Acc.</w:t>
            </w:r>
          </w:p>
        </w:tc>
        <w:tc>
          <w:tcPr>
            <w:tcW w:w="149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Precision</w:t>
            </w:r>
          </w:p>
        </w:tc>
        <w:tc>
          <w:tcPr>
            <w:tcW w:w="149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Recall</w:t>
            </w:r>
          </w:p>
        </w:tc>
        <w:tc>
          <w:tcPr>
            <w:tcW w:w="149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F1</w:t>
            </w:r>
          </w:p>
        </w:tc>
        <w:tc>
          <w:tcPr>
            <w:tcW w:w="1493" w:type="dxa"/>
            <w:shd w:val="clear" w:color="auto" w:fill="17365D"/>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AUC</w:t>
            </w:r>
          </w:p>
        </w:tc>
      </w:tr>
      <w:tr w:rsidR="002E6D43" w:rsidRPr="002E6D43" w:rsidTr="002E6D43">
        <w:trPr>
          <w:jc w:val="center"/>
        </w:trPr>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Logit sin penal.</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0,9378</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0,0622</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0,4911</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0,1236</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0,1975</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b/>
                <w:sz w:val="24"/>
                <w:szCs w:val="24"/>
              </w:rPr>
              <w:t>0,8015</w:t>
            </w:r>
          </w:p>
        </w:tc>
      </w:tr>
      <w:tr w:rsidR="002E6D43" w:rsidRPr="002E6D43" w:rsidTr="002E6D43">
        <w:trPr>
          <w:jc w:val="center"/>
        </w:trPr>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LASSO</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0,9381</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0,0619</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0,7944</w:t>
            </w:r>
          </w:p>
        </w:tc>
      </w:tr>
      <w:tr w:rsidR="002E6D43" w:rsidRPr="002E6D43" w:rsidTr="002E6D43">
        <w:trPr>
          <w:jc w:val="center"/>
        </w:trPr>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Ridge</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0,9381</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0,0619</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0,7702</w:t>
            </w:r>
          </w:p>
        </w:tc>
      </w:tr>
      <w:tr w:rsidR="002E6D43" w:rsidRPr="002E6D43" w:rsidTr="002E6D43">
        <w:trPr>
          <w:jc w:val="center"/>
        </w:trPr>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CART</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0,9381</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0,0619</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w:t>
            </w:r>
          </w:p>
        </w:tc>
        <w:tc>
          <w:tcPr>
            <w:tcW w:w="1493" w:type="dxa"/>
            <w:vAlign w:val="center"/>
          </w:tcPr>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rPr>
              <w:t>0,5000</w:t>
            </w:r>
          </w:p>
        </w:tc>
      </w:tr>
    </w:tbl>
    <w:p w:rsidR="00E52C57" w:rsidRPr="002E6D43" w:rsidRDefault="007D0EB8" w:rsidP="002E6D43">
      <w:pPr>
        <w:pStyle w:val="Ttulo2"/>
        <w:spacing w:before="100" w:beforeAutospacing="1" w:after="100" w:afterAutospacing="1" w:line="240" w:lineRule="auto"/>
        <w:jc w:val="both"/>
        <w:rPr>
          <w:rFonts w:ascii="Times New Roman" w:hAnsi="Times New Roman" w:cs="Times New Roman"/>
          <w:color w:val="auto"/>
          <w:sz w:val="24"/>
          <w:szCs w:val="24"/>
        </w:rPr>
      </w:pPr>
      <w:proofErr w:type="spellStart"/>
      <w:r w:rsidRPr="002E6D43">
        <w:rPr>
          <w:rFonts w:ascii="Times New Roman" w:hAnsi="Times New Roman" w:cs="Times New Roman"/>
          <w:color w:val="auto"/>
          <w:sz w:val="24"/>
          <w:szCs w:val="24"/>
        </w:rPr>
        <w:t>Resultado</w:t>
      </w:r>
      <w:proofErr w:type="spellEnd"/>
      <w:r w:rsidRPr="002E6D43">
        <w:rPr>
          <w:rFonts w:ascii="Times New Roman" w:hAnsi="Times New Roman" w:cs="Times New Roman"/>
          <w:color w:val="auto"/>
          <w:sz w:val="24"/>
          <w:szCs w:val="24"/>
        </w:rPr>
        <w:t xml:space="preserve"> central</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 xml:space="preserve">El Logit sin penalización es el único modelo que identifica informales con p=0,5: predice 112 casos como informales, de los cuales 55 son verdaderos positivos y 57 falsos positivos; deja 390 falsos negativos. Su recall es </w:t>
      </w:r>
      <w:r w:rsidRPr="002E6D43">
        <w:rPr>
          <w:rFonts w:ascii="Times New Roman" w:hAnsi="Times New Roman" w:cs="Times New Roman"/>
          <w:sz w:val="24"/>
          <w:szCs w:val="24"/>
          <w:lang w:val="es-CL"/>
        </w:rPr>
        <w:t>12,36% y su AUC es la mayor (0,8015). LASSO, Ridge y CART predicen cero informales: su accuracy ligeramente superior no representa mejor focalización, sino la reproducción de la clase mayoritaria.</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La ROC agrega un matiz: LASSO (AUC=0,7944) y Ridge (0,7702)</w:t>
      </w:r>
      <w:r w:rsidRPr="002E6D43">
        <w:rPr>
          <w:rFonts w:ascii="Times New Roman" w:hAnsi="Times New Roman" w:cs="Times New Roman"/>
          <w:sz w:val="24"/>
          <w:szCs w:val="24"/>
          <w:lang w:val="es-CL"/>
        </w:rPr>
        <w:t xml:space="preserve"> conservan capacidad de ranking aun cuando el umbral 0,5 no produce positivos. CART oficial, al ser un nodo único, no discrimina (AUC=0,50). Por ello, 1-accuracy debe leerse junto con recall, F1 y AUC.</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br w:type="page"/>
      </w:r>
    </w:p>
    <w:p w:rsidR="002E6D43" w:rsidRPr="002E6D43" w:rsidRDefault="002E6D43"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p>
    <w:p w:rsidR="00E52C57" w:rsidRPr="002E6D43" w:rsidRDefault="007D0EB8" w:rsidP="002E6D43">
      <w:pPr>
        <w:pStyle w:val="Ttulo1"/>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5. Implicancias de política, comunicación y recomend</w:t>
      </w:r>
      <w:r w:rsidRPr="002E6D43">
        <w:rPr>
          <w:rFonts w:ascii="Times New Roman" w:hAnsi="Times New Roman" w:cs="Times New Roman"/>
          <w:color w:val="auto"/>
          <w:sz w:val="24"/>
          <w:szCs w:val="24"/>
          <w:lang w:val="es-CL"/>
        </w:rPr>
        <w:t>ación</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Para la Secretaría de Trabajo, el objetivo relevante es identificar grupos vulnerables para asignar recursos escasos. Bajo ese objetivo, minimizar exclusivamente 1-accuracy es una regla insuficiente: un modelo que clasifica a todos como formales logr</w:t>
      </w:r>
      <w:r w:rsidRPr="002E6D43">
        <w:rPr>
          <w:rFonts w:ascii="Times New Roman" w:hAnsi="Times New Roman" w:cs="Times New Roman"/>
          <w:sz w:val="24"/>
          <w:szCs w:val="24"/>
          <w:lang w:val="es-CL"/>
        </w:rPr>
        <w:t>a 93,81% de accuracy, pero omite al 100% de los informales.</w:t>
      </w:r>
    </w:p>
    <w:p w:rsidR="00E52C57" w:rsidRPr="002E6D43" w:rsidRDefault="007D0EB8" w:rsidP="002E6D43">
      <w:pPr>
        <w:pStyle w:val="Ttulo2"/>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Recomendación</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Entre los cuatro modelos evaluados bajo las reglas de la consigna, el Logit sin penalización ofrece el mejor compromiso operativo: tiene el mayor AUC (0,8015) y es el único que produ</w:t>
      </w:r>
      <w:r w:rsidRPr="002E6D43">
        <w:rPr>
          <w:rFonts w:ascii="Times New Roman" w:hAnsi="Times New Roman" w:cs="Times New Roman"/>
          <w:sz w:val="24"/>
          <w:szCs w:val="24"/>
          <w:lang w:val="es-CL"/>
        </w:rPr>
        <w:t>ce verdaderos positivos con p=0,5. Su recall de 12,36% sigue siendo bajo, por lo que no debe interpretarse como una solución definitiva. En una aplicación real, el umbral de decisión debería calibrarse según el costo relativo de falsos negativos, el presup</w:t>
      </w:r>
      <w:r w:rsidRPr="002E6D43">
        <w:rPr>
          <w:rFonts w:ascii="Times New Roman" w:hAnsi="Times New Roman" w:cs="Times New Roman"/>
          <w:sz w:val="24"/>
          <w:szCs w:val="24"/>
          <w:lang w:val="es-CL"/>
        </w:rPr>
        <w:t>uesto disponible y la capacidad del programa para intervenir.</w:t>
      </w:r>
    </w:p>
    <w:p w:rsidR="00E52C57" w:rsidRPr="002E6D43" w:rsidRDefault="007D0EB8" w:rsidP="002E6D43">
      <w:pPr>
        <w:pStyle w:val="Ttulo2"/>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Trade-off comunicación vs. performance</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LASSO es el modelo más parsimonioso y comunicable: resume la señal en tres variables y confirma que la informalidad previa y la cobertura de salud son pred</w:t>
      </w:r>
      <w:r w:rsidRPr="002E6D43">
        <w:rPr>
          <w:rFonts w:ascii="Times New Roman" w:hAnsi="Times New Roman" w:cs="Times New Roman"/>
          <w:sz w:val="24"/>
          <w:szCs w:val="24"/>
          <w:lang w:val="es-CL"/>
        </w:rPr>
        <w:t xml:space="preserve">ictores centrales. Sin embargo, con </w:t>
      </w:r>
      <w:r w:rsidRPr="002E6D43">
        <w:rPr>
          <w:rFonts w:ascii="Times New Roman" w:hAnsi="Times New Roman" w:cs="Times New Roman"/>
          <w:sz w:val="24"/>
          <w:szCs w:val="24"/>
        </w:rPr>
        <w:t>λ</w:t>
      </w:r>
      <w:r w:rsidRPr="002E6D43">
        <w:rPr>
          <w:rFonts w:ascii="Times New Roman" w:hAnsi="Times New Roman" w:cs="Times New Roman"/>
          <w:sz w:val="24"/>
          <w:szCs w:val="24"/>
          <w:lang w:val="es-CL"/>
        </w:rPr>
        <w:t>CV=100 y p=0,5 no identifica positivos. CART ofrece reglas intuitivas, pero el árbol seleccionado por CV colapsa a un nodo y no aporta ventaja predictiva no lineal. El Logit es menos parsimonioso, aunque entrega la mejo</w:t>
      </w:r>
      <w:r w:rsidRPr="002E6D43">
        <w:rPr>
          <w:rFonts w:ascii="Times New Roman" w:hAnsi="Times New Roman" w:cs="Times New Roman"/>
          <w:sz w:val="24"/>
          <w:szCs w:val="24"/>
          <w:lang w:val="es-CL"/>
        </w:rPr>
        <w:t>r discriminación global.</w:t>
      </w:r>
    </w:p>
    <w:p w:rsidR="00E52C57" w:rsidRPr="002E6D43" w:rsidRDefault="007D0EB8" w:rsidP="002E6D43">
      <w:pPr>
        <w:pStyle w:val="Ttulo2"/>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Conclusión económica</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lang w:val="es-CL"/>
        </w:rPr>
      </w:pPr>
      <w:r w:rsidRPr="002E6D43">
        <w:rPr>
          <w:rFonts w:ascii="Times New Roman" w:hAnsi="Times New Roman" w:cs="Times New Roman"/>
          <w:sz w:val="24"/>
          <w:szCs w:val="24"/>
          <w:lang w:val="es-CL"/>
        </w:rPr>
        <w:t>El TP4 modifica parcialmente la respuesta del TP3. Se mantiene la conclusión de que la historia laboral importa: informal_2024 es la señal más persistente en LASSO y CART. Pero el ejercicio demuestra que el 'me</w:t>
      </w:r>
      <w:r w:rsidRPr="002E6D43">
        <w:rPr>
          <w:rFonts w:ascii="Times New Roman" w:hAnsi="Times New Roman" w:cs="Times New Roman"/>
          <w:sz w:val="24"/>
          <w:szCs w:val="24"/>
          <w:lang w:val="es-CL"/>
        </w:rPr>
        <w:t>jor' modelo depende de la función objetivo. Para focalización social, la métrica debe penalizar especialmente la omisión de vulnerables; accuracy por sí sola puede inducir una decisión estadísticamente cómoda pero económicamente inadecuada.</w:t>
      </w:r>
    </w:p>
    <w:p w:rsidR="00E52C57" w:rsidRPr="002E6D43" w:rsidRDefault="007D0EB8" w:rsidP="002E6D43">
      <w:pPr>
        <w:pStyle w:val="Ttulo2"/>
        <w:spacing w:before="100" w:beforeAutospacing="1" w:after="100" w:afterAutospacing="1" w:line="240" w:lineRule="auto"/>
        <w:jc w:val="both"/>
        <w:rPr>
          <w:rFonts w:ascii="Times New Roman" w:hAnsi="Times New Roman" w:cs="Times New Roman"/>
          <w:color w:val="auto"/>
          <w:sz w:val="24"/>
          <w:szCs w:val="24"/>
          <w:lang w:val="es-CL"/>
        </w:rPr>
      </w:pPr>
      <w:r w:rsidRPr="002E6D43">
        <w:rPr>
          <w:rFonts w:ascii="Times New Roman" w:hAnsi="Times New Roman" w:cs="Times New Roman"/>
          <w:color w:val="auto"/>
          <w:sz w:val="24"/>
          <w:szCs w:val="24"/>
          <w:lang w:val="es-CL"/>
        </w:rPr>
        <w:t>Uso de IA</w:t>
      </w:r>
    </w:p>
    <w:p w:rsidR="00E52C57" w:rsidRPr="002E6D43" w:rsidRDefault="007D0EB8" w:rsidP="002E6D43">
      <w:pPr>
        <w:spacing w:before="100" w:beforeAutospacing="1" w:after="100" w:afterAutospacing="1" w:line="240" w:lineRule="auto"/>
        <w:jc w:val="both"/>
        <w:rPr>
          <w:rFonts w:ascii="Times New Roman" w:hAnsi="Times New Roman" w:cs="Times New Roman"/>
          <w:sz w:val="24"/>
          <w:szCs w:val="24"/>
        </w:rPr>
      </w:pPr>
      <w:r w:rsidRPr="002E6D43">
        <w:rPr>
          <w:rFonts w:ascii="Times New Roman" w:hAnsi="Times New Roman" w:cs="Times New Roman"/>
          <w:sz w:val="24"/>
          <w:szCs w:val="24"/>
          <w:lang w:val="es-CL"/>
        </w:rPr>
        <w:t>La IA</w:t>
      </w:r>
      <w:r w:rsidRPr="002E6D43">
        <w:rPr>
          <w:rFonts w:ascii="Times New Roman" w:hAnsi="Times New Roman" w:cs="Times New Roman"/>
          <w:sz w:val="24"/>
          <w:szCs w:val="24"/>
          <w:lang w:val="es-CL"/>
        </w:rPr>
        <w:t xml:space="preserve"> se utilizó como apoyo para estructurar y depurar código, verificar regularización y validación cruzada, y contrastar la interpretación del desbalance de clases. Fue más útil en tareas técnicas y de revisión que en las decisiones sustantivas, que se mantuv</w:t>
      </w:r>
      <w:r w:rsidRPr="002E6D43">
        <w:rPr>
          <w:rFonts w:ascii="Times New Roman" w:hAnsi="Times New Roman" w:cs="Times New Roman"/>
          <w:sz w:val="24"/>
          <w:szCs w:val="24"/>
          <w:lang w:val="es-CL"/>
        </w:rPr>
        <w:t xml:space="preserve">ieron alineadas con la definición de informalidad del Grupo 2, los TP previos y las indicaciones de clase. </w:t>
      </w:r>
      <w:proofErr w:type="spellStart"/>
      <w:r w:rsidRPr="002E6D43">
        <w:rPr>
          <w:rFonts w:ascii="Times New Roman" w:hAnsi="Times New Roman" w:cs="Times New Roman"/>
          <w:sz w:val="24"/>
          <w:szCs w:val="24"/>
        </w:rPr>
        <w:t>Tiempo</w:t>
      </w:r>
      <w:proofErr w:type="spellEnd"/>
      <w:r w:rsidRPr="002E6D43">
        <w:rPr>
          <w:rFonts w:ascii="Times New Roman" w:hAnsi="Times New Roman" w:cs="Times New Roman"/>
          <w:sz w:val="24"/>
          <w:szCs w:val="24"/>
        </w:rPr>
        <w:t xml:space="preserve"> total </w:t>
      </w:r>
      <w:proofErr w:type="spellStart"/>
      <w:r w:rsidRPr="002E6D43">
        <w:rPr>
          <w:rFonts w:ascii="Times New Roman" w:hAnsi="Times New Roman" w:cs="Times New Roman"/>
          <w:sz w:val="24"/>
          <w:szCs w:val="24"/>
        </w:rPr>
        <w:t>aproximado</w:t>
      </w:r>
      <w:proofErr w:type="spellEnd"/>
      <w:r w:rsidRPr="002E6D43">
        <w:rPr>
          <w:rFonts w:ascii="Times New Roman" w:hAnsi="Times New Roman" w:cs="Times New Roman"/>
          <w:sz w:val="24"/>
          <w:szCs w:val="24"/>
        </w:rPr>
        <w:t xml:space="preserve"> </w:t>
      </w:r>
      <w:proofErr w:type="spellStart"/>
      <w:r w:rsidRPr="002E6D43">
        <w:rPr>
          <w:rFonts w:ascii="Times New Roman" w:hAnsi="Times New Roman" w:cs="Times New Roman"/>
          <w:sz w:val="24"/>
          <w:szCs w:val="24"/>
        </w:rPr>
        <w:t>dedicado</w:t>
      </w:r>
      <w:proofErr w:type="spellEnd"/>
      <w:r w:rsidRPr="002E6D43">
        <w:rPr>
          <w:rFonts w:ascii="Times New Roman" w:hAnsi="Times New Roman" w:cs="Times New Roman"/>
          <w:sz w:val="24"/>
          <w:szCs w:val="24"/>
        </w:rPr>
        <w:t xml:space="preserve"> al TP4: 12 horas.</w:t>
      </w:r>
    </w:p>
    <w:sectPr w:rsidR="00E52C57" w:rsidRPr="002E6D43" w:rsidSect="00034616">
      <w:headerReference w:type="default" r:id="rId11"/>
      <w:footerReference w:type="default" r:id="rId12"/>
      <w:pgSz w:w="12240" w:h="15840"/>
      <w:pgMar w:top="749"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0EB8" w:rsidRDefault="007D0EB8">
      <w:pPr>
        <w:spacing w:after="0" w:line="240" w:lineRule="auto"/>
        <w:rPr>
          <w:rFonts w:hint="eastAsia"/>
        </w:rPr>
      </w:pPr>
      <w:r>
        <w:separator/>
      </w:r>
    </w:p>
  </w:endnote>
  <w:endnote w:type="continuationSeparator" w:id="0">
    <w:p w:rsidR="007D0EB8" w:rsidRDefault="007D0E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00000001" w:usb1="08070000" w:usb2="00000010" w:usb3="00000000" w:csb0="00020000" w:csb1="00000000"/>
  </w:font>
  <w:font w:name="Aptos">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2C57" w:rsidRDefault="007D0EB8">
    <w:pPr>
      <w:pStyle w:val="Piedepgina"/>
      <w:jc w:val="right"/>
      <w:rPr>
        <w:rFonts w:hint="eastAsia"/>
      </w:rPr>
    </w:pPr>
    <w:r>
      <w:t xml:space="preserve">Página </w:t>
    </w:r>
    <w:r>
      <w:fldChar w:fldCharType="begin"/>
    </w:r>
    <w:r>
      <w:instrText>PAGE</w:instrText>
    </w:r>
    <w:r w:rsidR="002E6D43">
      <w:rPr>
        <w:rFonts w:hint="eastAsia"/>
      </w:rPr>
      <w:fldChar w:fldCharType="separate"/>
    </w:r>
    <w:r w:rsidR="002E6D4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0EB8" w:rsidRDefault="007D0EB8">
      <w:pPr>
        <w:spacing w:after="0" w:line="240" w:lineRule="auto"/>
        <w:rPr>
          <w:rFonts w:hint="eastAsia"/>
        </w:rPr>
      </w:pPr>
      <w:r>
        <w:separator/>
      </w:r>
    </w:p>
  </w:footnote>
  <w:footnote w:type="continuationSeparator" w:id="0">
    <w:p w:rsidR="007D0EB8" w:rsidRDefault="007D0EB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2C57" w:rsidRPr="002E6D43" w:rsidRDefault="007D0EB8">
    <w:pPr>
      <w:pStyle w:val="Encabezado"/>
      <w:rPr>
        <w:rFonts w:hint="eastAsia"/>
        <w:lang w:val="es-CL"/>
      </w:rPr>
    </w:pPr>
    <w:r w:rsidRPr="002E6D43">
      <w:rPr>
        <w:color w:val="6B7280"/>
        <w:sz w:val="16"/>
        <w:lang w:val="es-CL"/>
      </w:rPr>
      <w:t>UBA | Maestría en Economía Aplicada | Taller de Programación | TP4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D43"/>
    <w:rsid w:val="00326F90"/>
    <w:rsid w:val="007D0EB8"/>
    <w:rsid w:val="008E17B4"/>
    <w:rsid w:val="00AA1D8D"/>
    <w:rsid w:val="00B47730"/>
    <w:rsid w:val="00B57FC0"/>
    <w:rsid w:val="00CB0664"/>
    <w:rsid w:val="00E52C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18631"/>
  <w14:defaultImageDpi w14:val="300"/>
  <w15:docId w15:val="{187B3E70-1676-7F4A-93C4-5FF8B32D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45" w:lineRule="auto"/>
    </w:pPr>
    <w:rPr>
      <w:rFonts w:ascii="Aptos" w:hAnsi="Aptos"/>
      <w:sz w:val="18"/>
    </w:rPr>
  </w:style>
  <w:style w:type="paragraph" w:styleId="Ttulo1">
    <w:name w:val="heading 1"/>
    <w:basedOn w:val="Normal"/>
    <w:next w:val="Normal"/>
    <w:link w:val="Ttulo1Car"/>
    <w:uiPriority w:val="9"/>
    <w:qFormat/>
    <w:rsid w:val="00FC693F"/>
    <w:pPr>
      <w:keepNext/>
      <w:keepLines/>
      <w:spacing w:before="80" w:after="60"/>
      <w:outlineLvl w:val="0"/>
    </w:pPr>
    <w:rPr>
      <w:rFonts w:asciiTheme="majorHAnsi" w:eastAsiaTheme="majorEastAsia" w:hAnsiTheme="majorHAnsi"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80" w:after="60"/>
      <w:outlineLvl w:val="1"/>
    </w:pPr>
    <w:rPr>
      <w:rFonts w:asciiTheme="majorHAnsi" w:eastAsiaTheme="majorEastAsia" w:hAnsiTheme="majorHAnsi" w:cstheme="majorBidi"/>
      <w:b/>
      <w:bCs/>
      <w:color w:val="2F5597"/>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rPr>
      <w:rFonts w:ascii="Aptos" w:hAnsi="Aptos"/>
      <w:b/>
      <w:color w:val="17365D"/>
      <w:sz w:val="20"/>
    </w:rPr>
  </w:style>
  <w:style w:type="character" w:styleId="Hipervnculo">
    <w:name w:val="Hyperlink"/>
    <w:basedOn w:val="Fuentedeprrafopredeter"/>
    <w:uiPriority w:val="99"/>
    <w:unhideWhenUsed/>
    <w:rsid w:val="00B57FC0"/>
    <w:rPr>
      <w:color w:val="0000FF" w:themeColor="hyperlink"/>
      <w:u w:val="single"/>
    </w:rPr>
  </w:style>
  <w:style w:type="character" w:styleId="Mencinsinresolver">
    <w:name w:val="Unresolved Mention"/>
    <w:basedOn w:val="Fuentedeprrafopredeter"/>
    <w:uiPriority w:val="99"/>
    <w:semiHidden/>
    <w:unhideWhenUsed/>
    <w:rsid w:val="00B57FC0"/>
    <w:rPr>
      <w:color w:val="605E5C"/>
      <w:shd w:val="clear" w:color="auto" w:fill="E1DFDD"/>
    </w:rPr>
  </w:style>
  <w:style w:type="paragraph" w:styleId="Textodeglobo">
    <w:name w:val="Balloon Text"/>
    <w:basedOn w:val="Normal"/>
    <w:link w:val="TextodegloboCar"/>
    <w:uiPriority w:val="99"/>
    <w:semiHidden/>
    <w:unhideWhenUsed/>
    <w:rsid w:val="008E17B4"/>
    <w:pPr>
      <w:spacing w:after="0" w:line="240" w:lineRule="auto"/>
    </w:pPr>
    <w:rPr>
      <w:rFonts w:ascii="Times New Roman" w:hAnsi="Times New Roman" w:cs="Times New Roman"/>
      <w:szCs w:val="18"/>
    </w:rPr>
  </w:style>
  <w:style w:type="character" w:customStyle="1" w:styleId="TextodegloboCar">
    <w:name w:val="Texto de globo Car"/>
    <w:basedOn w:val="Fuentedeprrafopredeter"/>
    <w:link w:val="Textodeglobo"/>
    <w:uiPriority w:val="99"/>
    <w:semiHidden/>
    <w:rsid w:val="008E17B4"/>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8E17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05C2B3-DF52-7B48-ABDF-5AA323A85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1143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Iron Man</cp:lastModifiedBy>
  <cp:revision>3</cp:revision>
  <cp:lastPrinted>2026-09-04T07:24:00Z</cp:lastPrinted>
  <dcterms:created xsi:type="dcterms:W3CDTF">2026-09-04T07:24:00Z</dcterms:created>
  <dcterms:modified xsi:type="dcterms:W3CDTF">2026-09-04T07:26:00Z</dcterms:modified>
  <cp:category/>
</cp:coreProperties>
</file>