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Cheat Sheet: Understanding Kubernetes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2785.5338199188836"/>
        <w:gridCol w:w="6239.977991104738"/>
        <w:tblGridChange w:id="0">
          <w:tblGrid>
            <w:gridCol w:w="2785.5338199188836"/>
            <w:gridCol w:w="6239.97799110473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 …do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Runs a for command multiple times as specified.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Applies a configuration to a resource.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config get-clusters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Displays clusters defined in the kubeconfig.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config get-contexts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Displays the current context.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Creates a resource.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Deletes resources.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describe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Shows details of a resource or group of resources.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expose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Exposes a resource to the internet as a Kubernetes service.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Displays resources.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get pods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Lists all the Pods.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get pods -o wide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Lists all the Pods with details.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get deployments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Lists the deployments created.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get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Lists the services created.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proxy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Creates a proxy server between a localhost and the Kubernetes API server.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Creates and runs a particular image in a pod.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kubectl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Prints the client and server version information.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