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2" w:type="dxa"/>
        <w:jc w:val="left"/>
        <w:tblLayout w:type="fixed"/>
        <w:tblLook w:val="0600"/>
      </w:tblPr>
      <w:tblGrid>
        <w:gridCol w:w="2556.193128055923"/>
        <w:gridCol w:w="6469.3186829677"/>
        <w:tblGridChange w:id="0">
          <w:tblGrid>
            <w:gridCol w:w="2556.193128055923"/>
            <w:gridCol w:w="6469.3186829677"/>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CD</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Continuous delivery.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CI</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Continuous integration.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Code coverage</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The percentage of code that gets executed when you run automated testing.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Doctest</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This tool lets you write your test in the docstrings or code comments.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Nose</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test runner and allows you to add color, formatting, and other test output.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Peek</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command to look at the item at the top of the stack without removing it from the stack.</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Pinocchio</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 plugin that adds color to the test output.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Pop</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command to remove something from the stack.</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Push</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command to add or push into a stack.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Pytest</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 Python testing framework tool that enables you to have an infinite number of setups and teardowns.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PyUnit</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Also known as the unittest package. It is built-in to Python and is one of the two most popular frameworks for Python testing.</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Red/Green/Refactor</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nickname of the TDD workflow in which you write a test case and watch it fail (red), then write code to make it pass (green), and then refactor to make it better - TDD tools output failing test cases in red and passing test cases in green.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RSpec</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An extremely popular framework for Ruby that is also available in Python.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setUpModule()</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Runs once before the entire Python module, which is a single Python file.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Stack</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Is a data structure that implements a last in, first out (or LIFO) behavior.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tearDownModule()</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Runs once at the end of the module after all the tests have run.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Test assertion</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statement that evaluates to either True or False.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Test driven development (TDD)</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 test methodology in which your unit test cases drive the design of the code that you are developing. This keeps you focused on how your code will be called and what the caller expects in return.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Test fixtures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Are used to establish an initial known state before and after running tests.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unittest</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default Python test runner, also known as PyUnit.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xUnit series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This series includes JUnit for Java, PyUnit for Python, NUnit for .Net platform, and Embunit for C and C++.</w:t>
            </w:r>
          </w:p>
        </w:tc>
      </w:tr>
    </w:tbl>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