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2799.867613160319"/>
        <w:gridCol w:w="6225.644197863304"/>
        <w:tblGridChange w:id="0">
          <w:tblGrid>
            <w:gridCol w:w="2799.867613160319"/>
            <w:gridCol w:w="6225.64419786330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context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 variable in all step functions contains information that can be passed from one step to the next step.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context.base_url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The variable to get to the home page.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environment.py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 Python file to establish the initial testing environment. Often used to establish drivers and save context variables like the base_url.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HTTP 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 method on the URL of the home page to get the page's Contents.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NotImplementedErrorv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 a Gherkin document, the first keyword is usually Feature, followed by a colon and the title. This is a syntax that most agile teams use when they define their user stories.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Red/Green/Refactor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The nickname of the TDD workflow in which you write a test case and watch it fail (red), then write code to make it pass (green), and then refactor to make it better - TDD tools output failing test cases in red and passing test cases in green.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Variable substitution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 way to pass in an element name that can change its value at runtime. This enhances the reusability of steps with BDD testing.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