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Layout w:type="fixed"/>
        <w:tblLook w:val="0600"/>
      </w:tblPr>
      <w:tblGrid>
        <w:gridCol w:w="3088.2926529659617"/>
        <w:gridCol w:w="4116.15905266132"/>
        <w:gridCol w:w="1821.0601053963421"/>
        <w:tblGridChange w:id="0">
          <w:tblGrid>
            <w:gridCol w:w="3088.2926529659617"/>
            <w:gridCol w:w="4116.15905266132"/>
            <w:gridCol w:w="1821.0601053963421"/>
          </w:tblGrid>
        </w:tblGridChange>
      </w:tblGrid>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Where the term is introduced</w:t>
            </w:r>
            <w:r w:rsidDel="00000000" w:rsidR="00000000" w:rsidRPr="00000000">
              <w:rPr>
                <w:rtl w:val="0"/>
              </w:rPr>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Argo CD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Intuit originally developed Argo CD, looking for a lighter tool than Spinnaker to improve build and deployment times and streamline their GitOps workflow.</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Tools of Continuous Delivery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Artifacts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Files or data generated during the pipeline execution are often stored in persistent storage for sharing across different tasks within the pipeline.</w:t>
            </w:r>
          </w:p>
        </w:tc>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Introduction to Tekton and Pipelines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Bitnami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 library of installers or software packages for web applications and software stacks as well as virtual appliances.</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Build a Tekton Pipeline Video</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Buildah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 command-line tool and a popular container-building utility that enables the creation and manipulation of OCI (Open Container Initiative) container images.</w:t>
            </w:r>
          </w:p>
        </w:tc>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Building an Image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Building Blocks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The basic components provided by Tekton for creating pipelines allow for creating simple or complex workflows.</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Introduction to Tekton and Pipelines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Cluster Level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Tasks or resources installed at the cluster level in Kubernetes. Cluster-level resources are accessible and usable by all namespaces within the cluster.</w:t>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Deploy to Kubernetes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Concourse CI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 tool that contains CD capabilities and was initially built with containers in mind.</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Tools of Continuous Delivery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Continuous Delivery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 series of practices designed to ensure that code can be rapidly and safely deployed to production by delivering every change to a production-like environment.</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What is CD Video</w:t>
            </w:r>
          </w:p>
        </w:tc>
      </w:tr>
      <w:tr>
        <w:trPr>
          <w:cantSplit w:val="0"/>
          <w:trHeight w:val="33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Continuous Integration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Continuous Integration is continuously integrating your code back into the main or master, or trunk branch, so it shouldn't too far away before you merge stuff back into the main branch to ensure it works. You are continuously integrating your code with the main code.</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What is CD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Custom Resource Definitions (CRD)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Tekton uses them to define the various components of a CI/CD pipeline, such as EventListener, TriggerBinding, TriggerTemplate, PipelineRun, and TaskRun.</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Introduction to Tekton and Pipelines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Dynamic Application Security Testing (DAST)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Dynamic Application Security Testing (or DAST) scans for incorrect security assumptions hidden in the source code.</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Tools of Continuous Delivery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Events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External triggers that initiate a pipeline run, such as pull requests or commits in a Git repository.</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Introduction to Tekton and Pipelines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Git Clone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The command creates a copy of a specific repository or branch within a repository.</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Leveraging the Tekton Catalog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GitLab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GitLab can implement both CI and CD and a source code manager. It supports all major cloud platforms, making the CI/CD pipeline flexible.</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Tools of Continuous Delivery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Go CD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Go CD is a tool with an easy pipeline setup with native Docker and Kubernetes support.</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Tools of Continuous Delivery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Jenkins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Jenkins is one of the older CI/CD tools on the market and one of the most popular. It has a huge community and supports countless plugins, but isn't ideal for CD.</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Tools of Continuous Delivery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Kubernetes Cluster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 group or collection of nodes (physical or virtual machines) that are interconnected and managed by the Kubernetes platform.</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Introduction to Tekton and Pipelines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Kubernetes Manifest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Describes the resources (for example, Deployments, Services, Pods, and so on) you want to create and how you want those resources to run inside a cluster.</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Build a Tekton Pipeline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Oc apply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 command used with the 'oc' command-line tool to apply Kubernetes manifest files and create or update resources in OpenShift.</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Deploy to Kubernetes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Oc create deploy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 command used with the 'oc' command-line tool to create a deployment in OpenShift, specifying the name of the application and the image to use.</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Deploy to Kubernetes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Openshift-Client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 Tekton task available in Tekton Hub allows users to interact with OpenShift clusters using the 'oc' command, allowing users to perform various operations.</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Deploy to Kubernetes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PersistentVolumeClaim (PVC)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Storage attached to pods, allowing artifacts to be shared between different tasks within a pipeline.</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Introduction to Tekton and Pipelines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Pipeline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 pipeline is a collection of tasks.</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Introduction to Tekton and Pipelines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PipelineRun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The instantiation of a pipeline triggered by an event or manually created is responsible for managing the execution of tasks.</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Introduction to Tekton and Pipelines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Pods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The smallest and simplest unit in the Kubernetes object model, representing a single instance of a running process within a cluster.</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Introduction to Tekton and Pipelines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Secret Scanning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Secret scanning for API keys and credentials prevents accidental exposure of sensitive information.</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Tools of Continuous Delivery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Spinnaker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 dedicated cloud-agnostic CD tool built in-house by Netflix</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Tools of Continuous Delivery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Static Application Security Testing (SAST)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Identifies vulnerabilities of the entire code base, such as SQL injections and cross-site scripting.</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Tools of Continuous Delivery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Steps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The actual commands that are executed to carry out the tasks.</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Introduction to Tekton and Pipelines Video</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 task is a unit of work that comprises one or more steps. It can also define the parameters required to carry out the steps and workspaces to store artifacts.</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Introduction to Tekton and Pipelines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TaskRun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Created by the PipelineRun for each task in a pipeline, it creates a Kubernetes pod where the task is executed.</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Introduction to Tekton and Pipelines Video</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Tekton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Tekton is a flexible, open-source framework for creating CI/CD pipelines. It provides you with a basic set of building blocks that you can use to build CI/CD pipelines, from very simple to very elaborate.</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Introduction to Tekton and Pipelines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Tekton Catalog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A community-driven repository of Tekton building blocks.</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Leveraging the Tekton Catalog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Tekton Hub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A central hub for searching and sharing Tekton resources.</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Leveraging the Tekton Catalog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Tekton Pipelines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 Kubernetes extension that installs and runs on your Kubernetes cluster.</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Tools of Continuous Delivery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Travis CI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Travis CI is a CI tool that contains CD capabilities.</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Tools of Continuous Delivery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Trigger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The stimulus that starts a pipeline run in response to an event.</w:t>
            </w:r>
          </w:p>
        </w:tc>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Introduction to Tekton and Pipelines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TriggerBinding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 Kubernetes custom resource definition (CRD) that captures parameters from an external event.</w:t>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Introduction to Tekton and Pipelines Video</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TriggerTemplate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 Kubernetes custom resource definition (CRD) that associates parameters from a TriggerBinding with a PipelineRun.</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Introduction to Tekton and Pipelines Video</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Vulnerability scanning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Vulnerability scanning helps identify dependencies and component vulnerabilities.</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Tools of Continuous Delivery Video</w:t>
            </w:r>
          </w:p>
        </w:tc>
      </w:tr>
    </w:tbl>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