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Sprint 2: planificación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22"/>
          <w:szCs w:val="22"/>
        </w:rPr>
        <w:t>Sistema de Homologación de Materias (FISEI-UTA) · 22 de octubre al 4 de noviembre de 2026 · Desarrollo principal: 22–30 de octubre · Cierre y Review: miércoles 4 de noviembre</w:t>
      </w:r>
    </w:p>
    <w:p>
      <w:r>
        <w:t>Ajuste de calendario preparado el 27 de octubre. Se conserva el compromiso de 40 PH y 69 h; fechas, capacidad y riesgos se sincronizan con las ocho jornadas solicitadas. Las propuestas de coordinación quedan sujetas al Planning del equipo.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Punto de partida (Sprint 1)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>Se entregaron las 7 historias comprometidas (26 PH) del Sprint 1 en 5 días hábiles. La referencia observada es 26 ÷ 5 = 5,2 PH por día del equipo. Se utiliza como proyección inicial, no como garantía de productividad ni conversión entre puntos y horas.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Ya existe: contraseñas con hash (ASP.NET Identity), token JWT firmado (HS256) con clave obligatoria de al menos 32 bytes tomada del entorno, validación de emisor, audiencia y caducidad en el Gateway, y token guardado solo en memoria en el frontend.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 existe aún: HTTPS (todo corre por HTTP en local), cifrado del contenido del token, ni una clave de aplicación que impida llamar a los servicios saltándose el Gateway.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Objetivo del sprint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Cerrar la brecha de seguridad pedida por el ingeniero (HTTPS, token cifrado y clave secreta de la aplicación) y habilitar el flujo base de una solicitud: el coordinador la registra, asigna a dos docentes y estos ven el análisis del agente de IA.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Capacidad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>Se planifican 8 jornadas: jueves 22, viernes 23, lunes 26, martes 27, miércoles 28, jueves 29 y viernes 30 de octubre, más miércoles 4 de noviembre. No se asignan horas al fin de semana ni al 2 y 3 de noviembre. Se mantienen 3 h por integrante en cada jornada, incluida la del 4 de noviembre; la disponibilidad real debe confirmarla el equipo.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cantSplit/>
          <w:tblHeader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Cálculo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Resultado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Referencia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4 integrantes × 3 h × 8 jornadas × 0,8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76,8 h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Capacidad efectiva; 96 h brutas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26 PH ÷ 5 días × 8 jornadas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41,6 PH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Proyección orientativa de una sola iteración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Compromiso del sprint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40 PH · 69 h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Margen: 7,8 h efectivas</w:t>
            </w:r>
          </w:p>
        </w:tc>
      </w:tr>
    </w:tbl>
    <w:p>
      <w:r>
        <w:t>Distribución por parejas: Pablo–Leslie tienen 40 h estimadas frente a 38,4 h efectivas; Edwin–Shirley, 29 h frente a 38,4 h. Se propone que Edwin–Shirley apoyen 2 h de T37 (pruebas de integración del agente), conservando el responsable de HU-18. Con esa coordinación, la carga queda en 38 h y 31 h. Es una propuesta para Planning, no una reasignación ya acordada. Shirley conserva la aceptación como PO y su tiempo no se contabiliza dos veces.</w:t>
      </w:r>
    </w:p>
    <w:p>
      <w:pPr>
        <w:spacing w:after="140" w:before="0"/>
      </w:pP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>El trabajo principal se concentra hasta el viernes 30 de octubre. El miércoles 4 de noviembre se reserva para integración final, correcciones, comprobación de criterios y cierre; no se programa el inicio de historias nuevas. Los eventos y contingencias se consideran dentro del factor de enfoque del 0,8, no como horas adicionales. No se retiran HU-19/HU-20 automáticamente por el 2 y 3 de noviembre, porque esas fechas ya están excluidas de la capacidad.</w:t>
      </w:r>
    </w:p>
    <w:p>
      <w:pPr>
        <w:keepNext/>
      </w:pPr>
      <w:r>
        <w:rPr>
          <w:b/>
        </w:rPr>
        <w:t>Calendario de ejecución previsto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9D9D9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300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9D9D9"/>
          </w:tcPr>
          <w:p>
            <w:r>
              <w:rPr>
                <w:b/>
              </w:rPr>
              <w:t>Pablo y Leslie</w:t>
            </w:r>
          </w:p>
        </w:tc>
        <w:tc>
          <w:tcPr>
            <w:tcW w:type="dxa" w:w="300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9D9D9"/>
          </w:tcPr>
          <w:p>
            <w:r>
              <w:rPr>
                <w:b/>
              </w:rPr>
              <w:t>Edwin y Shirley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r>
              <w:t>22–23 oct</w:t>
            </w:r>
          </w:p>
        </w:tc>
        <w:tc>
          <w:tcPr>
            <w:tcW w:type="dxa" w:w="300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r>
              <w:t>Diseño de seguridad, HTTPS y contrato del token cifrado.</w:t>
            </w:r>
          </w:p>
        </w:tc>
        <w:tc>
          <w:tcPr>
            <w:tcW w:type="dxa" w:w="300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r>
              <w:t>Modelo de solicitudes y contrato con Auth; inicio HU-10.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r>
              <w:t>26–27 oct</w:t>
            </w:r>
          </w:p>
        </w:tc>
        <w:tc>
          <w:tcPr>
            <w:tcW w:type="dxa" w:w="300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r>
              <w:t>Emisión/validación del token y clave interna; adaptar frontend.</w:t>
            </w:r>
          </w:p>
        </w:tc>
        <w:tc>
          <w:tcPr>
            <w:tcW w:type="dxa" w:w="300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r>
              <w:t>Registro de solicitudes y aprobadas; asignación de docentes.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r>
              <w:t>28–29 oct</w:t>
            </w:r>
          </w:p>
        </w:tc>
        <w:tc>
          <w:tcPr>
            <w:tcW w:type="dxa" w:w="300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r>
              <w:t>Adaptador IA, análisis interno y orquestación determinista.</w:t>
            </w:r>
          </w:p>
        </w:tc>
        <w:tc>
          <w:tcPr>
            <w:tcW w:type="dxa" w:w="300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r>
              <w:t>Vista docente, persistencia y análisis externo sobre el agente común.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r>
              <w:t>30 oct</w:t>
            </w:r>
          </w:p>
        </w:tc>
        <w:tc>
          <w:tcPr>
            <w:tcW w:type="dxa" w:w="300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r>
              <w:t>Completar integración y entregar funcionalidades listas para aceptación.</w:t>
            </w:r>
          </w:p>
        </w:tc>
        <w:tc>
          <w:tcPr>
            <w:tcW w:type="dxa" w:w="300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r>
              <w:t>Prueba del flujo integrado, resultados y correcciones prioritarias.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r>
              <w:t>4 nov</w:t>
            </w:r>
          </w:p>
        </w:tc>
        <w:tc>
          <w:tcPr>
            <w:tcW w:type="dxa" w:w="300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r>
              <w:t>Estabilización, verificación de seguridad y apoyo a la demostración.</w:t>
            </w:r>
          </w:p>
        </w:tc>
        <w:tc>
          <w:tcPr>
            <w:tcW w:type="dxa" w:w="300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r>
              <w:t>Aceptación de la PO, evidencias, Review y retrospectiva.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Historias comprometidas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1100"/>
        <w:gridCol w:w="600"/>
        <w:gridCol w:w="2126"/>
      </w:tblGrid>
      <w:tr>
        <w:trPr>
          <w:cantSplit/>
          <w:tblHeader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Historia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Prioridad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PH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Responsables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HU-36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Clave secreta de la aplicación (acceso solo por el Gateway)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Pablo Toapanta y Leslie Coello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HU-35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Token de sesión firmado y cifrado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Pablo Toapanta y Leslie Coello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HU-34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Acceso seguro por HTTPS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Pablo Toapanta y Leslie Coello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HU-18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Agente de IA: análisis de homologación interna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Pablo Toapanta y Leslie Coello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HU-10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Registrar la solicitud que llega por Quipux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Edwin Caraguay y Shirley Amaguaña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HU-11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Registrar asignaturas aprobadas del estudiante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Edwin Caraguay y Shirley Amaguaña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HU-29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Asignar dos docentes a la solicitud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Edwin Caraguay y Shirley Amaguaña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HU-30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Docente: ver solicitudes asignadas y resultado del agente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Edwin Caraguay y Shirley Amaguaña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HU-19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Agente de IA: análisis de homologación externa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Edwin Caraguay y Shirley Amaguaña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HU-20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Guardar el resultado del análisis en la base de datos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Edwin Caraguay y Shirley Amaguaña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TOTAL: 10 historias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40" w:before="0"/>
      </w:pP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>HU-31 (revisión propia del docente, 5 PH) queda fuera del compromiso. Solo podrá incorporarse si las historias comprometidas cumplen sus criterios y existe capacidad real confirmada por la Product Owner.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 Sprint Backlog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6426"/>
        <w:gridCol w:w="800"/>
      </w:tblGrid>
      <w:tr>
        <w:trPr>
          <w:cantSplit/>
          <w:tblHeader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Tarea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Actividad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Horas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T16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HU-34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Certificado de desarrollo y HTTPS en el Gateway, con HSTS y variables en compose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T17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HU-34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El frontend usa el Gateway por HTTPS; redirección desde HTTP y pruebas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T18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HU-35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Auth: emitir token firmado y cifrado; la clave de cifrado se valida al arrancar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T19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HU-35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Gateway y servicios: descifrar y validar el token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T20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HU-35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El login devuelve nombre, rol y expiración; el frontend deja de leer el token y se ajustan sus pruebas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T21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HU-35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Pruebas: token alterado, sin cifrar o con otra clave es rechazado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T22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HU-36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Verificación de la clave de aplicación en Auth, Catálogo, Homologación y Solicitudes; comparación segura y fallo de arranque si falta. Coordinar su incorporación con T26.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T23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HU-36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El Gateway agrega la clave a cada petición hacia los servicios (transformación YARP)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T24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HU-36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Compose: no publicar puertos de servicios internos; APP_SECRET_KEY en .env y .env.example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T25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HU-36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Pruebas: la llamada directa sin clave se rechaza; por el Gateway funciona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HU-10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solicitudes-service: entidad Solicitud, migración y API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T27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HU-10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Interfaz para registrar la solicitud (n.º de trámite Quipux, estudiante, tipo y carreras)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T28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HU-11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Entidad Asignatura aprobada (nota, fecha, matrícula) y API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T29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HU-11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Interfaz para registrar asignaturas aprobadas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T30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HU-29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API para asignar dos docentes distintos con rol Docente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T31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HU-29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Interfaz para asignar docentes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T32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HU-30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API de solicitudes asignadas a un docente y su resultado del agente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T33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HU-30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Interfaz del docente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T34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HU-18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Puerto y adaptador del agente (Ollama): modelo configurable y salida JSON validada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T35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HU-18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Prompt y reglas del análisis interno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T36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HU-18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Orquestación: el motor determinista da el veredicto y el agente lo justifica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T37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HU-18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Pruebas con agente simulado y una prueba con modelo real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T38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HU-19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Reglas del análisis externo (RN-05 y RN-06) sobre el mismo agente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T39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HU-20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Guardar el resultado en la base de homologación (migración)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69 h</w:t>
            </w:r>
          </w:p>
        </w:tc>
      </w:tr>
    </w:tbl>
    <w:p>
      <w:pPr>
        <w:spacing w:after="140" w:before="0"/>
      </w:pP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Los diagramas, los modelos de pantalla y las ceremonias siguen fuera del Sprint Backlog, como se acordó con el ingeniero.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 Historias nuevas de seguridad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>La planificación ya incluye HU-34 para HTTPS, HU-35 para JWT firmado y cifrado y HU-36 para la clave secreta entre Gateway y servicios. Suman 13 PH y 26 h estimadas. Se conservan separadas para verificar cada necesidad. El requisito comunicado por el ingeniero se contrasta mediante criterios concretos: cifrado de transporte, protección del token y restricción del acceso interno. Las contraseñas siguen almacenadas con hash; la clave de servidor no se incluye en React ni en variables VITE_.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HU-34: Acceso seguro por HTTPS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Historia de usuarios</w:t>
            </w:r>
          </w:p>
        </w:tc>
      </w:tr>
      <w:tr>
        <w:trPr>
          <w:cantSplit/>
        </w:trPr>
        <w:tc>
          <w:tcPr>
            <w:tcW w:type="dxa" w:w="45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Número: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45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Usuario: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Usuario registrado (Administrador, Docente o Coordinador)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Nombre historia: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Acceso seguro por HTTPS</w:t>
            </w:r>
          </w:p>
        </w:tc>
      </w:tr>
      <w:tr>
        <w:trPr>
          <w:cantSplit/>
        </w:trPr>
        <w:tc>
          <w:tcPr>
            <w:tcW w:type="dxa" w:w="45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Prioridad en negocio: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Alta</w:t>
            </w:r>
          </w:p>
        </w:tc>
        <w:tc>
          <w:tcPr>
            <w:tcW w:type="dxa" w:w="45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Riesgo en desarrollo: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45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Puntos estimados: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5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Iteraciones asignadas: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Programador responsable: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Pablo Toapanta y Leslie Coello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Descripción:</w:t>
            </w:r>
          </w:p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Como usuario registrado, quiero que mis credenciales y mi sesión viajen cifradas entre el navegador y el sistema, para que nadie pueda leerlas en la red.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Validación (criterios de aceptación):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 abrir el sistema por HTTP, el Gateway redirige a HTTPS.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 contraseña del inicio de sesión solo se envía por una conexión HTTPS.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Las respuestas del Gateway incluyen la cabecera de transporte seguro (HSTS).</w:t>
            </w:r>
          </w:p>
        </w:tc>
      </w:tr>
    </w:tbl>
    <w:p>
      <w:pPr>
        <w:spacing w:after="140" w:before="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HU-35: Token de sesión cifrado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Historia de usuarios</w:t>
            </w:r>
          </w:p>
        </w:tc>
      </w:tr>
      <w:tr>
        <w:trPr>
          <w:cantSplit/>
        </w:trPr>
        <w:tc>
          <w:tcPr>
            <w:tcW w:type="dxa" w:w="45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Número: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45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Usuario: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Usuario registrado (Administrador, Docente o Coordinador)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Nombre historia: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Token de sesión cifrado</w:t>
            </w:r>
          </w:p>
        </w:tc>
      </w:tr>
      <w:tr>
        <w:trPr>
          <w:cantSplit/>
        </w:trPr>
        <w:tc>
          <w:tcPr>
            <w:tcW w:type="dxa" w:w="45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Prioridad en negocio: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Alta</w:t>
            </w:r>
          </w:p>
        </w:tc>
        <w:tc>
          <w:tcPr>
            <w:tcW w:type="dxa" w:w="45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Riesgo en desarrollo: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45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Puntos estimados: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5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Iteraciones asignadas: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Programador responsable: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Pablo Toapanta y Leslie Coello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Descripción:</w:t>
            </w:r>
          </w:p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Como usuario registrado, quiero que mi token de sesión esté firmado y cifrado, para que su contenido (nombre y rol) no pueda leerse ni modificarse fuera del sistema.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Validación (criterios de aceptación):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El token emitido al iniciar sesión no puede leerse con una herramienta de decodificación de JWT sin la clave de cifrado.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Un token alterado, sin cifrar o cifrado con otra clave es rechazado con HTTP 401.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Si falta la clave de cifrado o es más corta de lo requerido, el servicio no inicia y no muestra su valor.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El inicio de sesión devuelve nombre, rol y expiración para la interfaz, y las rutas protegidas siguen funcionando para los tres roles.</w:t>
            </w:r>
          </w:p>
        </w:tc>
      </w:tr>
    </w:tbl>
    <w:p>
      <w:pPr>
        <w:spacing w:after="140" w:before="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HU-36: Clave secreta de la aplicación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Historia de usuarios</w:t>
            </w:r>
          </w:p>
        </w:tc>
      </w:tr>
      <w:tr>
        <w:trPr>
          <w:cantSplit/>
        </w:trPr>
        <w:tc>
          <w:tcPr>
            <w:tcW w:type="dxa" w:w="45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Número: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45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Usuario: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Nombre historia: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Clave secreta de la aplicación</w:t>
            </w:r>
          </w:p>
        </w:tc>
      </w:tr>
      <w:tr>
        <w:trPr>
          <w:cantSplit/>
        </w:trPr>
        <w:tc>
          <w:tcPr>
            <w:tcW w:type="dxa" w:w="45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Prioridad en negocio: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Alta</w:t>
            </w:r>
          </w:p>
        </w:tc>
        <w:tc>
          <w:tcPr>
            <w:tcW w:type="dxa" w:w="45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Riesgo en desarrollo: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45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Puntos estimados: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5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Iteraciones asignadas: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Programador responsable: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Pablo Toapanta y Leslie Coello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Descripción:</w:t>
            </w:r>
          </w:p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Como administrador, quiero que los servicios solo respondan a peticiones que traigan la clave secreta de la aplicación, para que nadie pueda acceder saltándose el Gateway.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Validación (criterios de aceptación):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>Una petición directa a Auth, Catálogo, Homologación o Solicitudes sin la clave es rechazada.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Una petición hecha por el Gateway con la clave correcta funciona con normalidad.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Si la clave no está configurada o es demasiado corta, el servicio no inicia y no muestra su valor.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 clave no aparece en el repositorio, en los registros ni en las respuestas.</w:t>
            </w:r>
          </w:p>
        </w:tc>
      </w:tr>
    </w:tbl>
    <w:p>
      <w:pPr>
        <w:spacing w:after="140" w:before="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 Cambios al Product Backlog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Pasan al Sprint 3: HU-08 (carga masiva de programas analíticos), HU-31, HU-23, HU-32 y HU-33 (revisión docente, informe y finalización).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>La planificación base estima el Sprint 3 en 68 PH frente a una capacidad orientativa de 52–56 PH. Debe reconciliarse el total con el Product Backlog vigente antes de comprometerlo. HU-07, HU-09, HU-12, HU-17 y HU-24 suman 15 PH y son candidatas a revisión de prioridad, no recortes aprobados. El Sprint 3 mantiene inicio el jueves 5 y cierre el miércoles 18 de noviembre: terminar el desarrollo principal del Sprint 2 el 30 deja margen de estabilización hasta el 4, pero no adelanta formalmente el Sprint 3.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 Riesgos del sprint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cantSplit/>
          <w:tblHeader/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Riesgo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FBFB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Mitigación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El token cifrado cambia el login del frontend y sus pruebas.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Hacer HU-35 primero y de forma que el login devuelva nombre, rol y expiración, para que la interfaz no necesite leer el token.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Cerrar los puertos de los servicios puede romper pruebas y CI.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Hacer HU-36 en una rama propia y actualizar el compose y los workflows en el mismo pull request.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El agente local (Ollama) es lento o impreciso.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El motor determinista decide el veredicto; el agente solo justifica. Pruebas con agente simulado.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HU-30 depende del resultado de HU-18.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Empezar HU-30 con resultados simulados y conectarla al agente al final.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Disponibilidad y cierre del 4 de noviembre.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No contar el 2 y 3 de noviembre. Confirmar las 3 h del día 4; si se pierden, la capacidad baja a 67,2 h y las 69 h planificadas exceden el límite por 1,8 h. La PO debe ajustar alcance o disponibilidad.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Pull requests sin revisar a tiempo (en el Sprint 1 quedaron #27 y #29).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Revisar los pull requests el mismo día y dejar la evidencia en el registro.</w:t>
            </w:r>
          </w:p>
        </w:tc>
      </w:tr>
      <w:tr>
        <w:tc>
          <w:tcPr>
            <w:tcW w:type="dxa" w:w="4300"/>
          </w:tcPr>
          <w:p>
            <w:r>
              <w:t>HU-29 necesita docentes y coordinador con cuentas y roles disponibles.</w:t>
            </w:r>
          </w:p>
        </w:tc>
        <w:tc>
          <w:tcPr>
            <w:tcW w:type="dxa" w:w="4726"/>
          </w:tcPr>
          <w:p>
            <w:r>
              <w:t>Preparar cuentas de prueba mediante una carga controlada antes de la integración. La administración completa de usuarios HU-02 sigue fuera de este compromiso.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 Para confirmar con el ingeniero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>Confirmar el criterio técnico de HU-35: token firmado y cifrado, algoritmos y claves adecuados a la librería elegida, sin exponer secretos. HTTPS protege el canal y no sustituye el hash de contraseñas. HU-36 debe proteger también solicitudes-service; la clave de aplicación complementa JWT y permisos por rol, no los reemplaza.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>Confirmar las tres historias de seguridad separadas, sus criterios de aceptación y la responsabilidad de las pruebas de integración al incorporar solicitudes-service.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>Confirmar 3 h por integrante el miércoles 4 de noviembre, el horario de Review y el avance real del 22 al 26 de octubre. Este documento distribuye trabajo planificado; no acredita tareas ya ejecutadas ni disponibilidad retrospectiva.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2026-10-26T01:22:55.943Z</dcterms:created>
  <dcterms:modified xsi:type="dcterms:W3CDTF">2026-10-26T01:22:55.943Z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