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0" w:after="140" w:line="259" w:lineRule="auto"/>
        <w:ind w:left="0" w:right="0" w:firstLine="0"/>
        <w:jc w:val="center"/>
      </w:pPr>
      <w:r>
        <w:rPr>
          <w:rFonts w:ascii="Calibri" w:hAnsi="Calibri"/>
          <w:color w:val="000000"/>
          <w:sz w:val="22"/>
        </w:rPr>
        <w:t>DUOC UC · SEDE MAIPÚ</w:t>
      </w:r>
    </w:p>
    <w:p>
      <w:pPr>
        <w:keepLines w:val="0"/>
        <w:widowControl/>
        <w:spacing w:before="0" w:after="140" w:line="259" w:lineRule="auto"/>
        <w:ind w:left="0" w:right="0" w:firstLine="0"/>
        <w:jc w:val="center"/>
      </w:pPr>
      <w:r>
        <w:rPr>
          <w:rFonts w:ascii="Calibri" w:hAnsi="Calibri"/>
          <w:color w:val="000000"/>
          <w:sz w:val="22"/>
        </w:rPr>
        <w:t>Ingeniería en Informática · Asignatura Capstone</w:t>
      </w:r>
    </w:p>
    <w:p>
      <w:pPr>
        <w:keepLines w:val="0"/>
        <w:widowControl/>
        <w:spacing w:before="0" w:after="0" w:line="260" w:lineRule="exact"/>
        <w:ind w:left="0" w:right="0" w:firstLine="0"/>
        <w:jc w:val="center"/>
      </w:pPr>
    </w:p>
    <w:p>
      <w:pPr>
        <w:keepLines w:val="0"/>
        <w:widowControl/>
        <w:spacing w:before="0" w:after="0" w:line="260" w:lineRule="exact"/>
        <w:ind w:left="0" w:right="0" w:firstLine="0"/>
        <w:jc w:val="center"/>
      </w:pPr>
    </w:p>
    <w:p>
      <w:pPr>
        <w:keepLines w:val="0"/>
        <w:widowControl/>
        <w:spacing w:before="0" w:after="0" w:line="260" w:lineRule="exact"/>
        <w:ind w:left="0" w:right="0" w:firstLine="0"/>
        <w:jc w:val="center"/>
      </w:pPr>
    </w:p>
    <w:p>
      <w:pPr>
        <w:keepLines w:val="0"/>
        <w:widowControl/>
        <w:spacing w:before="0" w:after="0" w:line="260" w:lineRule="exact"/>
        <w:ind w:left="0" w:right="0" w:firstLine="0"/>
        <w:jc w:val="center"/>
      </w:pPr>
    </w:p>
    <w:p>
      <w:pPr>
        <w:pStyle w:val="Title"/>
        <w:keepLines w:val="0"/>
        <w:widowControl/>
        <w:spacing w:before="0" w:after="140" w:line="259" w:lineRule="auto"/>
        <w:ind w:left="0" w:right="0" w:firstLine="0"/>
        <w:jc w:val="center"/>
      </w:pPr>
      <w:r>
        <w:rPr>
          <w:rFonts w:ascii="Calibri" w:hAnsi="Calibri"/>
          <w:b/>
          <w:color w:val="000000"/>
          <w:sz w:val="56"/>
        </w:rPr>
        <w:t>Informe técnico de avance</w:t>
      </w:r>
    </w:p>
    <w:p>
      <w:pPr>
        <w:pStyle w:val="Subtitle"/>
        <w:keepLines w:val="0"/>
        <w:widowControl/>
        <w:spacing w:before="0" w:after="140" w:line="259" w:lineRule="auto"/>
        <w:ind w:left="0" w:right="0" w:firstLine="0"/>
        <w:jc w:val="center"/>
      </w:pPr>
      <w:r>
        <w:rPr>
          <w:rFonts w:ascii="Calibri" w:hAnsi="Calibri"/>
          <w:i w:val="0"/>
          <w:color w:val="000000"/>
          <w:sz w:val="42"/>
        </w:rPr>
        <w:t>ServiciosYa</w:t>
      </w:r>
    </w:p>
    <w:p>
      <w:pPr>
        <w:keepLines w:val="0"/>
        <w:widowControl/>
        <w:spacing w:before="0" w:after="140" w:line="259" w:lineRule="auto"/>
        <w:ind w:left="0" w:right="0" w:firstLine="0"/>
        <w:jc w:val="center"/>
      </w:pPr>
      <w:r>
        <w:rPr>
          <w:rFonts w:ascii="Calibri" w:hAnsi="Calibri"/>
          <w:color w:val="000000"/>
          <w:sz w:val="22"/>
        </w:rPr>
        <w:t>Fase 2 · Desarrollo del Proyecto APT</w:t>
      </w:r>
    </w:p>
    <w:p>
      <w:pPr>
        <w:keepLines w:val="0"/>
        <w:widowControl/>
        <w:spacing w:before="0" w:after="0" w:line="260" w:lineRule="exact"/>
        <w:ind w:left="0" w:right="0" w:firstLine="0"/>
        <w:jc w:val="center"/>
      </w:pPr>
    </w:p>
    <w:p>
      <w:pPr>
        <w:keepLines w:val="0"/>
        <w:widowControl/>
        <w:spacing w:before="0" w:after="0" w:line="260" w:lineRule="exact"/>
        <w:ind w:left="0" w:right="0" w:firstLine="0"/>
        <w:jc w:val="center"/>
      </w:pPr>
    </w:p>
    <w:p>
      <w:pPr>
        <w:keepLines w:val="0"/>
        <w:widowControl/>
        <w:spacing w:before="0" w:after="0" w:line="260" w:lineRule="exact"/>
        <w:ind w:left="0" w:right="0" w:firstLine="0"/>
        <w:jc w:val="center"/>
      </w:pPr>
    </w:p>
    <w:tbl>
      <w:tblPr>
        <w:tblW w:type="auto" w:w="0"/>
        <w:tblLayout w:type="fixed"/>
        <w:tblLook w:firstColumn="1" w:firstRow="1" w:lastColumn="0" w:lastRow="0" w:noHBand="0" w:noVBand="1" w:val="04A0"/>
      </w:tblPr>
      <w:tblGrid>
        <w:gridCol w:w="2592"/>
        <w:gridCol w:w="7056"/>
      </w:tblGrid>
      <w:tr>
        <w:trPr>
          <w:cantSplit/>
        </w:trPr>
        <w:tc>
          <w:tcPr>
            <w:tcW w:type="dxa" w:w="2592"/>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Antecedente</w:t>
            </w:r>
          </w:p>
        </w:tc>
        <w:tc>
          <w:tcPr>
            <w:tcW w:type="dxa" w:w="7056"/>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Información</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Estudiante</w:t>
            </w:r>
          </w:p>
        </w:tc>
        <w:tc>
          <w:tcPr>
            <w:tcW w:type="dxa" w:w="70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Pablo Vargas</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Sección</w:t>
            </w:r>
          </w:p>
        </w:tc>
        <w:tc>
          <w:tcPr>
            <w:tcW w:type="dxa" w:w="70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IN03</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Docente</w:t>
            </w:r>
          </w:p>
        </w:tc>
        <w:tc>
          <w:tcPr>
            <w:tcW w:type="dxa" w:w="70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Reginaldo Salinas</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Fecha de corte</w:t>
            </w:r>
          </w:p>
        </w:tc>
        <w:tc>
          <w:tcPr>
            <w:tcW w:type="dxa" w:w="70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14 de octubre de 2026</w:t>
            </w:r>
          </w:p>
        </w:tc>
      </w:tr>
    </w:tbl>
    <w:p>
      <w:pPr>
        <w:keepLines w:val="0"/>
        <w:widowControl/>
        <w:spacing w:before="0" w:after="140" w:line="259" w:lineRule="auto"/>
        <w:ind w:left="0" w:right="0" w:firstLine="0"/>
      </w:pPr>
    </w:p>
    <w:p>
      <w:pPr>
        <w:keepLines w:val="0"/>
        <w:widowControl/>
        <w:spacing w:before="0" w:after="140" w:line="259" w:lineRule="auto"/>
        <w:ind w:left="0" w:right="0" w:firstLine="0"/>
      </w:pPr>
      <w:r>
        <w:rPr>
          <w:rFonts w:ascii="Calibri" w:hAnsi="Calibri"/>
          <w:color w:val="000000"/>
          <w:sz w:val="22"/>
        </w:rPr>
        <w:t>Documento elaborado a partir del avance informado y de las pautas de evaluación de Fase 2. Los resultados descritos corresponden al entorno de desarrollo; los anexos de evidencia deben acompañar la entrega.</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Índice</w:t>
      </w:r>
    </w:p>
    <w:p>
      <w:pPr>
        <w:keepLines w:val="0"/>
        <w:widowControl/>
        <w:tabs>
          <w:tab w:pos="9648" w:val="right" w:leader="dot"/>
        </w:tabs>
        <w:spacing w:before="0" w:after="100" w:line="259" w:lineRule="auto"/>
        <w:ind w:left="0" w:right="0" w:firstLine="0"/>
      </w:pPr>
      <w:r>
        <w:t>Resumen y abstract</w:t>
        <w:tab/>
        <w:t>2</w:t>
      </w:r>
    </w:p>
    <w:p>
      <w:pPr>
        <w:keepLines w:val="0"/>
        <w:widowControl/>
        <w:tabs>
          <w:tab w:pos="9648" w:val="right" w:leader="dot"/>
        </w:tabs>
        <w:spacing w:before="0" w:after="100" w:line="259" w:lineRule="auto"/>
        <w:ind w:left="0" w:right="0" w:firstLine="0"/>
      </w:pPr>
      <w:r>
        <w:t>1 Introducción y alcance</w:t>
        <w:tab/>
        <w:t>3</w:t>
      </w:r>
    </w:p>
    <w:p>
      <w:pPr>
        <w:keepLines w:val="0"/>
        <w:widowControl/>
        <w:tabs>
          <w:tab w:pos="9648" w:val="right" w:leader="dot"/>
        </w:tabs>
        <w:spacing w:before="0" w:after="100" w:line="259" w:lineRule="auto"/>
        <w:ind w:left="0" w:right="0" w:firstLine="0"/>
      </w:pPr>
      <w:r>
        <w:t>2 Desarrollo de ingeniería</w:t>
        <w:tab/>
        <w:t>4</w:t>
      </w:r>
    </w:p>
    <w:p>
      <w:pPr>
        <w:keepLines w:val="0"/>
        <w:widowControl/>
        <w:tabs>
          <w:tab w:pos="9648" w:val="right" w:leader="dot"/>
        </w:tabs>
        <w:spacing w:before="0" w:after="100" w:line="259" w:lineRule="auto"/>
        <w:ind w:left="0" w:right="0" w:firstLine="0"/>
      </w:pPr>
      <w:r>
        <w:t>3 Validación y resultados</w:t>
        <w:tab/>
        <w:t>5</w:t>
      </w:r>
    </w:p>
    <w:p>
      <w:pPr>
        <w:keepLines w:val="0"/>
        <w:widowControl/>
        <w:tabs>
          <w:tab w:pos="9648" w:val="right" w:leader="dot"/>
        </w:tabs>
        <w:spacing w:before="0" w:after="100" w:line="259" w:lineRule="auto"/>
        <w:ind w:left="0" w:right="0" w:firstLine="0"/>
      </w:pPr>
      <w:r>
        <w:t>4 Monitoreo y ajustes del plan</w:t>
        <w:tab/>
        <w:t>6</w:t>
      </w:r>
    </w:p>
    <w:p>
      <w:pPr>
        <w:keepLines w:val="0"/>
        <w:widowControl/>
        <w:tabs>
          <w:tab w:pos="9648" w:val="right" w:leader="dot"/>
        </w:tabs>
        <w:spacing w:before="0" w:after="100" w:line="259" w:lineRule="auto"/>
        <w:ind w:left="0" w:right="0" w:firstLine="0"/>
      </w:pPr>
      <w:r>
        <w:t>5 Conclusions and individual reflection</w:t>
        <w:tab/>
        <w:t>7</w:t>
      </w:r>
    </w:p>
    <w:p>
      <w:pPr>
        <w:keepLines w:val="0"/>
        <w:widowControl/>
        <w:tabs>
          <w:tab w:pos="9648" w:val="right" w:leader="dot"/>
        </w:tabs>
        <w:spacing w:before="0" w:after="100" w:line="259" w:lineRule="auto"/>
        <w:ind w:left="0" w:right="0" w:firstLine="0"/>
      </w:pPr>
      <w:r>
        <w:t>6 Referencias y anexos de evidencia</w:t>
        <w:tab/>
        <w:t>8</w:t>
      </w:r>
    </w:p>
    <w:p>
      <w:pPr>
        <w:pStyle w:val="Heading2"/>
        <w:keepNext/>
        <w:keepLines/>
        <w:widowControl/>
        <w:spacing w:before="240" w:after="140" w:line="259" w:lineRule="auto"/>
        <w:ind w:left="0" w:right="0" w:firstLine="0"/>
      </w:pPr>
      <w:r>
        <w:rPr>
          <w:rFonts w:ascii="Calibri" w:hAnsi="Calibri"/>
          <w:b/>
          <w:color w:val="000000"/>
          <w:sz w:val="24"/>
        </w:rPr>
        <w:t>Resumen</w:t>
      </w:r>
    </w:p>
    <w:p>
      <w:pPr>
        <w:keepLines w:val="0"/>
        <w:widowControl/>
        <w:spacing w:before="0" w:after="140" w:line="259" w:lineRule="auto"/>
        <w:ind w:left="0" w:right="0" w:firstLine="0"/>
      </w:pPr>
      <w:r>
        <w:rPr>
          <w:rFonts w:ascii="Calibri" w:hAnsi="Calibri"/>
          <w:color w:val="000000"/>
          <w:sz w:val="22"/>
        </w:rPr>
        <w:t>ServiciosYa es una solución que conecta a clientes que necesitan servicios con trabajadores que postulan a las solicitudes publicadas. Su arquitectura incorpora una aplicación móvil en React Native con Expo, una API REST en NestJS, una base de datos PostgreSQL en Neon mediante Prisma y una web administrativa en Next.js. El avance documentado incluye comprobaciones del ciclo de publicación, postulación, selección, mensajes, cierre y reseñas mediante pruebas de backend e integración. También se informó una comprobación del inicio de sesión en un emulador Android. El proyecto continúa en desarrollo: permanecen pendientes la validación completa en dispositivos, el correo real, la centralización del catálogo y el despliegue productivo. Este informe describe el alcance, la arquitectura, los resultados informados y los ajustes necesarios para consolidar una demostración reproducible.</w:t>
      </w:r>
    </w:p>
    <w:p>
      <w:pPr>
        <w:pStyle w:val="Heading2"/>
        <w:keepNext/>
        <w:keepLines/>
        <w:widowControl/>
        <w:spacing w:before="240" w:after="140" w:line="259" w:lineRule="auto"/>
        <w:ind w:left="0" w:right="0" w:firstLine="0"/>
      </w:pPr>
      <w:r>
        <w:rPr>
          <w:rFonts w:ascii="Calibri" w:hAnsi="Calibri"/>
          <w:b/>
          <w:color w:val="000000"/>
          <w:sz w:val="24"/>
        </w:rPr>
        <w:t>Abstract</w:t>
      </w:r>
    </w:p>
    <w:p>
      <w:pPr>
        <w:keepLines w:val="0"/>
        <w:widowControl/>
        <w:spacing w:before="0" w:after="140" w:line="259" w:lineRule="auto"/>
        <w:ind w:left="0" w:right="0" w:firstLine="0"/>
      </w:pPr>
      <w:r>
        <w:rPr>
          <w:rFonts w:ascii="Calibri" w:hAnsi="Calibri"/>
          <w:color w:val="000000"/>
          <w:sz w:val="22"/>
        </w:rPr>
        <w:t>ServiciosYa connects customers who need services with workers who apply to published requests. Its architecture includes a React Native mobile application with Expo, a NestJS REST API, a PostgreSQL database hosted on Neon and accessed through Prisma, and a Next.js administration website. The documented progress includes backend and integration checks for publishing, applications, worker selection, messaging, service closure and reviews. A login check on an Android emulator was also reported. The project remains under development. Full device validation, real email delivery, catalogue centralisation and production deployment are still pending. This report describes the scope, architecture, reported results and adjustments required to prepare a reproducible demonstration. The reported checks do not establish complete certification or production readiness.</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1 Introducción y alcance</w:t>
      </w:r>
    </w:p>
    <w:p>
      <w:pPr>
        <w:pStyle w:val="Heading2"/>
        <w:keepNext/>
        <w:keepLines/>
        <w:widowControl/>
        <w:spacing w:before="240" w:after="140" w:line="259" w:lineRule="auto"/>
        <w:ind w:left="0" w:right="0" w:firstLine="0"/>
      </w:pPr>
      <w:r>
        <w:rPr>
          <w:rFonts w:ascii="Calibri" w:hAnsi="Calibri"/>
          <w:b/>
          <w:color w:val="000000"/>
          <w:sz w:val="24"/>
        </w:rPr>
        <w:t>1.1 Contexto del proyecto</w:t>
      </w:r>
    </w:p>
    <w:p>
      <w:pPr>
        <w:keepLines w:val="0"/>
        <w:widowControl/>
        <w:spacing w:before="0" w:after="140" w:line="259" w:lineRule="auto"/>
        <w:ind w:left="0" w:right="0" w:firstLine="0"/>
      </w:pPr>
      <w:r>
        <w:rPr>
          <w:rFonts w:ascii="Calibri" w:hAnsi="Calibri"/>
          <w:color w:val="000000"/>
          <w:sz w:val="22"/>
        </w:rPr>
        <w:t>La contratación de servicios requiere que una persona comunique su necesidad, reciba interesados y seleccione a un trabajador. ServiciosYa organiza ese proceso en un entorno digital, con publicaciones, postulaciones y seguimiento de la interacción. La solución busca mantener una relación trazable entre la solicitud del cliente y la participación del trabajador.</w:t>
      </w:r>
    </w:p>
    <w:p>
      <w:pPr>
        <w:pStyle w:val="Heading2"/>
        <w:keepNext/>
        <w:keepLines/>
        <w:widowControl/>
        <w:spacing w:before="240" w:after="140" w:line="259" w:lineRule="auto"/>
        <w:ind w:left="0" w:right="0" w:firstLine="0"/>
      </w:pPr>
      <w:r>
        <w:rPr>
          <w:rFonts w:ascii="Calibri" w:hAnsi="Calibri"/>
          <w:b/>
          <w:color w:val="000000"/>
          <w:sz w:val="24"/>
        </w:rPr>
        <w:t>1.2 Objetivo general</w:t>
      </w:r>
    </w:p>
    <w:p>
      <w:pPr>
        <w:keepLines w:val="0"/>
        <w:widowControl/>
        <w:spacing w:before="0" w:after="140" w:line="259" w:lineRule="auto"/>
        <w:ind w:left="0" w:right="0" w:firstLine="0"/>
      </w:pPr>
      <w:r>
        <w:rPr>
          <w:rFonts w:ascii="Calibri" w:hAnsi="Calibri"/>
          <w:color w:val="000000"/>
          <w:sz w:val="22"/>
        </w:rPr>
        <w:t>Desarrollar una solución que conecte a clientes y trabajadores mediante publicaciones y postulaciones, permitiendo gestionar la selección y el seguimiento de los servicios solicitados.</w:t>
      </w:r>
    </w:p>
    <w:p>
      <w:pPr>
        <w:pStyle w:val="Heading2"/>
        <w:keepNext/>
        <w:keepLines/>
        <w:widowControl/>
        <w:spacing w:before="240" w:after="140" w:line="259" w:lineRule="auto"/>
        <w:ind w:left="0" w:right="0" w:firstLine="0"/>
      </w:pPr>
      <w:r>
        <w:rPr>
          <w:rFonts w:ascii="Calibri" w:hAnsi="Calibri"/>
          <w:b/>
          <w:color w:val="000000"/>
          <w:sz w:val="24"/>
        </w:rPr>
        <w:t>1.3 Objetivos del avance</w:t>
      </w:r>
    </w:p>
    <w:p>
      <w:pPr>
        <w:pStyle w:val="ListBullet"/>
        <w:keepLines w:val="0"/>
        <w:widowControl/>
        <w:spacing w:before="0" w:after="140" w:line="259" w:lineRule="auto"/>
        <w:ind w:left="0" w:right="0" w:firstLine="0"/>
      </w:pPr>
      <w:r>
        <w:rPr>
          <w:rFonts w:ascii="Calibri" w:hAnsi="Calibri"/>
          <w:color w:val="000000"/>
          <w:sz w:val="22"/>
        </w:rPr>
        <w:t>Integrar la aplicación móvil, el backend y la persistencia de datos para demostrar el flujo principal del servicio.</w:t>
      </w:r>
    </w:p>
    <w:p>
      <w:pPr>
        <w:pStyle w:val="ListBullet"/>
        <w:keepLines w:val="0"/>
        <w:widowControl/>
        <w:spacing w:before="0" w:after="140" w:line="259" w:lineRule="auto"/>
        <w:ind w:left="0" w:right="0" w:firstLine="0"/>
      </w:pPr>
      <w:r>
        <w:rPr>
          <w:rFonts w:ascii="Calibri" w:hAnsi="Calibri"/>
          <w:color w:val="000000"/>
          <w:sz w:val="22"/>
        </w:rPr>
        <w:t>Comprobar las operaciones principales y revisar permisos, validaciones y persistencia en el entorno de desarrollo.</w:t>
      </w:r>
    </w:p>
    <w:p>
      <w:pPr>
        <w:pStyle w:val="ListBullet"/>
        <w:keepLines w:val="0"/>
        <w:widowControl/>
        <w:spacing w:before="0" w:after="140" w:line="259" w:lineRule="auto"/>
        <w:ind w:left="0" w:right="0" w:firstLine="0"/>
      </w:pPr>
      <w:r>
        <w:rPr>
          <w:rFonts w:ascii="Calibri" w:hAnsi="Calibri"/>
          <w:color w:val="000000"/>
          <w:sz w:val="22"/>
        </w:rPr>
        <w:t>Organizar las evidencias del avance y documentar las limitaciones que requieren validación posterior.</w:t>
      </w:r>
    </w:p>
    <w:p>
      <w:pPr>
        <w:pStyle w:val="Heading2"/>
        <w:keepNext/>
        <w:keepLines/>
        <w:widowControl/>
        <w:spacing w:before="240" w:after="140" w:line="259" w:lineRule="auto"/>
        <w:ind w:left="0" w:right="0" w:firstLine="0"/>
      </w:pPr>
      <w:r>
        <w:rPr>
          <w:rFonts w:ascii="Calibri" w:hAnsi="Calibri"/>
          <w:b/>
          <w:color w:val="000000"/>
          <w:sz w:val="24"/>
        </w:rPr>
        <w:t>1.4 Alcance y actores</w:t>
      </w:r>
    </w:p>
    <w:tbl>
      <w:tblPr>
        <w:tblW w:type="auto" w:w="0"/>
        <w:tblLayout w:type="fixed"/>
        <w:tblLook w:firstColumn="1" w:firstRow="1" w:lastColumn="0" w:lastRow="0" w:noHBand="0" w:noVBand="1" w:val="04A0"/>
      </w:tblPr>
      <w:tblGrid>
        <w:gridCol w:w="2160"/>
        <w:gridCol w:w="7488"/>
      </w:tblGrid>
      <w:tr>
        <w:trPr>
          <w:cantSplit/>
        </w:trPr>
        <w:tc>
          <w:tcPr>
            <w:tcW w:type="dxa" w:w="2160"/>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Actor</w:t>
            </w:r>
          </w:p>
        </w:tc>
        <w:tc>
          <w:tcPr>
            <w:tcW w:type="dxa" w:w="7488"/>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Participación</w:t>
            </w:r>
          </w:p>
        </w:tc>
      </w:tr>
      <w:tr>
        <w:trPr>
          <w:cantSplit/>
        </w:trPr>
        <w:tc>
          <w:tcPr>
            <w:tcW w:type="dxa" w:w="21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Cliente</w:t>
            </w:r>
          </w:p>
        </w:tc>
        <w:tc>
          <w:tcPr>
            <w:tcW w:type="dxa" w:w="74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Publica una solicitud, revisa postulaciones y selecciona a un trabajador.</w:t>
            </w:r>
          </w:p>
        </w:tc>
      </w:tr>
      <w:tr>
        <w:trPr>
          <w:cantSplit/>
        </w:trPr>
        <w:tc>
          <w:tcPr>
            <w:tcW w:type="dxa" w:w="21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Trabajador</w:t>
            </w:r>
          </w:p>
        </w:tc>
        <w:tc>
          <w:tcPr>
            <w:tcW w:type="dxa" w:w="74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Consulta solicitudes, postula y participa en la ejecución y el seguimiento.</w:t>
            </w:r>
          </w:p>
        </w:tc>
      </w:tr>
      <w:tr>
        <w:trPr>
          <w:cantSplit/>
        </w:trPr>
        <w:tc>
          <w:tcPr>
            <w:tcW w:type="dxa" w:w="21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Administrador</w:t>
            </w:r>
          </w:p>
        </w:tc>
        <w:tc>
          <w:tcPr>
            <w:tcW w:type="dxa" w:w="74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Gestiona información mediante la web administrativa, conforme a los permisos implementados.</w:t>
            </w:r>
          </w:p>
        </w:tc>
      </w:tr>
      <w:tr>
        <w:trPr>
          <w:cantSplit/>
        </w:trPr>
        <w:tc>
          <w:tcPr>
            <w:tcW w:type="dxa" w:w="21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Estudiante y docente</w:t>
            </w:r>
          </w:p>
        </w:tc>
        <w:tc>
          <w:tcPr>
            <w:tcW w:type="dxa" w:w="74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El estudiante desarrolla y documenta; el docente revisa el avance y entrega retroalimentación.</w:t>
            </w:r>
          </w:p>
        </w:tc>
      </w:tr>
    </w:tbl>
    <w:p>
      <w:pPr>
        <w:keepLines w:val="0"/>
        <w:widowControl/>
        <w:spacing w:before="0" w:after="140" w:line="259" w:lineRule="auto"/>
        <w:ind w:left="0" w:right="0" w:firstLine="0"/>
      </w:pPr>
    </w:p>
    <w:p>
      <w:pPr>
        <w:keepLines w:val="0"/>
        <w:widowControl/>
        <w:spacing w:before="0" w:after="140" w:line="259" w:lineRule="auto"/>
        <w:ind w:left="0" w:right="0" w:firstLine="0"/>
      </w:pPr>
      <w:r>
        <w:rPr>
          <w:rFonts w:ascii="Calibri" w:hAnsi="Calibri"/>
          <w:color w:val="000000"/>
          <w:sz w:val="22"/>
        </w:rPr>
        <w:t>El avance se concentra en el ciclo de publicación, postulación, selección, comunicación, cierre y reseñas. La disponibilidad de pantallas o endpoints no se considera por sí sola evidencia de validación completa. El despliegue productivo y la distribución de la aplicación quedan fuera de los resultados acreditados en este corte.</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2 Desarrollo de ingeniería</w:t>
      </w:r>
    </w:p>
    <w:p>
      <w:pPr>
        <w:pStyle w:val="Heading2"/>
        <w:keepNext/>
        <w:keepLines/>
        <w:widowControl/>
        <w:spacing w:before="240" w:after="140" w:line="259" w:lineRule="auto"/>
        <w:ind w:left="0" w:right="0" w:firstLine="0"/>
      </w:pPr>
      <w:r>
        <w:rPr>
          <w:rFonts w:ascii="Calibri" w:hAnsi="Calibri"/>
          <w:b/>
          <w:color w:val="000000"/>
          <w:sz w:val="24"/>
        </w:rPr>
        <w:t>2.1 Arquitectura de la solución</w:t>
      </w:r>
    </w:p>
    <w:p>
      <w:pPr>
        <w:keepLines w:val="0"/>
        <w:widowControl/>
        <w:spacing w:before="0" w:after="140" w:line="259" w:lineRule="auto"/>
        <w:ind w:left="0" w:right="0" w:firstLine="0"/>
      </w:pPr>
      <w:r>
        <w:rPr>
          <w:rFonts w:ascii="Calibri" w:hAnsi="Calibri"/>
          <w:color w:val="000000"/>
          <w:sz w:val="22"/>
        </w:rPr>
        <w:t>La aplicación móvil y la web administrativa comparten un backend. Los clientes consumen operaciones de la API REST; el backend procesa las solicitudes, aplica la lógica de negocio y accede a PostgreSQL mediante Prisma. Esta separación permite mantener las reglas del servicio en una capa común y organizar las interfaces según su propósito.</w:t>
      </w:r>
    </w:p>
    <w:tbl>
      <w:tblPr>
        <w:tblW w:type="auto" w:w="0"/>
        <w:tblLayout w:type="fixed"/>
        <w:tblLook w:firstColumn="1" w:firstRow="1" w:lastColumn="0" w:lastRow="0" w:noHBand="0" w:noVBand="1" w:val="04A0"/>
      </w:tblPr>
      <w:tblGrid>
        <w:gridCol w:w="2088"/>
        <w:gridCol w:w="2520"/>
        <w:gridCol w:w="5040"/>
      </w:tblGrid>
      <w:tr>
        <w:trPr>
          <w:cantSplit/>
        </w:trPr>
        <w:tc>
          <w:tcPr>
            <w:tcW w:type="dxa" w:w="2088"/>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Componente</w:t>
            </w:r>
          </w:p>
        </w:tc>
        <w:tc>
          <w:tcPr>
            <w:tcW w:type="dxa" w:w="2520"/>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Tecnología</w:t>
            </w:r>
          </w:p>
        </w:tc>
        <w:tc>
          <w:tcPr>
            <w:tcW w:type="dxa" w:w="5040"/>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Responsabilidad</w:t>
            </w:r>
          </w:p>
        </w:tc>
      </w:tr>
      <w:tr>
        <w:trPr>
          <w:cantSplit/>
        </w:trPr>
        <w:tc>
          <w:tcPr>
            <w:tcW w:type="dxa" w:w="20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Aplicación móvil</w:t>
            </w:r>
          </w:p>
        </w:tc>
        <w:tc>
          <w:tcPr>
            <w:tcW w:type="dxa" w:w="252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React Native y Expo</w:t>
            </w:r>
          </w:p>
        </w:tc>
        <w:tc>
          <w:tcPr>
            <w:tcW w:type="dxa" w:w="504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Interacción de clientes y trabajadores.</w:t>
            </w:r>
          </w:p>
        </w:tc>
      </w:tr>
      <w:tr>
        <w:trPr>
          <w:cantSplit/>
        </w:trPr>
        <w:tc>
          <w:tcPr>
            <w:tcW w:type="dxa" w:w="20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Web administrativa</w:t>
            </w:r>
          </w:p>
        </w:tc>
        <w:tc>
          <w:tcPr>
            <w:tcW w:type="dxa" w:w="252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Next.js</w:t>
            </w:r>
          </w:p>
        </w:tc>
        <w:tc>
          <w:tcPr>
            <w:tcW w:type="dxa" w:w="504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Interfaz de gestión administrativa.</w:t>
            </w:r>
          </w:p>
        </w:tc>
      </w:tr>
      <w:tr>
        <w:trPr>
          <w:cantSplit/>
        </w:trPr>
        <w:tc>
          <w:tcPr>
            <w:tcW w:type="dxa" w:w="20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Backend</w:t>
            </w:r>
          </w:p>
        </w:tc>
        <w:tc>
          <w:tcPr>
            <w:tcW w:type="dxa" w:w="252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NestJS y API REST</w:t>
            </w:r>
          </w:p>
        </w:tc>
        <w:tc>
          <w:tcPr>
            <w:tcW w:type="dxa" w:w="504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Reglas de negocio, autenticación y acceso a datos.</w:t>
            </w:r>
          </w:p>
        </w:tc>
      </w:tr>
      <w:tr>
        <w:trPr>
          <w:cantSplit/>
        </w:trPr>
        <w:tc>
          <w:tcPr>
            <w:tcW w:type="dxa" w:w="20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Acceso a datos</w:t>
            </w:r>
          </w:p>
        </w:tc>
        <w:tc>
          <w:tcPr>
            <w:tcW w:type="dxa" w:w="252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Prisma ORM</w:t>
            </w:r>
          </w:p>
        </w:tc>
        <w:tc>
          <w:tcPr>
            <w:tcW w:type="dxa" w:w="504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Schema, migraciones y consultas a la base.</w:t>
            </w:r>
          </w:p>
        </w:tc>
      </w:tr>
      <w:tr>
        <w:trPr>
          <w:cantSplit/>
        </w:trPr>
        <w:tc>
          <w:tcPr>
            <w:tcW w:type="dxa" w:w="2088"/>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Persistencia</w:t>
            </w:r>
          </w:p>
        </w:tc>
        <w:tc>
          <w:tcPr>
            <w:tcW w:type="dxa" w:w="252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PostgreSQL en Neon</w:t>
            </w:r>
          </w:p>
        </w:tc>
        <w:tc>
          <w:tcPr>
            <w:tcW w:type="dxa" w:w="504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Almacenamiento de la información del sistema.</w:t>
            </w:r>
          </w:p>
        </w:tc>
      </w:tr>
    </w:tbl>
    <w:p>
      <w:pPr>
        <w:keepLines w:val="0"/>
        <w:widowControl/>
        <w:spacing w:before="0" w:after="140" w:line="259" w:lineRule="auto"/>
        <w:ind w:left="0" w:right="0" w:firstLine="0"/>
      </w:pPr>
    </w:p>
    <w:p>
      <w:pPr>
        <w:pStyle w:val="Heading2"/>
        <w:keepNext/>
        <w:keepLines/>
        <w:widowControl/>
        <w:spacing w:before="240" w:after="140" w:line="259" w:lineRule="auto"/>
        <w:ind w:left="0" w:right="0" w:firstLine="0"/>
      </w:pPr>
      <w:r>
        <w:rPr>
          <w:rFonts w:ascii="Calibri" w:hAnsi="Calibri"/>
          <w:b/>
          <w:color w:val="000000"/>
          <w:sz w:val="24"/>
        </w:rPr>
        <w:t>2.2 Flujo funcional principal</w:t>
      </w:r>
    </w:p>
    <w:p>
      <w:pPr>
        <w:keepLines w:val="0"/>
        <w:widowControl/>
        <w:spacing w:before="0" w:after="140" w:line="259" w:lineRule="auto"/>
        <w:ind w:left="0" w:right="0" w:firstLine="0"/>
      </w:pPr>
      <w:r>
        <w:rPr>
          <w:rFonts w:ascii="Calibri" w:hAnsi="Calibri"/>
          <w:color w:val="000000"/>
          <w:sz w:val="22"/>
        </w:rPr>
        <w:t>El cliente inicia sesión y publica una solicitud. El trabajador consulta la publicación y envía una postulación. El cliente selecciona al trabajador; posteriormente, ambos participan en la comunicación y el seguimiento del servicio. El flujo finaliza con el cierre y las reseñas. Las transiciones deben validarse en el backend para impedir acciones incompatibles con el usuario o el estado de la solicitud.</w:t>
      </w:r>
    </w:p>
    <w:p>
      <w:pPr>
        <w:pStyle w:val="Heading2"/>
        <w:keepNext/>
        <w:keepLines/>
        <w:widowControl/>
        <w:spacing w:before="240" w:after="140" w:line="259" w:lineRule="auto"/>
        <w:ind w:left="0" w:right="0" w:firstLine="0"/>
      </w:pPr>
      <w:r>
        <w:rPr>
          <w:rFonts w:ascii="Calibri" w:hAnsi="Calibri"/>
          <w:b/>
          <w:color w:val="000000"/>
          <w:sz w:val="24"/>
        </w:rPr>
        <w:t>2.3 Datos y consistencia</w:t>
      </w:r>
    </w:p>
    <w:p>
      <w:pPr>
        <w:keepLines w:val="0"/>
        <w:widowControl/>
        <w:spacing w:before="0" w:after="140" w:line="259" w:lineRule="auto"/>
        <w:ind w:left="0" w:right="0" w:firstLine="0"/>
      </w:pPr>
      <w:r>
        <w:rPr>
          <w:rFonts w:ascii="Calibri" w:hAnsi="Calibri"/>
          <w:color w:val="000000"/>
          <w:sz w:val="22"/>
        </w:rPr>
        <w:t>Las áreas funcionales incluyen usuarios, publicaciones, categorías, postulaciones, mensajes y reseñas. Estas áreas describen el dominio y deben contrastarse con los nombres y relaciones del schema Prisma vigente. Las evidencias informadas incluyen schema y migraciones; no se incorpora aquí un diagrama físico porque no se adjuntó el modelo actualizado para su verificación.</w:t>
      </w:r>
    </w:p>
    <w:p>
      <w:pPr>
        <w:pStyle w:val="Heading2"/>
        <w:keepNext/>
        <w:keepLines/>
        <w:widowControl/>
        <w:spacing w:before="240" w:after="140" w:line="259" w:lineRule="auto"/>
        <w:ind w:left="0" w:right="0" w:firstLine="0"/>
      </w:pPr>
      <w:r>
        <w:rPr>
          <w:rFonts w:ascii="Calibri" w:hAnsi="Calibri"/>
          <w:b/>
          <w:color w:val="000000"/>
          <w:sz w:val="24"/>
        </w:rPr>
        <w:t>2.4 Seguridad y configuración</w:t>
      </w:r>
    </w:p>
    <w:p>
      <w:pPr>
        <w:keepLines w:val="0"/>
        <w:widowControl/>
        <w:spacing w:before="0" w:after="140" w:line="259" w:lineRule="auto"/>
        <w:ind w:left="0" w:right="0" w:firstLine="0"/>
      </w:pPr>
      <w:r>
        <w:rPr>
          <w:rFonts w:ascii="Calibri" w:hAnsi="Calibri"/>
          <w:color w:val="000000"/>
          <w:sz w:val="22"/>
        </w:rPr>
        <w:t>El avance menciona autenticación con JWT y revisiones de permisos y validaciones. La entrega pública excluye contraseñas, tokens, archivos privados de entorno y documentos personales. Estas medidas no equivalen a una auditoría integral de seguridad. Debe verificarse que cada operación protegida compruebe identidad, autorización y pertenencia del recurso, además de validar los datos recibidos.</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3 Validación y resultados</w:t>
      </w:r>
    </w:p>
    <w:p>
      <w:pPr>
        <w:pStyle w:val="Heading2"/>
        <w:keepNext/>
        <w:keepLines/>
        <w:widowControl/>
        <w:spacing w:before="240" w:after="140" w:line="259" w:lineRule="auto"/>
        <w:ind w:left="0" w:right="0" w:firstLine="0"/>
      </w:pPr>
      <w:r>
        <w:rPr>
          <w:rFonts w:ascii="Calibri" w:hAnsi="Calibri"/>
          <w:b/>
          <w:color w:val="000000"/>
          <w:sz w:val="24"/>
        </w:rPr>
        <w:t>3.1 Base de los resultados</w:t>
      </w:r>
    </w:p>
    <w:p>
      <w:pPr>
        <w:keepLines w:val="0"/>
        <w:widowControl/>
        <w:spacing w:before="0" w:after="140" w:line="259" w:lineRule="auto"/>
        <w:ind w:left="0" w:right="0" w:firstLine="0"/>
      </w:pPr>
      <w:r>
        <w:rPr>
          <w:rFonts w:ascii="Calibri" w:hAnsi="Calibri"/>
          <w:color w:val="000000"/>
          <w:sz w:val="22"/>
        </w:rPr>
        <w:t>Los siguientes resultados se toman del documento de avance proporcionado. Durante la elaboración de este informe no se ejecutaron nuevamente la aplicación ni las pruebas. Por ello, la trazabilidad final requiere adjuntar capturas, salidas de ejecución y la versión del código utilizada.</w:t>
      </w:r>
    </w:p>
    <w:tbl>
      <w:tblPr>
        <w:tblW w:type="auto" w:w="0"/>
        <w:tblLayout w:type="fixed"/>
        <w:tblLook w:firstColumn="1" w:firstRow="1" w:lastColumn="0" w:lastRow="0" w:noHBand="0" w:noVBand="1" w:val="04A0"/>
      </w:tblPr>
      <w:tblGrid>
        <w:gridCol w:w="1584"/>
        <w:gridCol w:w="3960"/>
        <w:gridCol w:w="4104"/>
      </w:tblGrid>
      <w:tr>
        <w:trPr>
          <w:cantSplit/>
        </w:trPr>
        <w:tc>
          <w:tcPr>
            <w:tcW w:type="dxa" w:w="1584"/>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Área</w:t>
            </w:r>
          </w:p>
        </w:tc>
        <w:tc>
          <w:tcPr>
            <w:tcW w:type="dxa" w:w="3960"/>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Resultado informado</w:t>
            </w:r>
          </w:p>
        </w:tc>
        <w:tc>
          <w:tcPr>
            <w:tcW w:type="dxa" w:w="4104"/>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Límite de la comprobación</w:t>
            </w:r>
          </w:p>
        </w:tc>
      </w:tr>
      <w:tr>
        <w:trPr>
          <w:cantSplit/>
        </w:trPr>
        <w:tc>
          <w:tcPr>
            <w:tcW w:type="dxa" w:w="158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Acceso</w:t>
            </w:r>
          </w:p>
        </w:tc>
        <w:tc>
          <w:tcPr>
            <w:tcW w:type="dxa" w:w="39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Inicio de sesión comprobado en emulador Android.</w:t>
            </w:r>
          </w:p>
        </w:tc>
        <w:tc>
          <w:tcPr>
            <w:tcW w:type="dxa" w:w="410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acredita todas las pantallas ni otros dispositivos.</w:t>
            </w:r>
          </w:p>
        </w:tc>
      </w:tr>
      <w:tr>
        <w:trPr>
          <w:cantSplit/>
        </w:trPr>
        <w:tc>
          <w:tcPr>
            <w:tcW w:type="dxa" w:w="158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Flujo principal</w:t>
            </w:r>
          </w:p>
        </w:tc>
        <w:tc>
          <w:tcPr>
            <w:tcW w:type="dxa" w:w="39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Publicación, postulación y selección comprobadas mediante backend e integración.</w:t>
            </w:r>
          </w:p>
        </w:tc>
        <w:tc>
          <w:tcPr>
            <w:tcW w:type="dxa" w:w="410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Requiere repetir el recorrido visual completo.</w:t>
            </w:r>
          </w:p>
        </w:tc>
      </w:tr>
      <w:tr>
        <w:trPr>
          <w:cantSplit/>
        </w:trPr>
        <w:tc>
          <w:tcPr>
            <w:tcW w:type="dxa" w:w="158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Comunicación y cierre</w:t>
            </w:r>
          </w:p>
        </w:tc>
        <w:tc>
          <w:tcPr>
            <w:tcW w:type="dxa" w:w="39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Mensajes, cierre y reseñas incluidos en el ciclo probado.</w:t>
            </w:r>
          </w:p>
        </w:tc>
        <w:tc>
          <w:tcPr>
            <w:tcW w:type="dxa" w:w="410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El avance menciona dos mensajes y dos reseñas; adjuntar registros.</w:t>
            </w:r>
          </w:p>
        </w:tc>
      </w:tr>
      <w:tr>
        <w:trPr>
          <w:cantSplit/>
        </w:trPr>
        <w:tc>
          <w:tcPr>
            <w:tcW w:type="dxa" w:w="158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Categorías</w:t>
            </w:r>
          </w:p>
        </w:tc>
        <w:tc>
          <w:tcPr>
            <w:tcW w:type="dxa" w:w="39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39 categorías registradas.</w:t>
            </w:r>
          </w:p>
        </w:tc>
        <w:tc>
          <w:tcPr>
            <w:tcW w:type="dxa" w:w="410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La app combina categorías de API y sugerencias locales.</w:t>
            </w:r>
          </w:p>
        </w:tc>
      </w:tr>
      <w:tr>
        <w:trPr>
          <w:cantSplit/>
        </w:trPr>
        <w:tc>
          <w:tcPr>
            <w:tcW w:type="dxa" w:w="158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Base de datos</w:t>
            </w:r>
          </w:p>
        </w:tc>
        <w:tc>
          <w:tcPr>
            <w:tcW w:type="dxa" w:w="39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Persistencia utilizada en desarrollo.</w:t>
            </w:r>
          </w:p>
        </w:tc>
        <w:tc>
          <w:tcPr>
            <w:tcW w:type="dxa" w:w="410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Conexión externa variable y separación de base de prueba pendiente.</w:t>
            </w:r>
          </w:p>
        </w:tc>
      </w:tr>
      <w:tr>
        <w:trPr>
          <w:cantSplit/>
        </w:trPr>
        <w:tc>
          <w:tcPr>
            <w:tcW w:type="dxa" w:w="158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Producción</w:t>
            </w:r>
          </w:p>
        </w:tc>
        <w:tc>
          <w:tcPr>
            <w:tcW w:type="dxa" w:w="396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Despliegue no iniciado.</w:t>
            </w:r>
          </w:p>
        </w:tc>
        <w:tc>
          <w:tcPr>
            <w:tcW w:type="dxa" w:w="4104"/>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se acredita disponibilidad pública.</w:t>
            </w:r>
          </w:p>
        </w:tc>
      </w:tr>
    </w:tbl>
    <w:p>
      <w:pPr>
        <w:keepLines w:val="0"/>
        <w:widowControl/>
        <w:spacing w:before="0" w:after="140" w:line="259" w:lineRule="auto"/>
        <w:ind w:left="0" w:right="0" w:firstLine="0"/>
      </w:pPr>
    </w:p>
    <w:p>
      <w:pPr>
        <w:pStyle w:val="Heading2"/>
        <w:keepNext/>
        <w:keepLines/>
        <w:widowControl/>
        <w:spacing w:before="240" w:after="140" w:line="259" w:lineRule="auto"/>
        <w:ind w:left="0" w:right="0" w:firstLine="0"/>
      </w:pPr>
      <w:r>
        <w:rPr>
          <w:rFonts w:ascii="Calibri" w:hAnsi="Calibri"/>
          <w:b/>
          <w:color w:val="000000"/>
          <w:sz w:val="24"/>
        </w:rPr>
        <w:t>3.2 Ensayo de aceptación propuesto</w:t>
      </w:r>
    </w:p>
    <w:p>
      <w:pPr>
        <w:keepLines w:val="0"/>
        <w:widowControl/>
        <w:spacing w:before="0" w:after="140" w:line="259" w:lineRule="auto"/>
        <w:ind w:left="0" w:right="0" w:firstLine="0"/>
      </w:pPr>
      <w:r>
        <w:rPr>
          <w:rFonts w:ascii="Calibri" w:hAnsi="Calibri"/>
          <w:color w:val="000000"/>
          <w:sz w:val="22"/>
        </w:rPr>
        <w:t>Antes de la demostración se propone iniciar los servicios, comprobar la conexión a la base y utilizar cuentas ficticias de cliente y trabajador. El ensayo debe recorrer inicio de sesión, publicación, postulación, selección, envío y recepción de mensajes, cierre y reseñas. En cada paso se debe registrar el resultado esperado, el resultado observado y la evidencia correspondiente.</w:t>
      </w:r>
    </w:p>
    <w:p>
      <w:pPr>
        <w:keepLines w:val="0"/>
        <w:widowControl/>
        <w:spacing w:before="0" w:after="140" w:line="259" w:lineRule="auto"/>
        <w:ind w:left="0" w:right="0" w:firstLine="0"/>
      </w:pPr>
      <w:r>
        <w:rPr>
          <w:rFonts w:ascii="Calibri" w:hAnsi="Calibri"/>
          <w:color w:val="000000"/>
          <w:sz w:val="22"/>
        </w:rPr>
        <w:t>También deben comprobarse los rechazos: acceso sin sesión, modificación de publicaciones ajenas y acciones no permitidas por el estado del servicio. Estos casos se presentan como validaciones pendientes de documentar, sin atribuirles un resultado aprobado.</w:t>
      </w:r>
    </w:p>
    <w:p>
      <w:pPr>
        <w:pStyle w:val="Heading2"/>
        <w:keepNext/>
        <w:keepLines/>
        <w:widowControl/>
        <w:spacing w:before="240" w:after="140" w:line="259" w:lineRule="auto"/>
        <w:ind w:left="0" w:right="0" w:firstLine="0"/>
      </w:pPr>
      <w:r>
        <w:rPr>
          <w:rFonts w:ascii="Calibri" w:hAnsi="Calibri"/>
          <w:b/>
          <w:color w:val="000000"/>
          <w:sz w:val="24"/>
        </w:rPr>
        <w:t>3.3 Criterio de cierre</w:t>
      </w:r>
    </w:p>
    <w:p>
      <w:pPr>
        <w:keepLines w:val="0"/>
        <w:widowControl/>
        <w:spacing w:before="0" w:after="140" w:line="259" w:lineRule="auto"/>
        <w:ind w:left="0" w:right="0" w:firstLine="0"/>
      </w:pPr>
      <w:r>
        <w:rPr>
          <w:rFonts w:ascii="Calibri" w:hAnsi="Calibri"/>
          <w:color w:val="000000"/>
          <w:sz w:val="22"/>
        </w:rPr>
        <w:t>Una funcionalidad se considerará validada para la demostración cuando el recorrido pueda repetirse, los datos se conserven correctamente y exista evidencia del resultado. La aprobación de pruebas de integración no sustituye la revisión de usabilidad ni la certificación completa del producto.</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4 Monitoreo y ajustes del plan</w:t>
      </w:r>
    </w:p>
    <w:p>
      <w:pPr>
        <w:pStyle w:val="Heading2"/>
        <w:keepNext/>
        <w:keepLines/>
        <w:widowControl/>
        <w:spacing w:before="240" w:after="140" w:line="259" w:lineRule="auto"/>
        <w:ind w:left="0" w:right="0" w:firstLine="0"/>
      </w:pPr>
      <w:r>
        <w:rPr>
          <w:rFonts w:ascii="Calibri" w:hAnsi="Calibri"/>
          <w:b/>
          <w:color w:val="000000"/>
          <w:sz w:val="24"/>
        </w:rPr>
        <w:t>4.1 Metodología aplicada</w:t>
      </w:r>
    </w:p>
    <w:p>
      <w:pPr>
        <w:keepLines w:val="0"/>
        <w:widowControl/>
        <w:spacing w:before="0" w:after="140" w:line="259" w:lineRule="auto"/>
        <w:ind w:left="0" w:right="0" w:firstLine="0"/>
      </w:pPr>
      <w:r>
        <w:rPr>
          <w:rFonts w:ascii="Calibri" w:hAnsi="Calibri"/>
          <w:color w:val="000000"/>
          <w:sz w:val="22"/>
        </w:rPr>
        <w:t>Se mantiene el enfoque incremental e iterativo del avance. Cada incremento se revisa en móvil, backend y datos; se prueba y se corrige antes de ampliar el alcance. La revisión del flujo principal permite identificar fallas de integración y priorizar los ajustes necesarios para la entrega.</w:t>
      </w:r>
    </w:p>
    <w:tbl>
      <w:tblPr>
        <w:tblW w:type="auto" w:w="0"/>
        <w:tblLayout w:type="fixed"/>
        <w:tblLook w:firstColumn="1" w:firstRow="1" w:lastColumn="0" w:lastRow="0" w:noHBand="0" w:noVBand="1" w:val="04A0"/>
      </w:tblPr>
      <w:tblGrid>
        <w:gridCol w:w="2592"/>
        <w:gridCol w:w="3600"/>
        <w:gridCol w:w="3456"/>
      </w:tblGrid>
      <w:tr>
        <w:trPr>
          <w:cantSplit/>
        </w:trPr>
        <w:tc>
          <w:tcPr>
            <w:tcW w:type="dxa" w:w="2592"/>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Actividad</w:t>
            </w:r>
          </w:p>
        </w:tc>
        <w:tc>
          <w:tcPr>
            <w:tcW w:type="dxa" w:w="3600"/>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Estado informado</w:t>
            </w:r>
          </w:p>
        </w:tc>
        <w:tc>
          <w:tcPr>
            <w:tcW w:type="dxa" w:w="3456"/>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Próximo paso</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Acceso y autenticación</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Completado en pruebas de desarrollo.</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Reforzar recuperación y sesiones.</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Schema y migraciones</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Completado en desarrollo.</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Separar la base de prueba.</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Publicaciones y categorías</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Ajustada.</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Centralizar el catálogo.</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Postulación y selección</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Completado en pruebas de integración.</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Repetir ensayo en Android.</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Chat, cierre y reseñas</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Completado en pruebas de integración.</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Comprobar el recorrido visual.</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Preparación de entrega</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En curso.</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Ejecutar el ensayo previo.</w:t>
            </w:r>
          </w:p>
        </w:tc>
      </w:tr>
      <w:tr>
        <w:trPr>
          <w:cantSplit/>
        </w:trPr>
        <w:tc>
          <w:tcPr>
            <w:tcW w:type="dxa" w:w="2592"/>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Entorno productivo</w:t>
            </w:r>
          </w:p>
        </w:tc>
        <w:tc>
          <w:tcPr>
            <w:tcW w:type="dxa" w:w="3600"/>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iniciado.</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Definir destino y plan de despliegue.</w:t>
            </w:r>
          </w:p>
        </w:tc>
      </w:tr>
    </w:tbl>
    <w:p>
      <w:pPr>
        <w:keepLines w:val="0"/>
        <w:widowControl/>
        <w:spacing w:before="0" w:after="140" w:line="259" w:lineRule="auto"/>
        <w:ind w:left="0" w:right="0" w:firstLine="0"/>
      </w:pPr>
    </w:p>
    <w:p>
      <w:pPr>
        <w:pStyle w:val="Heading2"/>
        <w:keepNext/>
        <w:keepLines/>
        <w:widowControl/>
        <w:spacing w:before="240" w:after="140" w:line="259" w:lineRule="auto"/>
        <w:ind w:left="0" w:right="0" w:firstLine="0"/>
      </w:pPr>
      <w:r>
        <w:rPr>
          <w:rFonts w:ascii="Calibri" w:hAnsi="Calibri"/>
          <w:b/>
          <w:color w:val="000000"/>
          <w:sz w:val="24"/>
        </w:rPr>
        <w:t>4.2 Facilitadores y dificultades</w:t>
      </w:r>
    </w:p>
    <w:p>
      <w:pPr>
        <w:keepLines w:val="0"/>
        <w:widowControl/>
        <w:spacing w:before="0" w:after="140" w:line="259" w:lineRule="auto"/>
        <w:ind w:left="0" w:right="0" w:firstLine="0"/>
      </w:pPr>
      <w:r>
        <w:rPr>
          <w:rFonts w:ascii="Calibri" w:hAnsi="Calibri"/>
          <w:color w:val="000000"/>
          <w:sz w:val="22"/>
        </w:rPr>
        <w:t>La separación de componentes, las migraciones y las pruebas facilitaron la integración y el diagnóstico. Las dificultades informadas fueron la conexión con Neon, las reglas de validación y las diferencias entre listados públicos y administrativos. El avance señala que se reprodujeron errores, se revisaron permisos y se comprobaron efectos de las correcciones.</w:t>
      </w:r>
    </w:p>
    <w:p>
      <w:pPr>
        <w:pStyle w:val="Heading2"/>
        <w:keepNext/>
        <w:keepLines/>
        <w:widowControl/>
        <w:spacing w:before="240" w:after="140" w:line="259" w:lineRule="auto"/>
        <w:ind w:left="0" w:right="0" w:firstLine="0"/>
      </w:pPr>
      <w:r>
        <w:rPr>
          <w:rFonts w:ascii="Calibri" w:hAnsi="Calibri"/>
          <w:b/>
          <w:color w:val="000000"/>
          <w:sz w:val="24"/>
        </w:rPr>
        <w:t>4.3 Ajustes y tareas pendientes</w:t>
      </w:r>
    </w:p>
    <w:p>
      <w:pPr>
        <w:keepLines w:val="0"/>
        <w:widowControl/>
        <w:spacing w:before="0" w:after="140" w:line="259" w:lineRule="auto"/>
        <w:ind w:left="0" w:right="0" w:firstLine="0"/>
      </w:pPr>
      <w:r>
        <w:rPr>
          <w:rFonts w:ascii="Calibri" w:hAnsi="Calibri"/>
          <w:color w:val="000000"/>
          <w:sz w:val="22"/>
        </w:rPr>
        <w:t>Se priorizó el flujo principal y la corrección de seguridad antes de agregar funciones. Se prepararon cuentas ficticias y se organizó la entrega Version 2.0. No se informó la eliminación de módulos comprometidos. Permanecen pendientes la entrega real de correos, la validación en otros dispositivos, el catálogo centralizado y el despliegue productivo.</w:t>
      </w:r>
    </w:p>
    <w:p>
      <w:pPr>
        <w:keepLines w:val="0"/>
        <w:widowControl/>
        <w:spacing w:before="0" w:after="140" w:line="259" w:lineRule="auto"/>
        <w:ind w:left="0" w:right="0" w:firstLine="0"/>
      </w:pPr>
      <w:r>
        <w:rPr>
          <w:rFonts w:ascii="Calibri" w:hAnsi="Calibri"/>
          <w:color w:val="000000"/>
          <w:sz w:val="22"/>
        </w:rPr>
        <w:t>Las duraciones y eventuales retrasos deben contrastarse con la carta Gantt vigente. No se calcula un porcentaje global ni se atribuyen fechas de término a tareas que no cuentan con una planificación confirmada.</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5 Conclusions and individual reflection</w:t>
      </w:r>
    </w:p>
    <w:p>
      <w:pPr>
        <w:pStyle w:val="Heading2"/>
        <w:keepNext/>
        <w:keepLines/>
        <w:widowControl/>
        <w:spacing w:before="240" w:after="140" w:line="259" w:lineRule="auto"/>
        <w:ind w:left="0" w:right="0" w:firstLine="0"/>
      </w:pPr>
      <w:r>
        <w:rPr>
          <w:rFonts w:ascii="Calibri" w:hAnsi="Calibri"/>
          <w:b/>
          <w:color w:val="000000"/>
          <w:sz w:val="24"/>
        </w:rPr>
        <w:t>5.1 Conclusions</w:t>
      </w:r>
    </w:p>
    <w:p>
      <w:pPr>
        <w:keepLines w:val="0"/>
        <w:widowControl/>
        <w:spacing w:before="0" w:after="140" w:line="259" w:lineRule="auto"/>
        <w:ind w:left="0" w:right="0" w:firstLine="0"/>
      </w:pPr>
      <w:r>
        <w:rPr>
          <w:rFonts w:ascii="Calibri" w:hAnsi="Calibri"/>
          <w:color w:val="000000"/>
          <w:sz w:val="22"/>
        </w:rPr>
        <w:t>ServiciosYa has progressed towards an integrated solution connecting customers and workers through service requests and applications. The reported development checks cover the main business flow, including publication, worker selection, communication, closure and reviews. The shared backend supports the mobile application and the administration website, while Prisma and PostgreSQL provide the data access and persistence layers.</w:t>
      </w:r>
    </w:p>
    <w:p>
      <w:pPr>
        <w:keepLines w:val="0"/>
        <w:widowControl/>
        <w:spacing w:before="0" w:after="140" w:line="259" w:lineRule="auto"/>
        <w:ind w:left="0" w:right="0" w:firstLine="0"/>
      </w:pPr>
      <w:r>
        <w:rPr>
          <w:rFonts w:ascii="Calibri" w:hAnsi="Calibri"/>
          <w:color w:val="000000"/>
          <w:sz w:val="22"/>
        </w:rPr>
        <w:t>The current results support a development demonstration, but they do not establish complete product certification. Backend and integration checks must be complemented by a complete visual walkthrough on Android and by evidence that links each result to a reproducible execution. Real email delivery, catalogue centralisation, additional device testing and production deployment remain open tasks.</w:t>
      </w:r>
    </w:p>
    <w:p>
      <w:pPr>
        <w:keepLines w:val="0"/>
        <w:widowControl/>
        <w:spacing w:before="0" w:after="140" w:line="259" w:lineRule="auto"/>
        <w:ind w:left="0" w:right="0" w:firstLine="0"/>
      </w:pPr>
      <w:r>
        <w:rPr>
          <w:rFonts w:ascii="Calibri" w:hAnsi="Calibri"/>
          <w:color w:val="000000"/>
          <w:sz w:val="22"/>
        </w:rPr>
        <w:t>The next milestone should focus on a stable and repeatable demonstration. This requires starting the services in advance, checking connectivity, preparing fictitious accounts and recording the expected and observed outcomes. Progress should continue to be assessed against the approved plan and the actual evidence available.</w:t>
      </w:r>
    </w:p>
    <w:p>
      <w:pPr>
        <w:pStyle w:val="Heading2"/>
        <w:keepNext/>
        <w:keepLines/>
        <w:widowControl/>
        <w:spacing w:before="240" w:after="140" w:line="259" w:lineRule="auto"/>
        <w:ind w:left="0" w:right="0" w:firstLine="0"/>
      </w:pPr>
      <w:r>
        <w:rPr>
          <w:rFonts w:ascii="Calibri" w:hAnsi="Calibri"/>
          <w:b/>
          <w:color w:val="000000"/>
          <w:sz w:val="24"/>
        </w:rPr>
        <w:t>5.2 Individual reflection</w:t>
      </w:r>
    </w:p>
    <w:p>
      <w:pPr>
        <w:keepLines w:val="0"/>
        <w:widowControl/>
        <w:spacing w:before="0" w:after="140" w:line="259" w:lineRule="auto"/>
        <w:ind w:left="0" w:right="0" w:firstLine="0"/>
      </w:pPr>
      <w:r>
        <w:rPr>
          <w:rFonts w:ascii="Calibri" w:hAnsi="Calibri"/>
          <w:color w:val="000000"/>
          <w:sz w:val="22"/>
        </w:rPr>
        <w:t>Based on the documented progress, I recognise that completing a feature requires more than implementing its interface. I need to verify that the application, backend and database work together and that the user is allowed to perform each operation. Integration checks provide useful evidence, but they do not replace a full review of the user experience.</w:t>
      </w:r>
    </w:p>
    <w:p>
      <w:pPr>
        <w:keepLines w:val="0"/>
        <w:widowControl/>
        <w:spacing w:before="0" w:after="140" w:line="259" w:lineRule="auto"/>
        <w:ind w:left="0" w:right="0" w:firstLine="0"/>
      </w:pPr>
      <w:r>
        <w:rPr>
          <w:rFonts w:ascii="Calibri" w:hAnsi="Calibri"/>
          <w:color w:val="000000"/>
          <w:sz w:val="22"/>
        </w:rPr>
        <w:t>For the next stage, I will focus on making the demonstration reproducible and on recording the remaining limitations clearly. I also need to keep test information separate from public deliverables and avoid presenting development results as proof of production readiness. This approach will help me organise the remaining work and communicate the status of ServiciosYa accurately.</w:t>
      </w:r>
    </w:p>
    <w:p>
      <w:pPr>
        <w:keepLines w:val="0"/>
        <w:widowControl/>
        <w:spacing w:before="0" w:after="140" w:line="259" w:lineRule="auto"/>
        <w:ind w:left="0" w:right="0" w:firstLine="0"/>
      </w:pPr>
      <w:r>
        <w:rPr>
          <w:rFonts w:ascii="Calibri" w:hAnsi="Calibri"/>
          <w:color w:val="000000"/>
          <w:sz w:val="22"/>
        </w:rPr>
        <w:t>The main improvement opportunity is to strengthen traceability. Each reported result should be supported by a test case, an execution record and the corresponding code version. This will make the technical report easier to review and will support future maintenance and deployment decisions.</w:t>
      </w:r>
    </w:p>
    <w:p>
      <w:pPr>
        <w:keepLines w:val="0"/>
        <w:widowControl/>
        <w:spacing w:before="0" w:after="140" w:line="259" w:lineRule="auto"/>
        <w:ind w:left="0" w:right="0" w:firstLine="0"/>
      </w:pPr>
      <w:r>
        <w:rPr>
          <w:rFonts w:ascii="Calibri" w:hAnsi="Calibri"/>
          <w:color w:val="000000"/>
          <w:sz w:val="22"/>
        </w:rPr>
        <w:br w:type="page"/>
      </w:r>
    </w:p>
    <w:p>
      <w:pPr>
        <w:pStyle w:val="Heading1"/>
        <w:keepNext/>
        <w:keepLines/>
        <w:widowControl/>
        <w:spacing w:before="0" w:after="140" w:line="259" w:lineRule="auto"/>
        <w:ind w:left="0" w:right="0" w:firstLine="0"/>
      </w:pPr>
      <w:r>
        <w:rPr>
          <w:rFonts w:ascii="Calibri" w:hAnsi="Calibri"/>
          <w:b/>
          <w:color w:val="000000"/>
          <w:sz w:val="34"/>
        </w:rPr>
        <w:t>6 Referencias y anexos de evidencia</w:t>
      </w:r>
    </w:p>
    <w:p>
      <w:pPr>
        <w:pStyle w:val="Heading2"/>
        <w:keepNext/>
        <w:keepLines/>
        <w:widowControl/>
        <w:spacing w:before="240" w:after="140" w:line="259" w:lineRule="auto"/>
        <w:ind w:left="0" w:right="0" w:firstLine="0"/>
      </w:pPr>
      <w:r>
        <w:rPr>
          <w:rFonts w:ascii="Calibri" w:hAnsi="Calibri"/>
          <w:b/>
          <w:color w:val="000000"/>
          <w:sz w:val="24"/>
        </w:rPr>
        <w:t>6.1 Fuentes utilizadas</w:t>
      </w:r>
    </w:p>
    <w:p>
      <w:pPr>
        <w:keepLines w:val="0"/>
        <w:widowControl/>
        <w:spacing w:before="0" w:after="140" w:line="259" w:lineRule="auto"/>
        <w:ind w:left="0" w:right="0" w:firstLine="0"/>
      </w:pPr>
      <w:r>
        <w:rPr>
          <w:rFonts w:ascii="Calibri" w:hAnsi="Calibri"/>
          <w:color w:val="000000"/>
          <w:sz w:val="22"/>
        </w:rPr>
        <w:t>Duoc UC. 2.2 APT122 Autoevaluación Avance Fase 2. Pauta proporcionada por el estudiante.</w:t>
      </w:r>
    </w:p>
    <w:p>
      <w:pPr>
        <w:keepLines w:val="0"/>
        <w:widowControl/>
        <w:spacing w:before="0" w:after="140" w:line="259" w:lineRule="auto"/>
        <w:ind w:left="0" w:right="0" w:firstLine="0"/>
      </w:pPr>
      <w:r>
        <w:rPr>
          <w:rFonts w:ascii="Calibri" w:hAnsi="Calibri"/>
          <w:color w:val="000000"/>
          <w:sz w:val="22"/>
        </w:rPr>
        <w:t>Duoc UC. 2.3 APT122 Formativa Avance Fase 2. Pauta proporcionada por el estudiante.</w:t>
      </w:r>
    </w:p>
    <w:p>
      <w:pPr>
        <w:keepLines w:val="0"/>
        <w:widowControl/>
        <w:spacing w:before="0" w:after="140" w:line="259" w:lineRule="auto"/>
        <w:ind w:left="0" w:right="0" w:firstLine="0"/>
      </w:pPr>
      <w:r>
        <w:rPr>
          <w:rFonts w:ascii="Calibri" w:hAnsi="Calibri"/>
          <w:color w:val="000000"/>
          <w:sz w:val="22"/>
        </w:rPr>
        <w:t>Duoc UC. 2.4 Guía Estudiante Fase 2 Desarrollo Proyecto APT. Plantilla proporcionada por el estudiante.</w:t>
      </w:r>
    </w:p>
    <w:p>
      <w:pPr>
        <w:keepLines w:val="0"/>
        <w:widowControl/>
        <w:spacing w:before="0" w:after="140" w:line="259" w:lineRule="auto"/>
        <w:ind w:left="0" w:right="0" w:firstLine="0"/>
      </w:pPr>
      <w:r>
        <w:rPr>
          <w:rFonts w:ascii="Calibri" w:hAnsi="Calibri"/>
          <w:color w:val="000000"/>
          <w:sz w:val="22"/>
        </w:rPr>
        <w:t>Vargas, Pablo. Guía de avance Fase 2 de ServiciosYa. Información con fecha de corte del 14 de octubre de 2026.</w:t>
      </w:r>
    </w:p>
    <w:p>
      <w:pPr>
        <w:keepLines w:val="0"/>
        <w:widowControl/>
        <w:spacing w:before="0" w:after="140" w:line="259" w:lineRule="auto"/>
        <w:ind w:left="0" w:right="0" w:firstLine="0"/>
      </w:pPr>
      <w:r>
        <w:rPr>
          <w:rFonts w:ascii="Calibri" w:hAnsi="Calibri"/>
          <w:color w:val="000000"/>
          <w:sz w:val="22"/>
        </w:rPr>
        <w:t>Repositorio declarado del proyecto: https://github.com/PabloVargass/Proyecto-Capstone-ServiciosYa</w:t>
      </w:r>
    </w:p>
    <w:p>
      <w:pPr>
        <w:keepLines w:val="0"/>
        <w:widowControl/>
        <w:spacing w:before="0" w:after="140" w:line="259" w:lineRule="auto"/>
        <w:ind w:left="0" w:right="0" w:firstLine="0"/>
      </w:pPr>
      <w:r>
        <w:rPr>
          <w:rFonts w:ascii="Calibri" w:hAnsi="Calibri"/>
          <w:color w:val="000000"/>
          <w:sz w:val="22"/>
        </w:rPr>
        <w:t>El documento de avance identifica el commit 03fc5d8 y una entrega Version 2.0. El repositorio y ese commit no fueron verificados nuevamente durante la preparación de este informe.</w:t>
      </w:r>
    </w:p>
    <w:p>
      <w:pPr>
        <w:pStyle w:val="Heading2"/>
        <w:keepNext/>
        <w:keepLines/>
        <w:widowControl/>
        <w:spacing w:before="240" w:after="140" w:line="259" w:lineRule="auto"/>
        <w:ind w:left="0" w:right="0" w:firstLine="0"/>
      </w:pPr>
      <w:r>
        <w:rPr>
          <w:rFonts w:ascii="Calibri" w:hAnsi="Calibri"/>
          <w:b/>
          <w:color w:val="000000"/>
          <w:sz w:val="24"/>
        </w:rPr>
        <w:t>6.2 Anexos que deben acompañar la entrega</w:t>
      </w:r>
    </w:p>
    <w:tbl>
      <w:tblPr>
        <w:tblW w:type="auto" w:w="0"/>
        <w:tblLayout w:type="fixed"/>
        <w:tblLook w:firstColumn="1" w:firstRow="1" w:lastColumn="0" w:lastRow="0" w:noHBand="0" w:noVBand="1" w:val="04A0"/>
      </w:tblPr>
      <w:tblGrid>
        <w:gridCol w:w="936"/>
        <w:gridCol w:w="5256"/>
        <w:gridCol w:w="3456"/>
      </w:tblGrid>
      <w:tr>
        <w:trPr>
          <w:cantSplit/>
        </w:trPr>
        <w:tc>
          <w:tcPr>
            <w:tcW w:type="dxa" w:w="936"/>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Anexo</w:t>
            </w:r>
          </w:p>
        </w:tc>
        <w:tc>
          <w:tcPr>
            <w:tcW w:type="dxa" w:w="5256"/>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Contenido requerido</w:t>
            </w:r>
          </w:p>
        </w:tc>
        <w:tc>
          <w:tcPr>
            <w:tcW w:type="dxa" w:w="3456"/>
            <w:tcBorders>
              <w:top w:val="single" w:sz="4" w:color="D9D9D9"/>
              <w:left w:val="single" w:sz="4" w:color="D9D9D9"/>
              <w:bottom w:val="single" w:sz="4" w:color="D9D9D9"/>
              <w:right w:val="single" w:sz="4" w:color="D9D9D9"/>
            </w:tcBorders>
            <w:shd w:fill="E7EDF4"/>
            <w:vAlign w:val="center"/>
            <w:tcMar>
              <w:top w:w="95" w:type="dxa"/>
              <w:bottom w:w="95" w:type="dxa"/>
              <w:left w:w="100" w:type="dxa"/>
              <w:right w:w="100" w:type="dxa"/>
            </w:tcMar>
          </w:tcPr>
          <w:p>
            <w:pPr>
              <w:keepNext w:val="0"/>
              <w:keepLines w:val="0"/>
              <w:spacing w:after="0" w:line="252" w:lineRule="auto" w:before="0"/>
            </w:pPr>
            <w:r>
              <w:rPr>
                <w:rFonts w:ascii="Calibri" w:hAnsi="Calibri"/>
                <w:b/>
                <w:sz w:val="21"/>
              </w:rPr>
              <w:t>Situación en este informe</w:t>
            </w:r>
          </w:p>
        </w:tc>
      </w:tr>
      <w:tr>
        <w:trPr>
          <w:cantSplit/>
        </w:trPr>
        <w:tc>
          <w:tcPr>
            <w:tcW w:type="dxa" w:w="93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A</w:t>
            </w:r>
          </w:p>
        </w:tc>
        <w:tc>
          <w:tcPr>
            <w:tcW w:type="dxa" w:w="52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Capturas del flujo móvil y del inicio de sesión en Android.</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adjuntado.</w:t>
            </w:r>
          </w:p>
        </w:tc>
      </w:tr>
      <w:tr>
        <w:trPr>
          <w:cantSplit/>
        </w:trPr>
        <w:tc>
          <w:tcPr>
            <w:tcW w:type="dxa" w:w="93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B</w:t>
            </w:r>
          </w:p>
        </w:tc>
        <w:tc>
          <w:tcPr>
            <w:tcW w:type="dxa" w:w="52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Resultados de pruebas de backend e integración, con fecha y caso.</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adjuntado.</w:t>
            </w:r>
          </w:p>
        </w:tc>
      </w:tr>
      <w:tr>
        <w:trPr>
          <w:cantSplit/>
        </w:trPr>
        <w:tc>
          <w:tcPr>
            <w:tcW w:type="dxa" w:w="93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w:t>
            </w:r>
          </w:p>
        </w:tc>
        <w:tc>
          <w:tcPr>
            <w:tcW w:type="dxa" w:w="52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Schema Prisma, migraciones y modelo de datos vigente.</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Referenciado; no adjuntado.</w:t>
            </w:r>
          </w:p>
        </w:tc>
      </w:tr>
      <w:tr>
        <w:trPr>
          <w:cantSplit/>
        </w:trPr>
        <w:tc>
          <w:tcPr>
            <w:tcW w:type="dxa" w:w="93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D</w:t>
            </w:r>
          </w:p>
        </w:tc>
        <w:tc>
          <w:tcPr>
            <w:tcW w:type="dxa" w:w="52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Capturas y resultados de la web administrativa.</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adjuntado.</w:t>
            </w:r>
          </w:p>
        </w:tc>
      </w:tr>
      <w:tr>
        <w:trPr>
          <w:cantSplit/>
        </w:trPr>
        <w:tc>
          <w:tcPr>
            <w:tcW w:type="dxa" w:w="93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E</w:t>
            </w:r>
          </w:p>
        </w:tc>
        <w:tc>
          <w:tcPr>
            <w:tcW w:type="dxa" w:w="52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Carta Gantt y seguimiento del plan de trabajo.</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No adjuntado.</w:t>
            </w:r>
          </w:p>
        </w:tc>
      </w:tr>
      <w:tr>
        <w:trPr>
          <w:cantSplit/>
        </w:trPr>
        <w:tc>
          <w:tcPr>
            <w:tcW w:type="dxa" w:w="93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F</w:t>
            </w:r>
          </w:p>
        </w:tc>
        <w:tc>
          <w:tcPr>
            <w:tcW w:type="dxa" w:w="52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Versión o commit del código utilizado en la demostración.</w:t>
            </w:r>
          </w:p>
        </w:tc>
        <w:tc>
          <w:tcPr>
            <w:tcW w:type="dxa" w:w="3456"/>
            <w:tcBorders>
              <w:top w:val="single" w:sz="4" w:color="D9D9D9"/>
              <w:left w:val="single" w:sz="4" w:color="D9D9D9"/>
              <w:bottom w:val="single" w:sz="4" w:color="D9D9D9"/>
              <w:right w:val="single" w:sz="4" w:color="D9D9D9"/>
            </w:tcBorders>
            <w:vAlign w:val="center"/>
            <w:tcMar>
              <w:top w:w="95" w:type="dxa"/>
              <w:bottom w:w="95" w:type="dxa"/>
              <w:left w:w="100" w:type="dxa"/>
              <w:right w:w="100" w:type="dxa"/>
            </w:tcMar>
          </w:tcPr>
          <w:p>
            <w:pPr>
              <w:keepNext w:val="0"/>
              <w:keepLines w:val="0"/>
              <w:spacing w:after="0" w:line="252" w:lineRule="auto" w:before="0"/>
            </w:pPr>
            <w:r>
              <w:rPr>
                <w:rFonts w:ascii="Calibri" w:hAnsi="Calibri"/>
                <w:b w:val="0"/>
                <w:sz w:val="21"/>
              </w:rPr>
              <w:t>Referencia declarada; requiere contraste.</w:t>
            </w:r>
          </w:p>
        </w:tc>
      </w:tr>
    </w:tbl>
    <w:p>
      <w:pPr>
        <w:keepLines w:val="0"/>
        <w:widowControl/>
        <w:spacing w:before="0" w:after="140" w:line="259" w:lineRule="auto"/>
        <w:ind w:left="0" w:right="0" w:firstLine="0"/>
      </w:pPr>
    </w:p>
    <w:p>
      <w:pPr>
        <w:keepLines w:val="0"/>
        <w:widowControl/>
        <w:spacing w:before="0" w:after="140" w:line="259" w:lineRule="auto"/>
        <w:ind w:left="0" w:right="0" w:firstLine="0"/>
      </w:pPr>
      <w:r>
        <w:rPr>
          <w:rFonts w:ascii="Calibri" w:hAnsi="Calibri"/>
          <w:color w:val="000000"/>
          <w:sz w:val="22"/>
        </w:rPr>
        <w:t>Los anexos no se presentan como entregados ni aprobados. Para completar la entrega, deben incorporarse las evidencias reales correspondientes, evitando secretos, datos personales y credenciales. Las capturas deben identificar la funcionalidad y el resultado que demuestran.</w:t>
      </w:r>
    </w:p>
    <w:sectPr w:rsidR="00FC693F" w:rsidRPr="0006063C" w:rsidSect="00034616">
      <w:headerReference w:type="default" r:id="rId9"/>
      <w:footerReference w:type="default" r:id="rId10"/>
      <w:pgSz w:w="12240" w:h="15840"/>
      <w:pgMar w:top="1368" w:right="1224" w:bottom="1224"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sz w:val="18"/>
      </w:rPr>
      <w:t>SERVICIOSYA  |  CAPSTONE  |  INFORME DE AVANCE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9" w:lineRule="auto" w:before="0"/>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before="0"/>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40" w:line="259"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0" w:after="140" w:line="259" w:lineRule="auto"/>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0" w:after="140" w:line="259" w:lineRule="auto"/>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0" w:after="140" w:line="259" w:lineRule="auto"/>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0" w:after="140" w:line="259" w:lineRule="auto"/>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0" w:after="140" w:line="259" w:lineRule="auto"/>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140" w:line="259" w:lineRule="auto"/>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9" w:lineRule="auto" w:before="0"/>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40" w:line="259" w:lineRule="auto"/>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40" w:before="0" w:line="259" w:lineRule="auto"/>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9" w:lineRule="auto" w:before="0"/>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before="0" w:line="259" w:lineRule="auto"/>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140" w:line="259" w:lineRule="auto"/>
      <w:ind w:left="360" w:hanging="360"/>
      <w:contextualSpacing/>
    </w:pPr>
    <w:rPr>
      <w:rFonts w:ascii="Calibri" w:hAnsi="Calibri"/>
      <w:color w:val="000000"/>
    </w:rPr>
  </w:style>
  <w:style w:type="paragraph" w:styleId="List2">
    <w:name w:val="List 2"/>
    <w:basedOn w:val="Normal"/>
    <w:uiPriority w:val="99"/>
    <w:unhideWhenUsed/>
    <w:rsid w:val="00326F90"/>
    <w:pPr>
      <w:spacing w:before="0" w:after="140" w:line="259" w:lineRule="auto"/>
      <w:ind w:left="720" w:hanging="360"/>
      <w:contextualSpacing/>
    </w:pPr>
    <w:rPr>
      <w:rFonts w:ascii="Calibri" w:hAnsi="Calibri"/>
      <w:color w:val="000000"/>
    </w:rPr>
  </w:style>
  <w:style w:type="paragraph" w:styleId="List3">
    <w:name w:val="List 3"/>
    <w:basedOn w:val="Normal"/>
    <w:uiPriority w:val="99"/>
    <w:unhideWhenUsed/>
    <w:rsid w:val="00326F90"/>
    <w:pPr>
      <w:spacing w:before="0" w:after="140" w:line="259" w:lineRule="auto"/>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spacing w:before="0" w:after="14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spacing w:before="0" w:after="140" w:line="259" w:lineRule="auto"/>
      <w:contextualSpacing/>
    </w:pPr>
    <w:rPr>
      <w:rFonts w:ascii="Calibri" w:hAnsi="Calibri"/>
      <w:color w:val="000000"/>
    </w:rPr>
  </w:style>
  <w:style w:type="paragraph" w:styleId="ListBullet3">
    <w:name w:val="List Bullet 3"/>
    <w:basedOn w:val="Normal"/>
    <w:uiPriority w:val="99"/>
    <w:unhideWhenUsed/>
    <w:rsid w:val="00326F90"/>
    <w:pPr>
      <w:numPr>
        <w:numId w:val="3"/>
      </w:numPr>
      <w:spacing w:before="0" w:after="140" w:line="259" w:lineRule="auto"/>
      <w:contextualSpacing/>
    </w:pPr>
    <w:rPr>
      <w:rFonts w:ascii="Calibri" w:hAnsi="Calibri"/>
      <w:color w:val="000000"/>
    </w:rPr>
  </w:style>
  <w:style w:type="paragraph" w:styleId="ListNumber">
    <w:name w:val="List Number"/>
    <w:basedOn w:val="Normal"/>
    <w:uiPriority w:val="99"/>
    <w:unhideWhenUsed/>
    <w:rsid w:val="00326F90"/>
    <w:pPr>
      <w:numPr>
        <w:numId w:val="5"/>
      </w:numPr>
      <w:spacing w:before="0" w:after="140" w:line="259"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spacing w:before="0" w:after="140" w:line="259" w:lineRule="auto"/>
      <w:contextualSpacing/>
    </w:pPr>
    <w:rPr>
      <w:rFonts w:ascii="Calibri" w:hAnsi="Calibri"/>
      <w:color w:val="000000"/>
    </w:rPr>
  </w:style>
  <w:style w:type="paragraph" w:styleId="ListNumber3">
    <w:name w:val="List Number 3"/>
    <w:basedOn w:val="Normal"/>
    <w:uiPriority w:val="99"/>
    <w:unhideWhenUsed/>
    <w:rsid w:val="0029639D"/>
    <w:pPr>
      <w:numPr>
        <w:numId w:val="7"/>
      </w:numPr>
      <w:spacing w:before="0" w:after="140" w:line="259" w:lineRule="auto"/>
      <w:contextualSpacing/>
    </w:pPr>
    <w:rPr>
      <w:rFonts w:ascii="Calibri" w:hAnsi="Calibri"/>
      <w:color w:val="000000"/>
    </w:rPr>
  </w:style>
  <w:style w:type="paragraph" w:styleId="ListContinue">
    <w:name w:val="List Continue"/>
    <w:basedOn w:val="Normal"/>
    <w:uiPriority w:val="99"/>
    <w:unhideWhenUsed/>
    <w:rsid w:val="0029639D"/>
    <w:pPr>
      <w:spacing w:after="140" w:before="0" w:line="259" w:lineRule="auto"/>
      <w:ind w:left="360"/>
      <w:contextualSpacing/>
    </w:pPr>
    <w:rPr>
      <w:rFonts w:ascii="Calibri" w:hAnsi="Calibri"/>
      <w:color w:val="000000"/>
    </w:rPr>
  </w:style>
  <w:style w:type="paragraph" w:styleId="ListContinue2">
    <w:name w:val="List Continue 2"/>
    <w:basedOn w:val="Normal"/>
    <w:uiPriority w:val="99"/>
    <w:unhideWhenUsed/>
    <w:rsid w:val="0029639D"/>
    <w:pPr>
      <w:spacing w:after="140" w:before="0" w:line="259" w:lineRule="auto"/>
      <w:ind w:left="720"/>
      <w:contextualSpacing/>
    </w:pPr>
    <w:rPr>
      <w:rFonts w:ascii="Calibri" w:hAnsi="Calibri"/>
      <w:color w:val="000000"/>
    </w:rPr>
  </w:style>
  <w:style w:type="paragraph" w:styleId="ListContinue3">
    <w:name w:val="List Continue 3"/>
    <w:basedOn w:val="Normal"/>
    <w:uiPriority w:val="99"/>
    <w:unhideWhenUsed/>
    <w:rsid w:val="0029639D"/>
    <w:pPr>
      <w:spacing w:after="140" w:before="0" w:line="259" w:lineRule="auto"/>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140" w:line="259" w:lineRule="auto"/>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140" w:line="259" w:lineRule="auto"/>
    </w:pPr>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before="0"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140" w:line="259" w:lineRule="auto"/>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140" w:line="259" w:lineRule="auto"/>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