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b w:val="1"/>
          <w:bCs w:val="1"/>
          <w:color w:val="2d2d2d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color w:val="004379"/>
          <w:sz w:val="50"/>
          <w:szCs w:val="50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Práctica · Tarea 2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color w:val="004379"/>
          <w:sz w:val="74"/>
          <w:szCs w:val="74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Entrelibros: integración, automatización e IA supervisada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color w:val="2d2d2d"/>
          <w:sz w:val="36"/>
          <w:szCs w:val="36"/>
        </w:rPr>
      </w:pPr>
      <w:r>
        <w:rPr>
          <w:color w:val="2d2d2d"/>
          <w:sz w:val="36"/>
          <w:szCs w:val="36"/>
          <w:rtl w:val="0"/>
        </w:rPr>
        <w:t xml:space="preserve">Soluciones Informáticas para la Empresa</w:t>
      </w:r>
    </w:p>
    <w:p w:rsidR="00000000" w:rsidDel="00000000" w:rsidP="00000000" w:rsidRDefault="00000000" w:rsidRPr="00000000" w14:paraId="0000000B">
      <w:pPr>
        <w:spacing w:after="0" w:line="360" w:lineRule="auto"/>
        <w:jc w:val="center"/>
        <w:rPr>
          <w:color w:val="2d2d2d"/>
          <w:sz w:val="32"/>
          <w:szCs w:val="32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236338" y="378000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cap="rnd" cmpd="sng" w="15875">
                          <a:solidFill>
                            <a:srgbClr val="EEA9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9325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Grado en Ingeniería Informática</w:t>
      </w:r>
    </w:p>
    <w:p w:rsidR="00000000" w:rsidDel="00000000" w:rsidP="00000000" w:rsidRDefault="00000000" w:rsidRPr="00000000" w14:paraId="0000000D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Integrantes del grupo: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Pablo Vicente Juan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Nino Iraci</w:t>
      </w:r>
    </w:p>
    <w:p w:rsidR="00000000" w:rsidDel="00000000" w:rsidP="00000000" w:rsidRDefault="00000000" w:rsidRPr="00000000" w14:paraId="00000011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Docente: Antonio Serrano Fernández</w:t>
      </w:r>
    </w:p>
    <w:p w:rsidR="00000000" w:rsidDel="00000000" w:rsidP="00000000" w:rsidRDefault="00000000" w:rsidRPr="00000000" w14:paraId="00000012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Curso académico: 2026/2027</w:t>
      </w:r>
    </w:p>
    <w:p w:rsidR="00000000" w:rsidDel="00000000" w:rsidP="00000000" w:rsidRDefault="00000000" w:rsidRPr="00000000" w14:paraId="00000013">
      <w:pPr>
        <w:rPr>
          <w:b w:val="1"/>
          <w:bCs w:val="1"/>
          <w:color w:val="2d2d2d"/>
          <w:sz w:val="28"/>
          <w:szCs w:val="28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630"/>
          <w:tab w:val="right" w:leader="none" w:pos="8788"/>
        </w:tabs>
        <w:spacing w:after="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  <w:rtl w:val="0"/>
        </w:rPr>
        <w:t xml:space="preserve">Índice de contenidos</w:t>
      </w:r>
    </w:p>
    <w:p w:rsidR="00000000" w:rsidDel="00000000" w:rsidP="00000000" w:rsidRDefault="00000000" w:rsidRPr="00000000" w14:paraId="00000015">
      <w:pPr>
        <w:tabs>
          <w:tab w:val="right" w:leader="none" w:pos="8788"/>
        </w:tabs>
        <w:spacing w:before="120" w:lineRule="auto"/>
        <w:rPr/>
      </w:pPr>
      <w:r>
        <w:rPr>
          <w:rtl w:val="0"/>
        </w:rPr>
      </w:r>
    </w:p>
    <w:sdt>
      <w:sdtPr>
        <w:id w:val="1198705414"/>
        <w:docPartObj>
          <w:docPartGallery w:val="Table of Contents"/>
          <w:docPartUnique w:val="1"/>
        </w:docPartObj>
      </w:sdtPr>
      <w:sdtContent>
        <w:p>
          <w:pPr>
            <w:tabs>
              <w:tab w:val="right" w:leader="dot" w:pos="8778"/>
            </w:tabs>
            <w:spacing w:before="120" w:after="0"/>
            <w:ind w:left="0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1" w:history="1">
            <w:r>
              <w:rPr>
                <w:b w:val="1"/>
                <w:bCs w:val="1"/>
                <w:color w:val="383838"/>
              </w:rPr>
              <w:t xml:space="preserve">1. Punto de partida y objetivo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2" w:history="1">
            <w:r>
              <w:rPr>
                <w:b w:val="1"/>
                <w:bCs w:val="1"/>
                <w:color w:val="383838"/>
              </w:rPr>
              <w:t xml:space="preserve">2. Descripción del proceso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3" w:history="1">
            <w:r>
              <w:rPr>
                <w:b w:val="1"/>
                <w:bCs w:val="1"/>
                <w:color w:val="383838"/>
              </w:rPr>
              <w:t xml:space="preserve">3. Contrato de datos (payload)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3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4" w:history="1">
            <w:r>
              <w:rPr>
                <w:b w:val="1"/>
                <w:bCs w:val="1"/>
                <w:color w:val="383838"/>
              </w:rPr>
              <w:t xml:space="preserve">4. Validaciones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_Toc104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5" w:history="1">
            <w:r>
              <w:rPr>
                <w:b w:val="1"/>
                <w:bCs w:val="1"/>
                <w:color w:val="383838"/>
              </w:rPr>
              <w:t xml:space="preserve">5. Gestión de errores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_Toc105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6" w:history="1">
            <w:r>
              <w:rPr>
                <w:b w:val="1"/>
                <w:bCs w:val="1"/>
                <w:color w:val="383838"/>
              </w:rPr>
              <w:t xml:space="preserve">6. Workflows en n8n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_Toc106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5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7" w:history="1">
            <w:r>
              <w:rPr>
                <w:b w:val="1"/>
                <w:bCs w:val="1"/>
                <w:color w:val="383838"/>
              </w:rPr>
              <w:t xml:space="preserve">7. Agente de IA y herramientas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_Toc107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8" w:history="1">
            <w:r>
              <w:rPr>
                <w:b w:val="1"/>
                <w:bCs w:val="1"/>
                <w:color w:val="383838"/>
              </w:rPr>
              <w:t xml:space="preserve">8. Límites y supervisión humana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_Toc108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9" w:history="1">
            <w:r>
              <w:rPr>
                <w:b w:val="1"/>
                <w:bCs w:val="1"/>
                <w:color w:val="383838"/>
              </w:rPr>
              <w:t xml:space="preserve">9. Métricas y evidencias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_Toc109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8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0" w:history="1">
            <w:r>
              <w:rPr>
                <w:b w:val="1"/>
                <w:bCs w:val="1"/>
                <w:color w:val="383838"/>
              </w:rPr>
              <w:t xml:space="preserve">10. Matriz de decisión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_Toc110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10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1" w:history="1">
            <w:r>
              <w:rPr>
                <w:b w:val="1"/>
                <w:bCs w:val="1"/>
                <w:color w:val="383838"/>
              </w:rPr>
              <w:t xml:space="preserve">11. Riesgos, limitaciones y mejoras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2" w:history="1">
            <w:r>
              <w:rPr>
                <w:b w:val="1"/>
                <w:bCs w:val="1"/>
                <w:color w:val="383838"/>
              </w:rPr>
              <w:t xml:space="preserve">12. Reparto del trabajo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12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3" w:history="1">
            <w:r>
              <w:rPr>
                <w:b w:val="1"/>
                <w:bCs w:val="1"/>
                <w:color w:val="383838"/>
              </w:rPr>
              <w:t xml:space="preserve">Anexo A. Declaración de uso de inteligencia artificial (actualizada)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13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4" w:history="1">
            <w:r>
              <w:rPr>
                <w:color w:val="383838"/>
              </w:rPr>
              <w:t xml:space="preserve">A.1. IA dentro de la solución: agente de soporte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_Toc114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13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5" w:history="1">
            <w:r>
              <w:rPr>
                <w:color w:val="383838"/>
              </w:rPr>
              <w:t xml:space="preserve">A.2. Pablo Vicente Juan: IA como asistente de desarrollo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_Toc115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13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6" w:history="1">
            <w:r>
              <w:rPr>
                <w:color w:val="383838"/>
              </w:rPr>
              <w:t xml:space="preserve">A.3. Nino Iraci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_Toc116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14</w:t>
            </w:r>
            <w:r>
              <w:rPr>
                <w:color w:val="383838"/>
              </w:rPr>
              <w:fldChar w:fldCharType="end"/>
            </w:r>
          </w:hyperlink>
          <w:r>
            <w:fldChar w:fldCharType="end"/>
          </w:r>
        </w:p>
      </w:sdtContent>
    </w:sdt>
    <w:p w:rsidR="00000000" w:rsidDel="00000000" w:rsidP="00000000" w:rsidRDefault="00000000" w:rsidRPr="00000000" w14:paraId="0000001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788"/>
        </w:tabs>
        <w:spacing w:after="0" w:before="120" w:lineRule="auto"/>
        <w:jc w:val="both"/>
        <w:rPr>
          <w:b w:val="1"/>
          <w:bCs w:val="1"/>
          <w:color w:val="2d2d2d"/>
          <w:sz w:val="32"/>
          <w:szCs w:val="32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pgSz w:h="16838" w:w="11906" w:orient="portrait"/>
          <w:pgMar w:bottom="1418" w:top="1701" w:left="1559" w:right="1559" w:header="567" w:footer="567" w:gutter="0"/>
          <w:pgNumType w:start="1"/>
          <w:titlePg w:val="1"/>
        </w:sectPr>
      </w:pPr>
      <w:bookmarkStart w:colFirst="0" w:colLast="0" w:name="_gjdgxs" w:id="0"/>
      <w:bookmarkEnd w:id="0"/>
      <w:r>
        <w:rPr>
          <w:rtl w:val="0"/>
        </w:rPr>
      </w:r>
    </w:p>
    <w:p>
      <w:pPr>
        <w:pStyle w:val="Heading1"/>
        <w:outlineLvl w:val="0"/>
      </w:pPr>
      <w:bookmarkStart w:id="101" w:name="_Toc101"/>
      <w:r>
        <w:rPr/>
        <w:t xml:space="preserve">1. Punto de partida y objetivo</w:t>
      </w:r>
      <w:bookmarkEnd w:id="101"/>
    </w:p>
    <w:p>
      <w:pPr>
        <w:spacing w:before="0" w:after="120"/>
        <w:jc w:val="both"/>
      </w:pPr>
      <w:r>
        <w:rPr>
          <w:b w:val="1"/>
          <w:bCs w:val="1"/>
        </w:rPr>
        <w:t xml:space="preserve">Declaración del punto de partida.</w:t>
      </w:r>
      <w:r>
        <w:rPr/>
        <w:t xml:space="preserve"> Esta tarea se construye sobre la tienda de la Tarea 1, que ya estaba publicada y funcionando: web estática en GitHub Pages, base de datos y lógica en Supabase (PostgreSQL con RLS), proceso de compra completo con pago simulado, back-office y una tabla </w:t>
      </w:r>
      <w:r>
        <w:rPr>
          <w:rFonts w:ascii="Courier New" w:hAnsi="Courier New" w:cs="Courier New"/>
          <w:sz w:val="20"/>
          <w:szCs w:val="20"/>
        </w:rPr>
        <w:t xml:space="preserve">events</w:t>
      </w:r>
      <w:r>
        <w:rPr/>
        <w:t xml:space="preserve"> donde el servidor registra cada evento de negocio (pedido creado, pago, cambio de estado, ajuste de stock, solicitud de soporte…). </w:t>
      </w:r>
      <w:r>
        <w:rPr>
          <w:b w:val="1"/>
          <w:bCs w:val="1"/>
        </w:rPr>
        <w:t xml:space="preserve">No se ha modificado el proceso de compra</w:t>
      </w:r>
      <w:r>
        <w:rPr/>
        <w:t xml:space="preserve">: todo lo nuevo se añade alrededor de esos eventos.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Lo que se añade en la Tarea 2:</w:t>
      </w:r>
      <w:r>
        <w:rPr/>
        <w:t xml:space="preserve"> un </w:t>
      </w:r>
      <w:r>
        <w:rPr>
          <w:b w:val="1"/>
          <w:bCs w:val="1"/>
        </w:rPr>
        <w:t xml:space="preserve">back-office ERP/CRM independiente</w:t>
      </w:r>
      <w:r>
        <w:rPr/>
        <w:t xml:space="preserve"> (pedidos de venta, inventario, clientes e incidencias), con su </w:t>
      </w:r>
      <w:r>
        <w:rPr>
          <w:b w:val="1"/>
          <w:bCs w:val="1"/>
        </w:rPr>
        <w:t xml:space="preserve">propio proyecto de Supabase</w:t>
      </w:r>
      <w:r>
        <w:rPr/>
        <w:t xml:space="preserve"> —base de datos, claves y usuarios distintos de los de la tienda— y su </w:t>
      </w:r>
      <w:r>
        <w:rPr>
          <w:b w:val="1"/>
          <w:bCs w:val="1"/>
        </w:rPr>
        <w:t xml:space="preserve">propia web</w:t>
      </w:r>
      <w:r>
        <w:rPr/>
        <w:t xml:space="preserve"> de acceso para el personal; una plataforma de automatización </w:t>
      </w:r>
      <w:r>
        <w:rPr>
          <w:b w:val="1"/>
          <w:bCs w:val="1"/>
        </w:rPr>
        <w:t xml:space="preserve">n8n</w:t>
      </w:r>
      <w:r>
        <w:rPr/>
        <w:t xml:space="preserve"> en Render, que es lo único que conecta los dos sistemas; un </w:t>
      </w:r>
      <w:r>
        <w:rPr>
          <w:b w:val="1"/>
          <w:bCs w:val="1"/>
        </w:rPr>
        <w:t xml:space="preserve">agente de IA</w:t>
      </w:r>
      <w:r>
        <w:rPr/>
        <w:t xml:space="preserve"> (Google Gemini) que analiza las incidencias consultando el back-office, y </w:t>
      </w:r>
      <w:r>
        <w:rPr>
          <w:b w:val="1"/>
          <w:bCs w:val="1"/>
        </w:rPr>
        <w:t xml:space="preserve">supervisión humana</w:t>
      </w:r>
      <w:r>
        <w:rPr/>
        <w:t xml:space="preserve"> por Telegram antes de que nada llegue al cliente.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3691"/>
        <w:gridCol w:w="3691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1 · Tienda (front-office)</w:t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2 · Back-office ERP/CRM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</w:t>
            </w:r>
            <w:r>
              <w:rPr>
                <w:sz w:val="18"/>
                <w:szCs w:val="18"/>
              </w:rPr>
              <w:t xml:space="preserve"> (Tarea 1)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entrelibros-erp</w:t>
            </w:r>
            <w:r>
              <w:rPr>
                <w:sz w:val="18"/>
                <w:szCs w:val="18"/>
              </w:rPr>
              <w:t xml:space="preserve"> (nuevo)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Catálogo, pedidos, pagos, soporte,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events</w:t>
            </w:r>
            <w:r>
              <w:rPr>
                <w:sz w:val="18"/>
                <w:szCs w:val="18"/>
              </w:rPr>
              <w:t xml:space="preserve"> y la cola de salida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integration_outbox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Clientes, pedidos de venta + historial, inventario, tickets + actividad, decisiones del agente y registro de integración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Acceso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pública y su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admin*.html</w:t>
            </w:r>
            <w:r>
              <w:rPr>
                <w:sz w:val="18"/>
                <w:szCs w:val="18"/>
              </w:rPr>
              <w:t xml:space="preserve">) con administradores de la tienda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/entrelibros/erp/</w:t>
            </w:r>
            <w:r>
              <w:rPr>
                <w:sz w:val="18"/>
                <w:szCs w:val="18"/>
              </w:rPr>
              <w:t xml:space="preserve"> con usuarios del personal (tabla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staff</w:t>
            </w:r>
            <w:r>
              <w:rPr>
                <w:sz w:val="18"/>
                <w:szCs w:val="18"/>
              </w:rPr>
              <w:t xml:space="preserve">); solo lectura, RLS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Quién escribe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propia tienda; n8n solo confirma eventos y cambia el estado de una incidencia aprobada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n8n, por API, con la clave secreta de este proyecto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supabase/01 … 15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erp/web/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erp/supabase/01_erp.sql</w:t>
            </w:r>
          </w:p>
        </w:tc>
      </w:tr>
    </w:tbl>
    <w:p>
      <w:pPr>
        <w:spacing w:before="0" w:after="60"/>
        <w:jc w:val="both"/>
      </w:pP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3164"/>
        <w:gridCol w:w="3603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Disparador en la tienda</w:t>
            </w:r>
          </w:p>
        </w:tc>
        <w:tc>
          <w:tcPr>
            <w:tcW w:w="36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Resultado en el back-office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1. Pedido integrado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creado y pago aprobado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order.created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payment.simulated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de venta con líneas, cliente e importes; pasa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pendiente_pago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; aviso a operaciones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2. Sincronización de estado y stock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de estado en el back-office o ajuste de stock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order.status_changed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stock.adjusted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del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en_preparacion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enviado</w:t>
            </w:r>
            <w:r>
              <w:rPr>
                <w:sz w:val="18"/>
                <w:szCs w:val="18"/>
              </w:rPr>
              <w:t xml:space="preserve">…) e inventario por SKU actualizados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3. Incidencia postventa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Solicitud de soporte, con o sin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support.requested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Ticket en el CRM enlazado a cliente y pedido, propuesta del agente, aprobación humana y respuesta por Telegram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2" w:name="_Toc102"/>
      <w:r>
        <w:rPr/>
        <w:t xml:space="preserve">2. Descripción del proceso</w:t>
      </w:r>
      <w:bookmarkEnd w:id="102"/>
    </w:p>
    <w:p>
      <w:pPr>
        <w:spacing w:before="0" w:after="120"/>
        <w:jc w:val="both"/>
      </w:pPr>
      <w:r>
        <w:rPr/>
        <w:t xml:space="preserve">La integración sigue el patrón </w:t>
      </w:r>
      <w:r>
        <w:rPr>
          <w:b w:val="1"/>
          <w:bCs w:val="1"/>
        </w:rPr>
        <w:t xml:space="preserve">outbox</w:t>
      </w:r>
      <w:r>
        <w:rPr/>
        <w:t xml:space="preserve">: la tienda nunca llama a n8n desde el navegador ni depende de que n8n esté despierto, y nunca escribe en el back-office: solo publica eventos. Cuando el servidor registra un evento integrable, un </w:t>
      </w:r>
      <w:r>
        <w:rPr>
          <w:i w:val="1"/>
          <w:iCs w:val="1"/>
        </w:rPr>
        <w:t xml:space="preserve">trigger</w:t>
      </w:r>
      <w:r>
        <w:rPr/>
        <w:t xml:space="preserve"> lo copia a la cola </w:t>
      </w:r>
      <w:r>
        <w:rPr>
          <w:rFonts w:ascii="Courier New" w:hAnsi="Courier New" w:cs="Courier New"/>
          <w:sz w:val="20"/>
          <w:szCs w:val="20"/>
        </w:rPr>
        <w:t xml:space="preserve">integration_outbox</w:t>
      </w:r>
      <w:r>
        <w:rPr/>
        <w:t xml:space="preserve"> en la misma transacción y lo envía a n8n con </w:t>
      </w:r>
      <w:r>
        <w:rPr>
          <w:rFonts w:ascii="Courier New" w:hAnsi="Courier New" w:cs="Courier New"/>
          <w:sz w:val="20"/>
          <w:szCs w:val="20"/>
        </w:rPr>
        <w:t xml:space="preserve">pg_net</w:t>
      </w:r>
      <w:r>
        <w:rPr/>
        <w:t xml:space="preserve">. Si n8n no responde (el plan gratuito de Render se duerme), </w:t>
      </w:r>
      <w:r>
        <w:rPr>
          <w:rFonts w:ascii="Courier New" w:hAnsi="Courier New" w:cs="Courier New"/>
          <w:sz w:val="20"/>
          <w:szCs w:val="20"/>
        </w:rPr>
        <w:t xml:space="preserve">pg_cron</w:t>
      </w:r>
      <w:r>
        <w:rPr/>
        <w:t xml:space="preserve"> lo reintenta cada minuto con espera creciente.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La tienda emite el evento.</w:t>
      </w:r>
      <w:r>
        <w:rPr/>
        <w:t xml:space="preserve"> Por ejemplo, el cliente paga un pedido: se registra </w:t>
      </w:r>
      <w:r>
        <w:rPr>
          <w:rFonts w:ascii="Courier New" w:hAnsi="Courier New" w:cs="Courier New"/>
          <w:sz w:val="20"/>
          <w:szCs w:val="20"/>
        </w:rPr>
        <w:t xml:space="preserve">payment.simulated</w:t>
      </w:r>
      <w:r>
        <w:rPr/>
        <w:t xml:space="preserve"> y se encola con su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n8n lo recibe y lo valida</w:t>
      </w:r>
      <w:r>
        <w:rPr/>
        <w:t xml:space="preserve"> (workflow 1). Comprueba la cabecera secreta, el contrato y la coherencia de los importes, y normaliza los datos.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Lo lleva al back-office</w:t>
      </w:r>
      <w:r>
        <w:rPr/>
        <w:t xml:space="preserve"> llamando a su API (otro proyecto, otra clave): pedido de venta, inventario o ticket. El back-office aplica cada evento una sola vez (idempotencia por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) y guarda el historial de estados.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Registra el paso</w:t>
      </w:r>
      <w:r>
        <w:rPr/>
        <w:t xml:space="preserve"> en el registro de integración del back-office, </w:t>
      </w:r>
      <w:r>
        <w:rPr>
          <w:b w:val="1"/>
          <w:bCs w:val="1"/>
        </w:rPr>
        <w:t xml:space="preserve">confirma a la tienda</w:t>
      </w:r>
      <w:r>
        <w:rPr/>
        <w:t xml:space="preserve"> con </w:t>
      </w:r>
      <w:r>
        <w:rPr>
          <w:rFonts w:ascii="Courier New" w:hAnsi="Courier New" w:cs="Courier New"/>
          <w:sz w:val="20"/>
          <w:szCs w:val="20"/>
        </w:rPr>
        <w:t xml:space="preserve">integration_ack</w:t>
      </w:r>
      <w:r>
        <w:rPr/>
        <w:t xml:space="preserve"> (su cola lo marca como procesado) y avisa al chat de operaciones de Telegram.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Si es una incidencia nueva</w:t>
      </w:r>
      <w:r>
        <w:rPr/>
        <w:t xml:space="preserve">, lanza el agente de soporte (workflow 2): consulta en el back-office el pedido, el cliente y el inventario, deja una nota interna y propone una acción y un mensaje.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Una persona revisa</w:t>
      </w:r>
      <w:r>
        <w:rPr/>
        <w:t xml:space="preserve"> la propuesta en Telegram (Aprobar / Rechazar). Si se aprueba, n8n devuelve el cambio a la tienda (la incidencia pasa a «en curso») y el bot (workflow 3) envía el mensaje al cliente si vinculó su chat desde la página de soporte.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Carga inicial del inventario</w:t>
      </w:r>
      <w:r>
        <w:rPr/>
        <w:t xml:space="preserve"> (workflow 4, a mano y cada noche): n8n lee el stock completo de la tienda y lo carga en el inventario del back-office.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760000" cy="3240000"/>
            <wp:effectExtent l="0" t="0" r="0" b="0"/>
            <wp:docPr id="501" name="Figura 1" descr="Flujo de datos entre los dos sistemas (tienda y back-office ERP/CRM), n8n y Telegram. Las únicas conexiones entre sistemas pasan por n8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1. </w:t>
      </w:r>
      <w:r>
        <w:rPr>
          <w:i w:val="1"/>
          <w:iCs w:val="1"/>
          <w:color w:val="566079"/>
          <w:sz w:val="18"/>
          <w:szCs w:val="18"/>
        </w:rPr>
        <w:t xml:space="preserve">Flujo de datos entre los dos sistemas (tienda y back-office ERP/CRM), n8n y Telegram. Las únicas conexiones entre sistemas pasan por n8n.</w:t>
      </w:r>
    </w:p>
    <w:p>
      <w:pPr>
        <w:pStyle w:val="Heading1"/>
        <w:outlineLvl w:val="0"/>
      </w:pPr>
      <w:bookmarkStart w:id="103" w:name="_Toc103"/>
      <w:r>
        <w:rPr/>
        <w:t xml:space="preserve">3. Contrato de datos (payload)</w:t>
      </w:r>
      <w:bookmarkEnd w:id="103"/>
    </w:p>
    <w:p>
      <w:pPr>
        <w:spacing w:before="0" w:after="120"/>
        <w:jc w:val="both"/>
      </w:pPr>
      <w:r>
        <w:rPr/>
        <w:t xml:space="preserve">Todos los mensajes siguen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, construido en la base de datos (</w:t>
      </w:r>
      <w:r>
        <w:rPr>
          <w:rFonts w:ascii="Courier New" w:hAnsi="Courier New" w:cs="Courier New"/>
          <w:sz w:val="20"/>
          <w:szCs w:val="20"/>
        </w:rPr>
        <w:t xml:space="preserve">_integration_build_payload</w:t>
      </w:r>
      <w:r>
        <w:rPr/>
        <w:t xml:space="preserve">) en la misma transacción que el evento, así que siempre reflejan el estado real del pedido o la incidencia. La especificación completa está en </w:t>
      </w:r>
      <w:r>
        <w:rPr>
          <w:rFonts w:ascii="Courier New" w:hAnsi="Courier New" w:cs="Courier New"/>
          <w:sz w:val="20"/>
          <w:szCs w:val="20"/>
        </w:rPr>
        <w:t xml:space="preserve">docs/tarea2/contrato.md</w:t>
      </w:r>
      <w:r>
        <w:rPr/>
        <w:t xml:space="preserve"> y hay un payload real de cada escenario en </w:t>
      </w:r>
      <w:r>
        <w:rPr>
          <w:rFonts w:ascii="Courier New" w:hAnsi="Courier New" w:cs="Courier New"/>
          <w:sz w:val="20"/>
          <w:szCs w:val="20"/>
        </w:rPr>
        <w:t xml:space="preserve">docs/tarea2/payloads/</w:t>
      </w:r>
      <w:r>
        <w:rPr/>
        <w:t xml:space="preserve"> (más uno con errores para probar la validación).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6855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85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Transporte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HTTPS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/webhook/entrelibros/eventos</w:t>
            </w:r>
            <w:r>
              <w:rPr>
                <w:sz w:val="18"/>
                <w:szCs w:val="18"/>
              </w:rPr>
              <w:t xml:space="preserve"> con 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(secreto compartido)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X-Entrelibros-Attempt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Sobre común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contract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(UUID),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event_type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occurred_at</w:t>
            </w:r>
            <w:r>
              <w:rPr>
                <w:sz w:val="18"/>
                <w:szCs w:val="18"/>
              </w:rPr>
              <w:t xml:space="preserve"> (ISO 8601),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environment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por tipo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(cliente, líneas, importes, envío, pago) · estado: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change {from, to, by}</w:t>
            </w:r>
            <w:r>
              <w:rPr>
                <w:sz w:val="18"/>
                <w:szCs w:val="18"/>
              </w:rPr>
              <w:t xml:space="preserve"> · stock: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 {sku, from, to}</w:t>
            </w:r>
            <w:r>
              <w:rPr>
                <w:sz w:val="18"/>
                <w:szCs w:val="18"/>
              </w:rPr>
              <w:t xml:space="preserve"> · incidencia: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Respuestas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200</w:t>
            </w:r>
            <w:r>
              <w:rPr>
                <w:sz w:val="18"/>
                <w:szCs w:val="18"/>
              </w:rPr>
              <w:t xml:space="preserve"> con el resultado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 con la lista de errores de validación (no se reintenta)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si la clave no es válida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Confirmación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Cuando el back-office ha aplicado el evento, n8n llama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integration_ack(event_id, ok, detalle, reintentar)</w:t>
            </w:r>
            <w:r>
              <w:rPr>
                <w:sz w:val="18"/>
                <w:szCs w:val="18"/>
              </w:rPr>
              <w:t xml:space="preserve"> de la tienda; lo no confirmado se reenvía (2, 4, 8, 16… min, máximo 6 intentos)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Idempotencia y orden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back-office guarda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last_event_id</w:t>
            </w:r>
            <w:r>
              <w:rPr>
                <w:sz w:val="18"/>
                <w:szCs w:val="18"/>
              </w:rPr>
              <w:t xml:space="preserve"> (si llega dos veces 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duplicado</w:t>
            </w:r>
            <w:r>
              <w:rPr>
                <w:sz w:val="18"/>
                <w:szCs w:val="18"/>
              </w:rPr>
              <w:t xml:space="preserve">) y, en los pedidos,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(un evento más antiguo que el último aplicado se marca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obsoleto</w:t>
            </w:r>
            <w:r>
              <w:rPr>
                <w:sz w:val="18"/>
                <w:szCs w:val="18"/>
              </w:rPr>
              <w:t xml:space="preserve">); el stock y las incidencias solo detectan duplicados (ver apartado 11)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lleva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telegram_token</w:t>
            </w:r>
            <w:r>
              <w:rPr>
                <w:sz w:val="18"/>
                <w:szCs w:val="18"/>
              </w:rPr>
              <w:t xml:space="preserve">: la tienda lo enseña al cliente y el CRM lo guarda para vincular su chat con el ticket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4" w:name="_Toc104"/>
      <w:r>
        <w:rPr/>
        <w:t xml:space="preserve">4. Validaciones</w:t>
      </w:r>
      <w:bookmarkEnd w:id="104"/>
    </w:p>
    <w:p>
      <w:pPr>
        <w:spacing w:before="0" w:after="120"/>
        <w:jc w:val="both"/>
      </w:pPr>
      <w:r>
        <w:rPr/>
        <w:t xml:space="preserve">El nodo «Validar y normalizar» (</w:t>
      </w:r>
      <w:r>
        <w:rPr>
          <w:rFonts w:ascii="Courier New" w:hAnsi="Courier New" w:cs="Courier New"/>
          <w:sz w:val="20"/>
          <w:szCs w:val="20"/>
        </w:rPr>
        <w:t xml:space="preserve">n8n/code/validar-evento.js</w:t>
      </w:r>
      <w:r>
        <w:rPr/>
        <w:t xml:space="preserve">) es la puerta de entrada: si algo no cumple, el evento no llega al ERP.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4394"/>
        <w:gridCol w:w="2988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43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se comprueba</w:t>
            </w:r>
          </w:p>
        </w:tc>
        <w:tc>
          <w:tcPr>
            <w:tcW w:w="298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Normalización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Versión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entrelibros.event.v1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UUID, tipo de evento permitido,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presente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Obligatorios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número, estado, fecha, email del cliente y al menos una línea. Ticket: número, email, motivo y mensaje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Formato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EL-AAAAMMDD-XXXX</w:t>
            </w:r>
            <w:r>
              <w:rPr>
                <w:sz w:val="18"/>
                <w:szCs w:val="18"/>
              </w:rPr>
              <w:t xml:space="preserve">, ticket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SOP-AAAAMMDD-XXXX</w:t>
            </w:r>
            <w:r>
              <w:rPr>
                <w:sz w:val="18"/>
                <w:szCs w:val="18"/>
              </w:rPr>
              <w:t xml:space="preserve">, email válido, fechas ISO, cantidades enteras &gt; 0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Email en minúsculas, teléfono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+34…</w:t>
            </w:r>
            <w:r>
              <w:rPr>
                <w:sz w:val="18"/>
                <w:szCs w:val="18"/>
              </w:rPr>
              <w:t xml:space="preserve">, fechas en UTC, espacios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Coherencia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unit_price × quantity = line_total</w:t>
            </w:r>
            <w:r>
              <w:rPr>
                <w:sz w:val="18"/>
                <w:szCs w:val="18"/>
              </w:rPr>
              <w:t xml:space="preserve">; subtotal = suma de líneas; total = subtotal − descuento + envío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Redondeo a 2 decimales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 tienda traducible al del ERP; motivo de soporte conocido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ERP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pago_simulado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), categoría, prioridad y SLA del ticket (24/48/72 h)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5" w:name="_Toc105"/>
      <w:r>
        <w:rPr/>
        <w:t xml:space="preserve">5. Gestión de errores</w:t>
      </w:r>
      <w:bookmarkEnd w:id="105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2812"/>
        <w:gridCol w:w="4043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w="404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hace el sistema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 / formato / coherencia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Falta el email, fecha mal formada, la suma no cuadra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,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en Telegram y la cola queda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(no se reintenta: reenviar no lo arreglaría)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incorrecta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del webhook; no se procesa nada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ERP rechaza la operación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y cola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Técnico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dormido, ERP o red sin respuesta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cola vuelve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pg_cron</w:t>
            </w:r>
            <w:r>
              <w:rPr>
                <w:sz w:val="18"/>
                <w:szCs w:val="18"/>
              </w:rPr>
              <w:t xml:space="preserve"> reintenta con espera creciente; un </w:t>
            </w:r>
            <w:r>
              <w:rPr>
                <w:i w:val="1"/>
                <w:iCs w:val="1"/>
                <w:sz w:val="18"/>
                <w:szCs w:val="18"/>
              </w:rPr>
              <w:t xml:space="preserve">keepalive</w:t>
            </w:r>
            <w:r>
              <w:rPr>
                <w:sz w:val="18"/>
                <w:szCs w:val="18"/>
              </w:rPr>
              <w:t xml:space="preserve"> despierta a n8n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Gemini no responde o devuelve un JSON no válido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ticket ya está en el CRM; no se crea propuesta, se registra el fallo y se pide revisión manual por Telegram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Envío al cliente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 no entrega el mensaje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decisión queda aprobada pero no enviada;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para reenviarla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/>
        <w:t xml:space="preserve">En la tienda, </w:t>
      </w:r>
      <w:r>
        <w:rPr>
          <w:b w:val="1"/>
          <w:bCs w:val="1"/>
        </w:rPr>
        <w:t xml:space="preserve">Back-office → Integración</w:t>
      </w:r>
      <w:r>
        <w:rPr/>
        <w:t xml:space="preserve"> muestra la cola de salida con el estado e intentos de cada evento y un botón para reenviar a mano los que quedaron en error. En el back-office ERP/CRM, </w:t>
      </w:r>
      <w:r>
        <w:rPr>
          <w:b w:val="1"/>
          <w:bCs w:val="1"/>
        </w:rPr>
        <w:t xml:space="preserve">Registro de integración</w:t>
      </w:r>
      <w:r>
        <w:rPr/>
        <w:t xml:space="preserve"> muestra cada paso aplicado o rechazado, con su tipo de error.</w:t>
      </w:r>
    </w:p>
    <w:p>
      <w:pPr>
        <w:pStyle w:val="Heading1"/>
        <w:outlineLvl w:val="0"/>
      </w:pPr>
      <w:bookmarkStart w:id="106" w:name="_Toc106"/>
      <w:r>
        <w:rPr/>
        <w:t xml:space="preserve">6. Workflows en n8n</w:t>
      </w:r>
      <w:bookmarkEnd w:id="106"/>
    </w:p>
    <w:p>
      <w:pPr>
        <w:spacing w:before="0" w:after="120"/>
        <w:jc w:val="both"/>
      </w:pPr>
      <w:r>
        <w:rPr/>
        <w:t xml:space="preserve">Hay cuatro workflows (exportados en </w:t>
      </w:r>
      <w:r>
        <w:rPr>
          <w:rFonts w:ascii="Courier New" w:hAnsi="Courier New" w:cs="Courier New"/>
          <w:sz w:val="20"/>
          <w:szCs w:val="20"/>
        </w:rPr>
        <w:t xml:space="preserve">n8n/workflows/</w:t>
      </w:r>
      <w:r>
        <w:rPr/>
        <w:t xml:space="preserve">, generados por </w:t>
      </w:r>
      <w:r>
        <w:rPr>
          <w:rFonts w:ascii="Courier New" w:hAnsi="Courier New" w:cs="Courier New"/>
          <w:sz w:val="20"/>
          <w:szCs w:val="20"/>
        </w:rPr>
        <w:t xml:space="preserve">n8n/build_workflows.py</w:t>
      </w:r>
      <w:r>
        <w:rPr/>
        <w:t xml:space="preserve">): </w:t>
      </w:r>
      <w:r>
        <w:rPr>
          <w:b w:val="1"/>
          <w:bCs w:val="1"/>
        </w:rPr>
        <w:t xml:space="preserve">1</w:t>
      </w:r>
      <w:r>
        <w:rPr/>
        <w:t xml:space="preserve"> eventos de la tienda → back-office, </w:t>
      </w:r>
      <w:r>
        <w:rPr>
          <w:b w:val="1"/>
          <w:bCs w:val="1"/>
        </w:rPr>
        <w:t xml:space="preserve">2</w:t>
      </w:r>
      <w:r>
        <w:rPr/>
        <w:t xml:space="preserve"> agente de soporte, </w:t>
      </w:r>
      <w:r>
        <w:rPr>
          <w:b w:val="1"/>
          <w:bCs w:val="1"/>
        </w:rPr>
        <w:t xml:space="preserve">3</w:t>
      </w:r>
      <w:r>
        <w:rPr/>
        <w:t xml:space="preserve"> bot de Telegram del cliente y </w:t>
      </w:r>
      <w:r>
        <w:rPr>
          <w:b w:val="1"/>
          <w:bCs w:val="1"/>
        </w:rPr>
        <w:t xml:space="preserve">4</w:t>
      </w:r>
      <w:r>
        <w:rPr/>
        <w:t xml:space="preserve"> carga inicial y conciliación del inventario. Cada llamada va a uno de los dos sistemas con su propia URL (</w:t>
      </w:r>
      <w:r>
        <w:rPr>
          <w:rFonts w:ascii="Courier New" w:hAnsi="Courier New" w:cs="Courier New"/>
          <w:sz w:val="20"/>
          <w:szCs w:val="20"/>
        </w:rPr>
        <w:t xml:space="preserve">ENTRELIBROS_SUPABASE_URL</w:t>
      </w:r>
      <w:r>
        <w:rPr/>
        <w:t xml:space="preserve"> / </w:t>
      </w:r>
      <w:r>
        <w:rPr>
          <w:rFonts w:ascii="Courier New" w:hAnsi="Courier New" w:cs="Courier New"/>
          <w:sz w:val="20"/>
          <w:szCs w:val="20"/>
        </w:rPr>
        <w:t xml:space="preserve">ENTRELIBROS_ERP_URL</w:t>
      </w:r>
      <w:r>
        <w:rPr/>
        <w:t xml:space="preserve">) y su propia credencial (clave secreta de la tienda o del ERP). n8n se ejecuta en un Web Service gratuito de Render (</w:t>
      </w:r>
      <w:r>
        <w:rPr>
          <w:rFonts w:ascii="Courier New" w:hAnsi="Courier New" w:cs="Courier New"/>
          <w:sz w:val="20"/>
          <w:szCs w:val="20"/>
        </w:rPr>
        <w:t xml:space="preserve">render.yaml</w:t>
      </w:r>
      <w:r>
        <w:rPr/>
        <w:t xml:space="preserve">) y guarda sus datos en el esquema </w:t>
      </w:r>
      <w:r>
        <w:rPr>
          <w:rFonts w:ascii="Courier New" w:hAnsi="Courier New" w:cs="Courier New"/>
          <w:sz w:val="20"/>
          <w:szCs w:val="20"/>
        </w:rPr>
        <w:t xml:space="preserve">n8n</w:t>
      </w:r>
      <w:r>
        <w:rPr/>
        <w:t xml:space="preserve"> del proyecto de la tienda. Todas las claves están en credenciales cifradas de n8n, nunca en el repositorio.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42274"/>
            <wp:effectExtent l="0" t="0" r="0" b="0"/>
            <wp:docPr id="502" name="Figura 2" descr="Workflow 1: eventos de la tienda → back-office (validación, enrutado, escritura en el ERP/CRM, registro, confirmación a la tienda, avisos y lanzamiento del agente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" name="fig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2. </w:t>
      </w:r>
      <w:r>
        <w:rPr>
          <w:i w:val="1"/>
          <w:iCs w:val="1"/>
          <w:color w:val="566079"/>
          <w:sz w:val="18"/>
          <w:szCs w:val="18"/>
        </w:rPr>
        <w:t xml:space="preserve">Workflow 1: eventos de la tienda → back-office (validación, enrutado, escritura en el ERP/CRM, registro, confirmación a la tienda, avisos y lanzamiento del agente).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60736"/>
            <wp:effectExtent l="0" t="0" r="0" b="0"/>
            <wp:docPr id="503" name="Figura 3" descr="Workflow 2: agente de soporte con Gemini, sus cuatro herramientas sobre el back-office, la revisión humana por Telegram y la sincronización inversa con la tien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" name="fig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3. </w:t>
      </w:r>
      <w:r>
        <w:rPr>
          <w:i w:val="1"/>
          <w:iCs w:val="1"/>
          <w:color w:val="566079"/>
          <w:sz w:val="18"/>
          <w:szCs w:val="18"/>
        </w:rPr>
        <w:t xml:space="preserve">Workflow 2: agente de soporte con Gemini, sus cuatro herramientas sobre el back-office, la revisión humana por Telegram y la sincronización inversa con la tienda.</w:t>
      </w:r>
    </w:p>
    <w:p>
      <w:pPr>
        <w:pStyle w:val="Heading1"/>
        <w:outlineLvl w:val="0"/>
      </w:pPr>
      <w:bookmarkStart w:id="107" w:name="_Toc107"/>
      <w:r>
        <w:rPr/>
        <w:t xml:space="preserve">7. Agente de IA y herramientas</w:t>
      </w:r>
      <w:bookmarkEnd w:id="107"/>
    </w:p>
    <w:p>
      <w:pPr>
        <w:spacing w:before="0" w:after="120"/>
        <w:jc w:val="both"/>
      </w:pPr>
      <w:r>
        <w:rPr/>
        <w:t xml:space="preserve">El agente es un nodo </w:t>
      </w:r>
      <w:r>
        <w:rPr>
          <w:b w:val="1"/>
          <w:bCs w:val="1"/>
        </w:rPr>
        <w:t xml:space="preserve">AI Agent</w:t>
      </w:r>
      <w:r>
        <w:rPr/>
        <w:t xml:space="preserve"> de n8n con el modelo </w:t>
      </w:r>
      <w:r>
        <w:rPr>
          <w:rFonts w:ascii="Courier New" w:hAnsi="Courier New" w:cs="Courier New"/>
          <w:sz w:val="20"/>
          <w:szCs w:val="20"/>
        </w:rPr>
        <w:t xml:space="preserve">gemini-3.1-flash-lite</w:t>
      </w:r>
      <w:r>
        <w:rPr/>
        <w:t xml:space="preserve"> (Google AI Studio). Recibe una sola incidencia y debe consultar antes de proponer. Sus herramientas trabajan </w:t>
      </w:r>
      <w:r>
        <w:rPr>
          <w:b w:val="1"/>
          <w:bCs w:val="1"/>
        </w:rPr>
        <w:t xml:space="preserve">solo sobre el back-office</w:t>
      </w:r>
      <w:r>
        <w:rPr/>
        <w:t xml:space="preserve"> (no tiene ningún acceso a la base de datos de la tienda). Sus instrucciones completas están en </w:t>
      </w:r>
      <w:r>
        <w:rPr>
          <w:rFonts w:ascii="Courier New" w:hAnsi="Courier New" w:cs="Courier New"/>
          <w:sz w:val="20"/>
          <w:szCs w:val="20"/>
        </w:rPr>
        <w:t xml:space="preserve">n8n/prompts/agente-soporte.md</w:t>
      </w:r>
      <w:r>
        <w:rPr/>
        <w:t xml:space="preserve">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1494"/>
        <w:gridCol w:w="2109"/>
        <w:gridCol w:w="3164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w="14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2109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Función (back-office)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devuelve o hace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erp_tool_order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y pago en el ERP, líneas, historial de estados, días desde la compra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erp_tool_customer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Ficha del CRM: pedidos e incidencias anteriores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erp_tool_stock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Stock del inventario del ERP (para recambios)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Acción reversible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erp_tool_internal_note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Añade al ticket una nota que el cliente no ve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Salida estructurada.</w:t>
      </w:r>
      <w:r>
        <w:rPr/>
        <w:t xml:space="preserve"> El agente termina con un JSON con </w:t>
      </w:r>
      <w:r>
        <w:rPr>
          <w:rFonts w:ascii="Courier New" w:hAnsi="Courier New" w:cs="Courier New"/>
          <w:sz w:val="20"/>
          <w:szCs w:val="20"/>
        </w:rPr>
        <w:t xml:space="preserve">case_type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priority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confidence</w:t>
      </w:r>
      <w:r>
        <w:rPr/>
        <w:t xml:space="preserve"> (0–1), </w:t>
      </w:r>
      <w:r>
        <w:rPr>
          <w:rFonts w:ascii="Courier New" w:hAnsi="Courier New" w:cs="Courier New"/>
          <w:sz w:val="20"/>
          <w:szCs w:val="20"/>
        </w:rPr>
        <w:t xml:space="preserve">consulted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tools_used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proposed_action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action_type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customer_message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justification</w:t>
      </w:r>
      <w:r>
        <w:rPr/>
        <w:t xml:space="preserve"> y </w:t>
      </w:r>
      <w:r>
        <w:rPr>
          <w:rFonts w:ascii="Courier New" w:hAnsi="Courier New" w:cs="Courier New"/>
          <w:sz w:val="20"/>
          <w:szCs w:val="20"/>
        </w:rPr>
        <w:t xml:space="preserve">risks</w:t>
      </w:r>
      <w:r>
        <w:rPr/>
        <w:t xml:space="preserve">. El nodo «Comprobar salida del agente» extrae el JSON, comprueba que los valores están en las listas permitidas, que el mensaje no supera 600 caracteres y que la confianza es un número; si no, se trata como error del agente. La propuesta se guarda en </w:t>
      </w:r>
      <w:r>
        <w:rPr>
          <w:rFonts w:ascii="Courier New" w:hAnsi="Courier New" w:cs="Courier New"/>
          <w:sz w:val="20"/>
          <w:szCs w:val="20"/>
        </w:rPr>
        <w:t xml:space="preserve">agent_decisions</w:t>
      </w:r>
      <w:r>
        <w:rPr/>
        <w:t xml:space="preserve"> del back-office con estado </w:t>
      </w:r>
      <w:r>
        <w:rPr>
          <w:rFonts w:ascii="Courier New" w:hAnsi="Courier New" w:cs="Courier New"/>
          <w:sz w:val="20"/>
          <w:szCs w:val="20"/>
        </w:rPr>
        <w:t xml:space="preserve">pendiente_revision</w:t>
      </w:r>
      <w:r>
        <w:rPr/>
        <w:t xml:space="preserve">.</w:t>
      </w:r>
    </w:p>
    <w:p>
      <w:pPr>
        <w:pStyle w:val="Heading1"/>
        <w:outlineLvl w:val="0"/>
      </w:pPr>
      <w:bookmarkStart w:id="108" w:name="_Toc108"/>
      <w:r>
        <w:rPr/>
        <w:t xml:space="preserve">8. Límites y supervisión humana</w:t>
      </w:r>
      <w:bookmarkEnd w:id="108"/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El agente no actúa sobre el cliente ni sobre la tienda.</w:t>
      </w:r>
      <w:r>
        <w:rPr/>
        <w:t xml:space="preserve"> No tiene herramientas para enviar mensajes, cambiar pedidos, stock o precios, ni acceso a pagos o direcciones completas. Su única acción es una nota interna reversible.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Nada sale sin aprobación.</w:t>
      </w:r>
      <w:r>
        <w:rPr/>
        <w:t xml:space="preserve"> La propuesta llega al chat de operaciones con el resumen, la confianza, los riesgos y el mensaje propuesto, y los botones </w:t>
      </w:r>
      <w:r>
        <w:rPr>
          <w:b w:val="1"/>
          <w:bCs w:val="1"/>
        </w:rPr>
        <w:t xml:space="preserve">Aprobar</w:t>
      </w:r>
      <w:r>
        <w:rPr/>
        <w:t xml:space="preserve"> / </w:t>
      </w:r>
      <w:r>
        <w:rPr>
          <w:b w:val="1"/>
          <w:bCs w:val="1"/>
        </w:rPr>
        <w:t xml:space="preserve">Rechazar</w:t>
      </w:r>
      <w:r>
        <w:rPr/>
        <w:t xml:space="preserve">. El workflow espera la respuesta (</w:t>
      </w:r>
      <w:r>
        <w:rPr>
          <w:i w:val="1"/>
          <w:iCs w:val="1"/>
        </w:rPr>
        <w:t xml:space="preserve">send and wait</w:t>
      </w:r>
      <w:r>
        <w:rPr/>
        <w:t xml:space="preserve">).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Aprobada:</w:t>
      </w:r>
      <w:r>
        <w:rPr/>
        <w:t xml:space="preserve"> se registra quién y cuándo, el ticket pasa a </w:t>
      </w:r>
      <w:r>
        <w:rPr>
          <w:rFonts w:ascii="Courier New" w:hAnsi="Courier New" w:cs="Courier New"/>
          <w:sz w:val="20"/>
          <w:szCs w:val="20"/>
        </w:rPr>
        <w:t xml:space="preserve">en_curso</w:t>
      </w:r>
      <w:r>
        <w:rPr/>
        <w:t xml:space="preserve">, n8n cambia también la incidencia de la tienda por su API y el mensaje se envía al cliente si tiene Telegram vinculado (si no, queda como </w:t>
      </w:r>
      <w:r>
        <w:rPr>
          <w:rFonts w:ascii="Courier New" w:hAnsi="Courier New" w:cs="Courier New"/>
          <w:sz w:val="20"/>
          <w:szCs w:val="20"/>
        </w:rPr>
        <w:t xml:space="preserve">ejecutado_simulado</w:t>
      </w:r>
      <w:r>
        <w:rPr/>
        <w:t xml:space="preserve"> y se envía cuando lo vincule). </w:t>
      </w:r>
      <w:r>
        <w:rPr>
          <w:b w:val="1"/>
          <w:bCs w:val="1"/>
        </w:rPr>
        <w:t xml:space="preserve">Rechazada:</w:t>
      </w:r>
      <w:r>
        <w:rPr/>
        <w:t xml:space="preserve"> se registra y no se envía nada.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Reglas en las instrucciones:</w:t>
      </w:r>
      <w:r>
        <w:rPr/>
        <w:t xml:space="preserve"> no inventar datos, no prometer reembolsos ni plazos, no incluir datos personales ni enlaces, confianza &lt; 0,6 si falta información y </w:t>
      </w:r>
      <w:r>
        <w:rPr>
          <w:rFonts w:ascii="Courier New" w:hAnsi="Courier New" w:cs="Courier New"/>
          <w:sz w:val="20"/>
          <w:szCs w:val="20"/>
        </w:rPr>
        <w:t xml:space="preserve">escalar_a_humano</w:t>
      </w:r>
      <w:r>
        <w:rPr/>
        <w:t xml:space="preserve"> ante mensajes ofensivos o intentos de dar instrucciones al agente.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Trazabilidad:</w:t>
      </w:r>
      <w:r>
        <w:rPr/>
        <w:t xml:space="preserve"> cada propuesta guarda las herramientas usadas, los datos consultados, la decisión humana y el resultado del envío.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4320000" cy="4564528"/>
            <wp:effectExtent l="0" t="0" r="0" b="0"/>
            <wp:docPr id="504" name="Figura 4" descr="Telegram durante la prueba: avisos de inventario, pedido, estado, stock e incidencia y vinculación del cliente con /start (izquierda); propuesta del agente con los botones Rechazar / Aprobar y respuesta recibida por el cliente tras aprobarla (derecha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" name="fig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6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4. </w:t>
      </w:r>
      <w:r>
        <w:rPr>
          <w:i w:val="1"/>
          <w:iCs w:val="1"/>
          <w:color w:val="566079"/>
          <w:sz w:val="18"/>
          <w:szCs w:val="18"/>
        </w:rPr>
        <w:t xml:space="preserve">Telegram durante la prueba: avisos de inventario, pedido, estado, stock e incidencia y vinculación del cliente con /start (izquierda); propuesta del agente con los botones Rechazar / Aprobar y respuesta recibida por el cliente tras aprobarla (derecha).</w:t>
      </w:r>
    </w:p>
    <w:p>
      <w:pPr>
        <w:pStyle w:val="Heading1"/>
        <w:outlineLvl w:val="0"/>
      </w:pPr>
      <w:bookmarkStart w:id="109" w:name="_Toc109"/>
      <w:r>
        <w:rPr/>
        <w:t xml:space="preserve">9. Métricas y evidencias</w:t>
      </w:r>
      <w:bookmarkEnd w:id="109"/>
    </w:p>
    <w:p>
      <w:pPr>
        <w:spacing w:before="0" w:after="120"/>
        <w:jc w:val="both"/>
      </w:pPr>
      <w:r>
        <w:rPr/>
        <w:t xml:space="preserve">El </w:t>
      </w:r>
      <w:r>
        <w:rPr>
          <w:b w:val="1"/>
          <w:bCs w:val="1"/>
        </w:rPr>
        <w:t xml:space="preserve">cuadro de mando</w:t>
      </w:r>
      <w:r>
        <w:rPr/>
        <w:t xml:space="preserve"> está en la web del back-office (</w:t>
      </w:r>
      <w:r>
        <w:rPr>
          <w:rFonts w:ascii="Courier New" w:hAnsi="Courier New" w:cs="Courier New"/>
          <w:sz w:val="20"/>
          <w:szCs w:val="20"/>
        </w:rPr>
        <w:t xml:space="preserve">erp_dashboard</w:t>
      </w:r>
      <w:r>
        <w:rPr/>
        <w:t xml:space="preserve">, solo para el personal) y se calcula en el momento a partir de sus tablas. La tienda tiene además su propia vista de la cola de salida (eventos enviados, confirmados, reintentos y tiempo hasta la confirmación).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515"/>
        <w:gridCol w:w="2637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Cómo se calcula</w:t>
            </w:r>
          </w:p>
        </w:tc>
        <w:tc>
          <w:tcPr>
            <w:tcW w:w="2637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Pedidos de venta e importe pagado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Filas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sales_orders</w:t>
            </w:r>
            <w:r>
              <w:rPr>
                <w:sz w:val="18"/>
                <w:szCs w:val="18"/>
              </w:rPr>
              <w:t xml:space="preserve"> y suma de las pagadas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Comprobar que lo vendido llega al back-office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aplicados (%), duplicados y obsoletos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(paso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resultado</w:t>
            </w:r>
            <w:r>
              <w:rPr>
                <w:sz w:val="18"/>
                <w:szCs w:val="18"/>
              </w:rPr>
              <w:t xml:space="preserve">) por estado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Fiabilidad de la integración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Errores registrados, por tipo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status = error</w:t>
            </w:r>
            <w:r>
              <w:rPr>
                <w:sz w:val="18"/>
                <w:szCs w:val="18"/>
              </w:rPr>
              <w:t xml:space="preserve">, agrupado por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error_type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Saber qué falla y dónde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Latencia tienda → back-office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Fecha de aplicación en el back-office − fecha del evento en la tienda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Detectar retrasos (p. ej., n8n dormido)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Incidencias abiertas y resolución media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por estado y prioridad; horas hasta su cierre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Carga de soporte y nivel de servicio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Propuestas del agente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Aprobadas, rechazadas, pendientes y confianza media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Calidad del agente y peso de la revisión humana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Inventario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SKU, unidades y artículos con menos de 5 unidades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Detectar falta de recambios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Pedidos de venta por día (gráfico)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Barras por día del periodo elegido (7, 30 o 90 días)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 la evolución del volumen</w:t>
            </w:r>
          </w:p>
        </w:tc>
      </w:tr>
    </w:tbl>
    <w:p>
      <w:pPr>
        <w:spacing w:before="0" w:after="60"/>
        <w:jc w:val="both"/>
      </w:pP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3225433"/>
            <wp:effectExtent l="0" t="0" r="0" b="0"/>
            <wp:docPr id="505" name="Figura 5" descr="Cuadro de mando del back-office ERP/CRM con los datos reales de las pruebas (indicadores, pedidos por día, estados, errores e incidencias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" name="fig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5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5. </w:t>
      </w:r>
      <w:r>
        <w:rPr>
          <w:i w:val="1"/>
          <w:iCs w:val="1"/>
          <w:color w:val="566079"/>
          <w:sz w:val="18"/>
          <w:szCs w:val="18"/>
        </w:rPr>
        <w:t xml:space="preserve">Cuadro de mando del back-office ERP/CRM con los datos reales de las pruebas (indicadores, pedidos por día, estados, errores e incidencias).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Pruebas en producción con el back-office independiente (27/10/2026).</w:t>
      </w:r>
      <w:r>
        <w:rPr/>
        <w:t xml:space="preserve"> Carga inicial: </w:t>
      </w:r>
      <w:r>
        <w:rPr>
          <w:b w:val="1"/>
          <w:bCs w:val="1"/>
        </w:rPr>
        <w:t xml:space="preserve">40 SKU</w:t>
      </w:r>
      <w:r>
        <w:rPr/>
        <w:t xml:space="preserve"> de la tienda al inventario del ERP. Escenarios 1 y 2: el pedido </w:t>
      </w:r>
      <w:r>
        <w:rPr>
          <w:rFonts w:ascii="Courier New" w:hAnsi="Courier New" w:cs="Courier New"/>
          <w:sz w:val="20"/>
          <w:szCs w:val="20"/>
        </w:rPr>
        <w:t xml:space="preserve">EL-20261027-52SC</w:t>
      </w:r>
      <w:r>
        <w:rPr/>
        <w:t xml:space="preserve"> llega al ERP y pasa por </w:t>
      </w:r>
      <w:r>
        <w:rPr>
          <w:rFonts w:ascii="Courier New" w:hAnsi="Courier New" w:cs="Courier New"/>
          <w:sz w:val="20"/>
          <w:szCs w:val="20"/>
        </w:rPr>
        <w:t xml:space="preserve">pendiente_pago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pagado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en_preparacion</w:t>
      </w:r>
      <w:r>
        <w:rPr/>
        <w:t xml:space="preserve"> (versión 3), y el ajuste de stock de </w:t>
      </w:r>
      <w:r>
        <w:rPr>
          <w:rFonts w:ascii="Courier New" w:hAnsi="Courier New" w:cs="Courier New"/>
          <w:sz w:val="20"/>
          <w:szCs w:val="20"/>
        </w:rPr>
        <w:t xml:space="preserve">EL-REC-FAR6</w:t>
      </w:r>
      <w:r>
        <w:rPr/>
        <w:t xml:space="preserve"> (49 → 60) actualiza el inventario. Escenario 3: la incidencia </w:t>
      </w:r>
      <w:r>
        <w:rPr>
          <w:rFonts w:ascii="Courier New" w:hAnsi="Courier New" w:cs="Courier New"/>
          <w:sz w:val="20"/>
          <w:szCs w:val="20"/>
        </w:rPr>
        <w:t xml:space="preserve">SOP-20261027-K7HZ</w:t>
      </w:r>
      <w:r>
        <w:rPr/>
        <w:t xml:space="preserve"> se crea en el CRM enlazada a cliente y pedido, el cliente vincula su Telegram, el agente usa sus cuatro herramientas y propone (confianza 0,9), la persona aprueba y la respuesta llega al cliente; la tienda pasa la incidencia a «en curso». Resultado: </w:t>
      </w:r>
      <w:r>
        <w:rPr>
          <w:b w:val="1"/>
          <w:bCs w:val="1"/>
        </w:rPr>
        <w:t xml:space="preserve">5 de 5 eventos aplicados (100 %)</w:t>
      </w:r>
      <w:r>
        <w:rPr/>
        <w:t xml:space="preserve">, 0 duplicados, </w:t>
      </w:r>
      <w:r>
        <w:rPr>
          <w:b w:val="1"/>
          <w:bCs w:val="1"/>
        </w:rPr>
        <w:t xml:space="preserve">latencia media de 6,2 s</w:t>
      </w:r>
      <w:r>
        <w:rPr/>
        <w:t xml:space="preserve"> de la tienda al back-office y todos confirmados en la cola de la tienda al primer intento. El único error registrado fue de Gemini (503, «alta demanda»): la rama de error avisó para revisión manual y el análisis se relanzó. En el entorno local se probaron además los rechazos por contrato (422), por clave (403) y los eventos obsoletos.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1890000"/>
            <wp:effectExtent l="0" t="0" r="0" b="0"/>
            <wp:docPr id="506" name="Figura 6" descr="Back-office ANTES de la integración (web publicada, sesión del personal): ERP vacío, sin pedidos, inventario ni incidenci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" name="fig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6. </w:t>
      </w:r>
      <w:r>
        <w:rPr>
          <w:i w:val="1"/>
          <w:iCs w:val="1"/>
          <w:color w:val="566079"/>
          <w:sz w:val="18"/>
          <w:szCs w:val="18"/>
        </w:rPr>
        <w:t xml:space="preserve">Back-office ANTES de la integración (web publicada, sesión del personal): ERP vacío, sin pedidos, inventario ni incidencias.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3246242"/>
            <wp:effectExtent l="0" t="0" r="0" b="0"/>
            <wp:docPr id="507" name="Figura 7" descr="Back-office DESPUÉS: el pedido de prueba con su historial (pendiente de pago → pagado → en preparación) e incidencia del CRM con la nota del agente, la propuesta y la revisión huma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7" name="fig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7. </w:t>
      </w:r>
      <w:r>
        <w:rPr>
          <w:i w:val="1"/>
          <w:iCs w:val="1"/>
          <w:color w:val="566079"/>
          <w:sz w:val="18"/>
          <w:szCs w:val="18"/>
        </w:rPr>
        <w:t xml:space="preserve">Back-office DESPUÉS: el pedido de prueba con su historial (pendiente de pago → pagado → en preparación) e incidencia del CRM con la nota del agente, la propuesta y la revisión humana.</w:t>
      </w:r>
    </w:p>
    <w:p>
      <w:pPr>
        <w:pStyle w:val="Heading1"/>
        <w:outlineLvl w:val="0"/>
      </w:pPr>
      <w:bookmarkStart w:id="110" w:name="_Toc110"/>
      <w:r>
        <w:rPr/>
        <w:t xml:space="preserve">10. Matriz de decisión</w:t>
      </w:r>
      <w:bookmarkEnd w:id="110"/>
    </w:p>
    <w:p>
      <w:pPr>
        <w:spacing w:before="0" w:after="120"/>
        <w:jc w:val="both"/>
      </w:pPr>
      <w:r>
        <w:rPr/>
        <w:t xml:space="preserve">Se han comparado cuatro formas de implantar la solución para una tienda pequeña que ya tiene su canal online (detalle en </w:t>
      </w:r>
      <w:r>
        <w:rPr>
          <w:rFonts w:ascii="Courier New" w:hAnsi="Courier New" w:cs="Courier New"/>
          <w:sz w:val="20"/>
          <w:szCs w:val="20"/>
        </w:rPr>
        <w:t xml:space="preserve">docs/tarea2/matriz-decision.md</w:t>
      </w:r>
      <w:r>
        <w:rPr/>
        <w:t xml:space="preserve">). Puntuación de 1 a 5 por criterio; el total es Σ (peso × puntuación) / 5.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542"/>
        <w:gridCol w:w="1086"/>
        <w:gridCol w:w="790"/>
        <w:gridCol w:w="790"/>
        <w:gridCol w:w="790"/>
        <w:gridCol w:w="790"/>
      </w:tblGrid>
      <w:tr>
        <w:trPr>
          <w:tblHeader/>
          <w:cantSplit/>
        </w:trPr>
        <w:tc>
          <w:tcPr>
            <w:tcW w:w="454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108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Funcionalidad para el caso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15 %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Coste estimado (12 meses)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Esfuerzo de implantación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Integración con el canal actual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Seguridad y control de datos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Escalabilidad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Mantenimiento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Trazabilidad y auditoría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Dependencia del proveedor (menos es mejor)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7 %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Cumplimiento normativo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6 %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Facilidad de evolución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Adecuación al tamaño de la empresa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Total ponderado (sobre 100)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100 %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83,6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61,2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69,6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71,8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A:</w:t>
      </w:r>
      <w:r>
        <w:rPr/>
        <w:t xml:space="preserve"> híbrida, tienda propia + back-office propio independiente + n8n + Gemini (la implantada). </w:t>
      </w:r>
      <w:r>
        <w:rPr>
          <w:b w:val="1"/>
          <w:bCs w:val="1"/>
        </w:rPr>
        <w:t xml:space="preserve">B:</w:t>
      </w:r>
      <w:r>
        <w:rPr/>
        <w:t xml:space="preserve"> SaaS (Shopify + HubSpot + Make). </w:t>
      </w:r>
      <w:r>
        <w:rPr>
          <w:b w:val="1"/>
          <w:bCs w:val="1"/>
        </w:rPr>
        <w:t xml:space="preserve">C:</w:t>
      </w:r>
      <w:r>
        <w:rPr/>
        <w:t xml:space="preserve"> ERP parametrizable (Odoo). </w:t>
      </w:r>
      <w:r>
        <w:rPr>
          <w:b w:val="1"/>
          <w:bCs w:val="1"/>
        </w:rPr>
        <w:t xml:space="preserve">D:</w:t>
      </w:r>
      <w:r>
        <w:rPr/>
        <w:t xml:space="preserve"> desarrollo propio sin plataforma de flujos. </w:t>
      </w:r>
      <w:r>
        <w:rPr>
          <w:b w:val="1"/>
          <w:bCs w:val="1"/>
        </w:rPr>
        <w:t xml:space="preserve">Recomendación: A (83,6 puntos).</w:t>
      </w:r>
      <w:r>
        <w:rPr/>
        <w:t xml:space="preserve"> Reutiliza la tienda y sus eventos, mantiene los datos bajo control propio, tiene un coste casi nulo en esta fase y da la trazabilidad y supervisión que exige usar IA; n8n evita programar a mano colas, reintentos y aprobaciones (lo que penaliza a D). Condiciones: pasar n8n a un plan de pago cuando crezca el volumen, delegar la facturación legal y reconsiderar Odoo (C) si la empresa necesita contabilidad y almacén integrados;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 permitiría cambiar de ERP sin tocar la tienda.</w:t>
      </w:r>
    </w:p>
    <w:p>
      <w:pPr>
        <w:pStyle w:val="Heading1"/>
        <w:outlineLvl w:val="0"/>
      </w:pPr>
      <w:bookmarkStart w:id="111" w:name="_Toc111"/>
      <w:r>
        <w:rPr/>
        <w:t xml:space="preserve">11. Riesgos, limitaciones y mejoras</w:t>
      </w:r>
      <w:bookmarkEnd w:id="111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12"/>
        <w:gridCol w:w="3164"/>
        <w:gridCol w:w="2812"/>
      </w:tblGrid>
      <w:tr>
        <w:trPr>
          <w:tblHeader/>
          <w:cantSplit/>
        </w:trPr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Riesgo o limitación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Mitigación actual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Mejora propuesta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antiguos de stock o de incidencias que llegan tarde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duplicados se detectan en todos los eventos, pero solo los pedidos comparan la fecha del último evento aplicado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Guardar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inventory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y comparar igual que en los pedidos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en plan gratuito: se duerme y tiene 512 MB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con reintentos, </w:t>
            </w:r>
            <w:r>
              <w:rPr>
                <w:i w:val="1"/>
                <w:iCs w:val="1"/>
                <w:sz w:val="18"/>
                <w:szCs w:val="18"/>
              </w:rPr>
              <w:t xml:space="preserve">keepalive</w:t>
            </w:r>
            <w:r>
              <w:rPr>
                <w:sz w:val="18"/>
                <w:szCs w:val="18"/>
              </w:rPr>
              <w:t xml:space="preserve"> cada 10 min y ajustes de memoria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Plan de pago o modo cola con workers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modelo de IA cambia o se satura (modelos retirados, errores 503)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 reintentos, tiempo máximo, validación del JSON y revisión manual si falla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de respaldo configurable y alertas por tasa de fallos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IA propone algo incorrecto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 obligatoria, confianza y riesgos visibles, acciones limitadas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Medir aprobaciones/rechazos para ajustar instrucciones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académico sencillo (sin contabilidad ni compras)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Sistema propio con su base de datos y usuarios; solo n8n escribe en él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Sustituir por un ERP real (p. ej., Odoo) con el mismo contrato, sin tocar la tienda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Secretos expuestos por error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Credenciales cifradas en n8n y variables en Render; nada en el repositorio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Rotación periódica del token del bot y del secreto del webhook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personales en Telegram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nombre de pila y número de incidencia; vinculación voluntaria con token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Aviso de privacidad y borrado automático de vínculos antiguos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12" w:name="_Toc112"/>
      <w:r>
        <w:rPr/>
        <w:t xml:space="preserve">12. Reparto del trabajo</w:t>
      </w:r>
      <w:bookmarkEnd w:id="112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8"/>
        <w:gridCol w:w="3515"/>
        <w:gridCol w:w="3515"/>
      </w:tblGrid>
      <w:tr>
        <w:trPr>
          <w:tblHeader/>
          <w:cantSplit/>
        </w:trPr>
        <w:tc>
          <w:tcPr>
            <w:tcW w:w="175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Pablo Vicente Juan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Nino Iraci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ERP/CRM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 propio: tablas, API para n8n, herramientas del agente, cuadro de mando y web del personal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del primer diseño tras la aclaración del profesor y propuesta de sacar el ERP a un proyecto propio; límite detectado: la protección contra eventos fuera de orden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) solo cubre los pedidos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Tienda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de salida, reintentos, confirmación y sincronización inversa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14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), vista de la cola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Traducción al inglés de la página Integración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en-admin.js</w:t>
            </w:r>
            <w:r>
              <w:rPr>
                <w:sz w:val="18"/>
                <w:szCs w:val="18"/>
              </w:rPr>
              <w:t xml:space="preserve">), rehecha al separar el ERP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y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Cuatro workflows, validación, despliegue en Render, credenciales y Telegram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Pruebas del contrato contra la validación de n8n: evento válido, sin email, importes que no cuadran, formato, duplicado y fuera de orden, con los payloads de error 5 y 6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pruebas.md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Agente, herramientas, instrucciones y validación de la salida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Explicación del agente en la defensa: sus cuatro herramientas, la nota interna reversible, lo que no puede hacer, la salida JSON y su validación, y qué pasa si Gemini falla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Documentación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Contrato, payloads, matriz, README y guía de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Pruebas del contrato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pruebas.md</w:t>
            </w:r>
            <w:r>
              <w:rPr>
                <w:sz w:val="18"/>
                <w:szCs w:val="18"/>
              </w:rPr>
              <w:t xml:space="preserve">), apartado 12 y anexo A.3 de esta memoria y repaso de las diapositivas del agente, las métricas y la decisión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pageBreakBefore w:val="1"/>
        <w:outlineLvl w:val="0"/>
      </w:pPr>
      <w:bookmarkStart w:id="113" w:name="_Toc113"/>
      <w:r>
        <w:rPr/>
        <w:t xml:space="preserve">Anexo A. Declaración de uso de inteligencia artificial (actualizada)</w:t>
      </w:r>
      <w:bookmarkEnd w:id="113"/>
    </w:p>
    <w:p>
      <w:pPr>
        <w:pStyle w:val="Heading2"/>
        <w:outlineLvl w:val="1"/>
      </w:pPr>
      <w:bookmarkStart w:id="114" w:name="_Toc114"/>
      <w:r>
        <w:rPr/>
        <w:t xml:space="preserve">A.1. IA dentro de la solución: agente de soporte</w:t>
      </w:r>
      <w:bookmarkEnd w:id="114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85"/>
        <w:gridCol w:w="6503"/>
      </w:tblGrid>
      <w:tr>
        <w:trPr>
          <w:tblHeader/>
          <w:cantSplit/>
        </w:trPr>
        <w:tc>
          <w:tcPr>
            <w:tcW w:w="228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5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y versión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Google Gemini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(Google AI Studio), en el nodo AI Agent de n8n 2.44.7; 3 reintentos, 6 iteraciones como máximo, 300 s de límite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Instrucciones (prompt)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Mensaje de sistema y plantilla del mensaje de usuario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n8n/prompts/agente-soporte.md</w:t>
            </w:r>
            <w:r>
              <w:rPr>
                <w:sz w:val="18"/>
                <w:szCs w:val="18"/>
              </w:rPr>
              <w:t xml:space="preserve">: pasos obligatorios, reglas, valores permitidos y formato JSON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  <w:r>
              <w:rPr>
                <w:sz w:val="18"/>
                <w:szCs w:val="18"/>
              </w:rPr>
              <w:t xml:space="preserve"> (consulta)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  <w:r>
              <w:rPr>
                <w:sz w:val="18"/>
                <w:szCs w:val="18"/>
              </w:rPr>
              <w:t xml:space="preserve"> (acción reversible)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que recibe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(número, motivo, mensaje, email) y lo que devuelven las herramientas; nunca pagos ni direcciones completas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permitidas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Consultar y dejar una nota interna en el ticket; proponer acción y mensaje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prohibidas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Enviar mensajes al cliente, cambiar pedidos, stock o precios, prometer reembolsos o plazos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Aprobar / Rechazar en Telegram antes de cualquier envío; queda registrado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agent_decisions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5" w:name="_Toc115"/>
      <w:r>
        <w:rPr/>
        <w:t xml:space="preserve">A.2. Pablo Vicente Juan: IA como asistente de desarrollo</w:t>
      </w:r>
      <w:bookmarkEnd w:id="115"/>
    </w:p>
    <w:p>
      <w:pPr>
        <w:spacing w:before="0" w:after="120"/>
        <w:jc w:val="both"/>
      </w:pPr>
      <w:r>
        <w:rPr>
          <w:b w:val="1"/>
          <w:bCs w:val="1"/>
        </w:rPr>
        <w:t xml:space="preserve">Herramienta:</w:t>
      </w:r>
      <w:r>
        <w:rPr/>
        <w:t xml:space="preserve"> Claude (Anthropic, modelo Claude Opus 5.5), como asistente de programación con acceso al repositorio y a un entorno de pruebas.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Para qué la he usado:</w:t>
      </w:r>
      <w:r>
        <w:rPr/>
        <w:t xml:space="preserve"> diseñar el contrato de datos y el back-office, generar el SQL de la cola y las funciones, construir los workflows de n8n, redactar las instrucciones del agente, separar el back-office en un sistema propio con su web, montar un entorno local con dos bases de datos y simuladores de Supabase, Telegram y Gemini para probar los tres escenarios, y preparar la documentación, la matriz y el borrador de esta memoria.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Qué he decidido y hecho yo:</w:t>
      </w:r>
      <w:r>
        <w:rPr/>
        <w:t xml:space="preserve"> la elección de n8n en Render, Gemini y Telegram; el reparto de responsabilidades entre tienda, n8n y ERP; la ejecución del SQL en Supabase; la configuración de Render y de las credenciales (las claves las introduje yo y no se compartieron con la IA); las pruebas en producción y la revisión de cada cambio antes de subirlo.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Cómo lo he comprobado:</w:t>
      </w:r>
      <w:r>
        <w:rPr/>
        <w:t xml:space="preserve"> compras, cambios de estado e incidencias reales en la tienda publicada, revisando el ERP, la cola, el log, el historial de ejecuciones de n8n y los mensajes de Telegram, y, en el entorno local, enviando los payloads de error para comprobar el </w:t>
      </w:r>
      <w:r>
        <w:rPr>
          <w:rFonts w:ascii="Courier New" w:hAnsi="Courier New" w:cs="Courier New"/>
          <w:sz w:val="20"/>
          <w:szCs w:val="20"/>
        </w:rPr>
        <w:t xml:space="preserve">422</w:t>
      </w:r>
      <w:r>
        <w:rPr/>
        <w:t xml:space="preserve">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Errores encontrados y cambios realizados: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076"/>
        <w:gridCol w:w="3076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primer ERP/CRM estaba dentro de la base de datos de la tienda (esquema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 interpretamos como sistema aparte por estar en otro esquema y solo accesible con la clave de servicio; la aclaración del profesor dejó claro que no cuenta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movió a un proyecto de Supabase independiente con su base de datos, claves, usuarios y web; la tienda ya no contiene nada del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15_backoffice_externo.sql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no arrancaba en Render (status 134, </w:t>
            </w:r>
            <w:r>
              <w:rPr>
                <w:i w:val="1"/>
                <w:iCs w:val="1"/>
                <w:sz w:val="18"/>
                <w:szCs w:val="18"/>
              </w:rPr>
              <w:t xml:space="preserve">timeouts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Memoria del plan gratuito y conexión lenta al pooler de Supabase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Límite de memoria de Node, </w:t>
            </w:r>
            <w:r>
              <w:rPr>
                <w:i w:val="1"/>
                <w:iCs w:val="1"/>
                <w:sz w:val="18"/>
                <w:szCs w:val="18"/>
              </w:rPr>
              <w:t xml:space="preserve">timeout</w:t>
            </w:r>
            <w:r>
              <w:rPr>
                <w:sz w:val="18"/>
                <w:szCs w:val="18"/>
              </w:rPr>
              <w:t xml:space="preserve"> de BD de 60 s y menos concurrencia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render.yaml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Webhook respondía 403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secreto copiado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pbcopy</w:t>
            </w:r>
            <w:r>
              <w:rPr>
                <w:sz w:val="18"/>
                <w:szCs w:val="18"/>
              </w:rPr>
              <w:t xml:space="preserve"> llevaba un salto de línea al final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guardó sin salto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tr -d '\n'</w:t>
            </w:r>
            <w:r>
              <w:rPr>
                <w:sz w:val="18"/>
                <w:szCs w:val="18"/>
              </w:rPr>
              <w:t xml:space="preserve">) y se reenviaron los eventos desde la cola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tres workflows quedaron en un solo lienzo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Importación de los tres ficheros en el mismo workflow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borraron y se crearon los tres por separado, enlazando el agente por su id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no respondía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gemini-2.5-flash</w:t>
            </w:r>
            <w:r>
              <w:rPr>
                <w:sz w:val="18"/>
                <w:szCs w:val="18"/>
              </w:rPr>
              <w:t xml:space="preserve"> ya no está disponible para cuentas nuevas; otros modelos daban 503 por demanda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con reintentos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se quedaba colgado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</w:t>
            </w:r>
            <w:r>
              <w:rPr>
                <w:i w:val="1"/>
                <w:iCs w:val="1"/>
                <w:sz w:val="18"/>
                <w:szCs w:val="18"/>
              </w:rPr>
              <w:t xml:space="preserve">Structured Output Parser</w:t>
            </w:r>
            <w:r>
              <w:rPr>
                <w:sz w:val="18"/>
                <w:szCs w:val="18"/>
              </w:rPr>
              <w:t xml:space="preserve"> de n8n no terminaba con Gemini 3.x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quitó el parser y el JSON se extrae y valida en un nodo de código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Etiquetas HTML visibles en Telegram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mensaje con botones usa Markdown, no HTML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Texto de revisión propio sin HTML y escapado de los datos dinámicos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6" w:name="_Toc116"/>
      <w:r>
        <w:rPr/>
        <w:t xml:space="preserve">A.3. Nino Iraci</w:t>
      </w:r>
      <w:bookmarkEnd w:id="116"/>
    </w:p>
    <w:p>
      <w:pPr>
        <w:spacing w:before="0" w:after="120"/>
        <w:jc w:val="both"/>
      </w:pPr>
      <w:r>
        <w:rPr>
          <w:b w:val="1"/>
          <w:bCs w:val="1"/>
        </w:rPr>
        <w:t xml:space="preserve">Herramienta:</w:t>
      </w:r>
      <w:r>
        <w:rPr/>
        <w:t xml:space="preserve"> Claude Code (Anthropic, modelo Claude Opus 5.5) en Visual Studio Code, con acceso a mi copia local del repositorio. No he usado ninguna otra herramienta de IA. La IA no tuvo acceso a n8n, a Supabase ni a Render, ni a ninguna clave.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Para qué la he usado:</w:t>
      </w:r>
      <w:r>
        <w:rPr/>
        <w:t xml:space="preserve"> entender el reparto de tareas y la aclaración del profesor sobre el back-office, y revisar con ella el primer diseño del ERP (</w:t>
      </w:r>
      <w:r>
        <w:rPr>
          <w:rFonts w:ascii="Courier New" w:hAnsi="Courier New" w:cs="Courier New"/>
          <w:sz w:val="20"/>
          <w:szCs w:val="20"/>
        </w:rPr>
        <w:t xml:space="preserve">14_integracion.sql</w:t>
      </w:r>
      <w:r>
        <w:rPr/>
        <w:t xml:space="preserve">); traducir al inglés la página Integración de la tienda (</w:t>
      </w:r>
      <w:r>
        <w:rPr>
          <w:rFonts w:ascii="Courier New" w:hAnsi="Courier New" w:cs="Courier New"/>
          <w:sz w:val="20"/>
          <w:szCs w:val="20"/>
        </w:rPr>
        <w:t xml:space="preserve">en-admin.js</w:t>
      </w:r>
      <w:r>
        <w:rPr/>
        <w:t xml:space="preserve">) y actualizar la traducción cuando la página se rehízo; escribir las pruebas del contrato (</w:t>
      </w:r>
      <w:r>
        <w:rPr>
          <w:rFonts w:ascii="Courier New" w:hAnsi="Courier New" w:cs="Courier New"/>
          <w:sz w:val="20"/>
          <w:szCs w:val="20"/>
        </w:rPr>
        <w:t xml:space="preserve">pruebas.md</w:t>
      </w:r>
      <w:r>
        <w:rPr/>
        <w:t xml:space="preserve">) y los payloads de error 5 (número de pedido mal formado) y 6 (evento fuera de orden), y preparar el borrador de mi parte de esta memoria.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Qué he decidido y hecho yo:</w:t>
      </w:r>
      <w:r>
        <w:rPr/>
        <w:t xml:space="preserve"> plantear a Pablo que el ERP pasara a un proyecto propio de Supabase; el orden de trabajo (primero lo que no dependía de la arquitectura); las traducciones dudosas (por ejemplo, «Último día» como «Last 24 hours», porque la consulta mira las últimas 24 horas); trabajar en una rama propia con un commit por tarea, revisando cada cambio antes de subirlo, y declarar aquí el uso de la IA en lugar de firmar los commits con ella.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Cómo lo he comprobado:</w:t>
      </w:r>
      <w:r>
        <w:rPr/>
        <w:t xml:space="preserve"> ejecutando con Node el código del nodo «Validar y normalizar» de n8n sobre cada payload (los mensajes de </w:t>
      </w:r>
      <w:r>
        <w:rPr>
          <w:rFonts w:ascii="Courier New" w:hAnsi="Courier New" w:cs="Courier New"/>
          <w:sz w:val="20"/>
          <w:szCs w:val="20"/>
        </w:rPr>
        <w:t xml:space="preserve">pruebas.md</w:t>
      </w:r>
      <w:r>
        <w:rPr/>
        <w:t xml:space="preserve"> son su salida literal), y repitiéndolo después de separar el ERP; leyendo </w:t>
      </w:r>
      <w:r>
        <w:rPr>
          <w:rFonts w:ascii="Courier New" w:hAnsi="Courier New" w:cs="Courier New"/>
          <w:sz w:val="20"/>
          <w:szCs w:val="20"/>
        </w:rPr>
        <w:t xml:space="preserve">erp_upsert_order</w:t>
      </w:r>
      <w:r>
        <w:rPr/>
        <w:t xml:space="preserve"> para los casos de duplicado y fuera de orden; y con un script que reproduce el traductor de la web (</w:t>
      </w:r>
      <w:r>
        <w:rPr>
          <w:rFonts w:ascii="Courier New" w:hAnsi="Courier New" w:cs="Courier New"/>
          <w:sz w:val="20"/>
          <w:szCs w:val="20"/>
        </w:rPr>
        <w:t xml:space="preserve">i18n.js</w:t>
      </w:r>
      <w:r>
        <w:rPr/>
        <w:t xml:space="preserve">) sobre todos los textos de la página: ninguno queda sin traducir, no hay claves duplicadas y no cambia ninguna traducción que ya existía. </w:t>
      </w:r>
      <w:r>
        <w:rPr>
          <w:highlight w:val="yellow"/>
        </w:rPr>
        <w:t xml:space="preserve">Pendiente: probar la página en inglés con el usuario administrador y repetir los casos 5 y 6 en el n8n desplegado.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Errores encontrados y cambios realizados: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076"/>
        <w:gridCol w:w="3076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Una traducción duplicada («Caducado»)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IA la añadió aunque ya existía; en un objeto de JavaScript la segunda clave pisa a la primera sin avisar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detectó el script de comprobación y se quitó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Descripción errónea del botón «Reintentar» en las pruebas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primer borrador decía que reenvía el evento después de corregir el dato en la tienda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admin_integration_retry</w:t>
            </w:r>
            <w:r>
              <w:rPr>
                <w:sz w:val="18"/>
                <w:szCs w:val="18"/>
              </w:rPr>
              <w:t xml:space="preserve"> reenvía el mismo payload guardado en la cola; se corrigió el texto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duplicados en el cuadro de mando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borrador decía que se contaban aparte de los eventos correctos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consulta los cuenta como aplicados y además los muestra aparte; se corrigió el texto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Traducción y pruebas desfasadas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Al separar el ERP, la página Integración se rehízo y las funciones del ERP pasaron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actualizaron las dos; antes de quitar las traducciones sin uso se comprobó que ninguna otra página las usaba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Un evento antiguo de stock o de una incidencia sobrescribiría un dato más reciente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solo se comprueba en los pedidos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erp_upsert_order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Propuesta: la misma comparación en las tablas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inventory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del ERP</w:t>
            </w:r>
          </w:p>
        </w:tc>
      </w:tr>
    </w:tbl>
    <w:p>
      <w:pPr>
        <w:spacing w:before="0" w:after="60"/>
        <w:jc w:val="both"/>
      </w:pPr>
    </w:p>
    <w:sectPr>
      <w:headerReference r:id="rId12" w:type="default"/>
      <w:footerReference r:id="rId13" w:type="default"/>
      <w:type w:val="nextPage"/>
      <w:pgSz w:h="16838" w:w="11906" w:orient="portrait"/>
      <w:pgMar w:bottom="1418" w:top="1701" w:left="1559" w:right="1559" w:header="1418" w:footer="1134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color w:val="000000"/>
        <w:sz w:val="18"/>
        <w:szCs w:val="18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753690" y="2780828"/>
                        <a:ext cx="7184621" cy="1998345"/>
                      </a:xfrm>
                      <a:prstGeom prst="rect">
                        <a:avLst/>
                      </a:prstGeom>
                      <a:blipFill rotWithShape="1">
                        <a:blip r:embed="rId1">
                          <a:alphaModFix/>
                        </a:blip>
                        <a:stretch>
                          <a:fillRect b="0" l="0" r="0" t="0"/>
                        </a:stretch>
                      </a:blip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194146" cy="20078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b w:val="1"/>
        <w:bCs w:val="1"/>
        <w:i w:val="1"/>
        <w:iCs w:val="1"/>
        <w:color w:val="404040"/>
        <w:sz w:val="16"/>
        <w:szCs w:val="16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before="960" w:line="360" w:lineRule="auto"/>
      <w:jc w:val="right"/>
      <w:rPr>
        <w:color w:val="383838"/>
      </w:rPr>
    </w:pPr>
    <w:r w:rsidDel="00000000" w:rsidR="00000000" w:rsidRPr="00000000">
      <w:rPr>
        <w:color w:val="38383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38383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  <w:t xml:space="preserve">jkljkl</w:t>
    </w:r>
  </w:p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-77197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48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b w:val="1"/>
        <w:bCs w:val="1"/>
        <w:color w:val="808080"/>
        <w:rtl w:val="0"/>
      </w:rPr>
      <w:t xml:space="preserve">Soluciones Informáticas para la Empresa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0">
    <w:multiLevelType w:val="hybridMultilevel"/>
    <w:lvl w:ilvl="0">
      <w:start w:val="1"/>
      <w:numFmt w:val="bullet"/>
      <w:lvlText w:val="•"/>
      <w:lvlJc w:val="left"/>
      <w:pPr>
        <w:ind w:left="360" w:hanging="260"/>
      </w:pPr>
      <w:rPr>
        <w:color w:val="004379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360" w:hanging="300"/>
      </w:pPr>
      <w:rPr>
        <w:b w:val="1"/>
        <w:color w:val="004379"/>
      </w:rPr>
    </w:lvl>
  </w:abstractNum>
  <w:num w:numId="1">
    <w:abstractNumId w:val="10"/>
  </w:num>
  <w:num w:numId="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b w:val="1"/>
      <w:bCs w:val="1"/>
      <w:color w:val="004379"/>
      <w:sz w:val="32"/>
      <w:szCs w:val="32"/>
    </w:rPr>
  </w:style>
  <w:style w:type="paragraph" w:styleId="Heading2">
    <w:name w:val="heading 2"/>
    <w:basedOn w:val="Normal"/>
    <w:next w:val="Normal"/>
    <w:pPr>
      <w:keepNext w:val="1"/>
      <w:pBdr>
        <w:top w:space="0" w:sz="0" w:val="nil"/>
        <w:left w:space="0" w:sz="0" w:val="nil"/>
        <w:right w:space="0" w:sz="0" w:val="nil"/>
        <w:between w:space="0" w:sz="0" w:val="nil"/>
      </w:pBdr>
      <w:spacing w:after="240" w:before="240" w:lineRule="auto"/>
    </w:pPr>
    <w:rPr>
      <w:b w:val="1"/>
      <w:bCs w:val="1"/>
      <w:i w:val="1"/>
      <w:iCs w:val="1"/>
      <w:color w:val="004379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b w:val="1"/>
      <w:bCs w:val="1"/>
      <w:i w:val="1"/>
      <w:iCs w:val="1"/>
      <w:color w:val="0043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rFonts w:ascii="Times New Roman" w:cs="Times New Roman" w:eastAsia="Times New Roman" w:hAnsi="Times New Roman"/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3" Type="http://schemas.openxmlformats.org/officeDocument/2006/relationships/footer" Target="footer3.xml"/><Relationship Id="rId12" Type="http://schemas.openxmlformats.org/officeDocument/2006/relationships/header" Target="header4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header" Target="header3.xml"/><Relationship Id="rIdFig1" Type="http://schemas.openxmlformats.org/officeDocument/2006/relationships/image" Target="media/fig1.png"/><Relationship Id="rIdFig2" Type="http://schemas.openxmlformats.org/officeDocument/2006/relationships/image" Target="media/fig2.png"/><Relationship Id="rIdFig3" Type="http://schemas.openxmlformats.org/officeDocument/2006/relationships/image" Target="media/fig3.png"/><Relationship Id="rIdFig4" Type="http://schemas.openxmlformats.org/officeDocument/2006/relationships/image" Target="media/fig4.png"/><Relationship Id="rIdFig5" Type="http://schemas.openxmlformats.org/officeDocument/2006/relationships/image" Target="media/fig5.png"/><Relationship Id="rIdFig6" Type="http://schemas.openxmlformats.org/officeDocument/2006/relationships/image" Target="media/fig6.png"/><Relationship Id="rIdFig7" Type="http://schemas.openxmlformats.org/officeDocument/2006/relationships/image" Target="media/fig7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