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056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https://github.com/AngSanRui/Acme-ANS-C2.git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pabberima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Bermúdez Imaz, Pablo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2025/07/03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bookmarkStart w:colFirst="0" w:colLast="0" w:name="awtxmzj61ryx"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uouvsg7lwxw0"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120"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