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34F0" w14:textId="4043BF3C" w:rsidR="00CF3A2A" w:rsidRDefault="00935C1B" w:rsidP="00935C1B">
      <w:pPr>
        <w:jc w:val="center"/>
        <w:rPr>
          <w:rFonts w:ascii="Amasis MT Pro Black" w:hAnsi="Amasis MT Pro Black"/>
          <w:sz w:val="60"/>
          <w:szCs w:val="60"/>
        </w:rPr>
      </w:pPr>
      <w:r w:rsidRPr="00935C1B">
        <w:rPr>
          <w:rFonts w:ascii="Amasis MT Pro Black" w:hAnsi="Amasis MT Pro Black"/>
          <w:sz w:val="60"/>
          <w:szCs w:val="60"/>
        </w:rPr>
        <w:t>Tema 01 Actividad de Aprendizaje 01</w:t>
      </w:r>
    </w:p>
    <w:p w14:paraId="023ED821" w14:textId="6308C2A0" w:rsidR="00935C1B" w:rsidRDefault="00935C1B" w:rsidP="00935C1B">
      <w:pPr>
        <w:jc w:val="both"/>
        <w:rPr>
          <w:rFonts w:ascii="Amasis MT Pro Black" w:hAnsi="Amasis MT Pro Black"/>
        </w:rPr>
      </w:pPr>
      <w:r>
        <w:rPr>
          <w:rFonts w:ascii="Amasis MT Pro Black" w:hAnsi="Amasis MT Pro Black"/>
        </w:rPr>
        <w:t>Tarea 1</w:t>
      </w:r>
      <w:r w:rsidR="000970C7">
        <w:rPr>
          <w:rFonts w:ascii="Amasis MT Pro Black" w:hAnsi="Amasis MT Pro Black"/>
        </w:rPr>
        <w:t xml:space="preserve"> – Psicología del color (Breve investigación + ejemplos de marcas)</w:t>
      </w:r>
      <w:r>
        <w:rPr>
          <w:rFonts w:ascii="Amasis MT Pro Black" w:hAnsi="Amasis MT Pro Black"/>
        </w:rPr>
        <w:t>:</w:t>
      </w:r>
    </w:p>
    <w:p w14:paraId="2A04795F" w14:textId="7764DD99" w:rsidR="00935C1B" w:rsidRDefault="000970C7" w:rsidP="000970C7">
      <w:pPr>
        <w:jc w:val="both"/>
        <w:rPr>
          <w:rFonts w:ascii="Amasis MT Pro" w:hAnsi="Amasis MT Pro"/>
        </w:rPr>
      </w:pPr>
      <w:r w:rsidRPr="000970C7">
        <w:rPr>
          <w:rFonts w:ascii="Amasis MT Pro" w:hAnsi="Amasis MT Pro"/>
        </w:rPr>
        <w:t xml:space="preserve">La psicología del color estudia cómo los colores influyen en las emociones y comportamientos. Sus efectos dependen del contexto, la cultura y la experiencia individual; sin </w:t>
      </w:r>
      <w:r w:rsidRPr="000970C7">
        <w:rPr>
          <w:rFonts w:ascii="Amasis MT Pro" w:hAnsi="Amasis MT Pro"/>
        </w:rPr>
        <w:t>embargo,</w:t>
      </w:r>
      <w:r w:rsidRPr="000970C7">
        <w:rPr>
          <w:rFonts w:ascii="Amasis MT Pro" w:hAnsi="Amasis MT Pro"/>
        </w:rPr>
        <w:t xml:space="preserve"> existen asociaciones comunes útiles para el diseño y el branding (por ejemplo: azul </w:t>
      </w:r>
      <w:r w:rsidRPr="000970C7">
        <w:rPr>
          <w:rFonts w:ascii="Times New Roman" w:hAnsi="Times New Roman" w:cs="Times New Roman"/>
        </w:rPr>
        <w:t>→</w:t>
      </w:r>
      <w:r w:rsidRPr="000970C7">
        <w:rPr>
          <w:rFonts w:ascii="Amasis MT Pro" w:hAnsi="Amasis MT Pro"/>
        </w:rPr>
        <w:t xml:space="preserve"> confianza; rojo </w:t>
      </w:r>
      <w:r w:rsidRPr="000970C7">
        <w:rPr>
          <w:rFonts w:ascii="Times New Roman" w:hAnsi="Times New Roman" w:cs="Times New Roman"/>
        </w:rPr>
        <w:t>→</w:t>
      </w:r>
      <w:r w:rsidRPr="000970C7">
        <w:rPr>
          <w:rFonts w:ascii="Amasis MT Pro" w:hAnsi="Amasis MT Pro"/>
        </w:rPr>
        <w:t xml:space="preserve"> energ</w:t>
      </w:r>
      <w:r w:rsidRPr="000970C7">
        <w:rPr>
          <w:rFonts w:ascii="Amasis MT Pro" w:hAnsi="Amasis MT Pro" w:cs="Amasis MT Pro"/>
        </w:rPr>
        <w:t>í</w:t>
      </w:r>
      <w:r w:rsidRPr="000970C7">
        <w:rPr>
          <w:rFonts w:ascii="Amasis MT Pro" w:hAnsi="Amasis MT Pro"/>
        </w:rPr>
        <w:t xml:space="preserve">a/urgencia; verde </w:t>
      </w:r>
      <w:r w:rsidRPr="000970C7">
        <w:rPr>
          <w:rFonts w:ascii="Times New Roman" w:hAnsi="Times New Roman" w:cs="Times New Roman"/>
        </w:rPr>
        <w:t>→</w:t>
      </w:r>
      <w:r w:rsidRPr="000970C7">
        <w:rPr>
          <w:rFonts w:ascii="Amasis MT Pro" w:hAnsi="Amasis MT Pro"/>
        </w:rPr>
        <w:t xml:space="preserve"> naturaleza/salud).</w:t>
      </w:r>
    </w:p>
    <w:p w14:paraId="6A881A27" w14:textId="7223CA44" w:rsidR="000970C7" w:rsidRDefault="000970C7" w:rsidP="000970C7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t>A continuación, para cada color pedido: marca ejemplo, aplicación (Como se usa el color) y justificación (Porque funciona desde la psicología de color).</w:t>
      </w:r>
    </w:p>
    <w:p w14:paraId="6C62F3F6" w14:textId="1A6605CD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1</w:t>
      </w:r>
      <w:r w:rsidRPr="00152CBE">
        <w:rPr>
          <w:rFonts w:ascii="Amasis MT Pro" w:hAnsi="Amasis MT Pro"/>
          <w:b/>
          <w:bCs/>
        </w:rPr>
        <w:t>. Azul</w:t>
      </w:r>
    </w:p>
    <w:p w14:paraId="2B36045A" w14:textId="77777777" w:rsidR="00152CBE" w:rsidRPr="00152CBE" w:rsidRDefault="00152CBE" w:rsidP="00152CBE">
      <w:pPr>
        <w:numPr>
          <w:ilvl w:val="0"/>
          <w:numId w:val="20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Facebook / LinkedIn / IBM</w:t>
      </w:r>
    </w:p>
    <w:p w14:paraId="5251BE65" w14:textId="77777777" w:rsidR="00152CBE" w:rsidRPr="00152CBE" w:rsidRDefault="00152CBE" w:rsidP="00152CBE">
      <w:pPr>
        <w:numPr>
          <w:ilvl w:val="0"/>
          <w:numId w:val="20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Logotipos y paleta principal en interfaces corporativas.</w:t>
      </w:r>
    </w:p>
    <w:p w14:paraId="25021065" w14:textId="77777777" w:rsidR="00152CBE" w:rsidRPr="00152CBE" w:rsidRDefault="00152CBE" w:rsidP="00152CBE">
      <w:pPr>
        <w:numPr>
          <w:ilvl w:val="0"/>
          <w:numId w:val="20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El azul se asocia a confianza, seguridad y profesionalismo; por eso es muy usado por empresas tecnológicas, financieras y redes profesionales.</w:t>
      </w:r>
    </w:p>
    <w:p w14:paraId="5B3BB527" w14:textId="77777777" w:rsidR="00152CBE" w:rsidRPr="00152CBE" w:rsidRDefault="00152CBE" w:rsidP="00152CBE">
      <w:pPr>
        <w:jc w:val="both"/>
        <w:rPr>
          <w:rFonts w:ascii="Amasis MT Pro" w:hAnsi="Amasis MT Pro"/>
        </w:rPr>
      </w:pPr>
      <w:r w:rsidRPr="00152CBE">
        <w:rPr>
          <w:rFonts w:ascii="Amasis MT Pro" w:hAnsi="Amasis MT Pro"/>
        </w:rPr>
        <w:pict w14:anchorId="1AEF411D">
          <v:rect id="_x0000_i1073" style="width:0;height:1.5pt" o:hralign="center" o:hrstd="t" o:hr="t" fillcolor="#a0a0a0" stroked="f"/>
        </w:pict>
      </w:r>
    </w:p>
    <w:p w14:paraId="1CA1776E" w14:textId="3619601E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2</w:t>
      </w:r>
      <w:r w:rsidRPr="00152CBE">
        <w:rPr>
          <w:rFonts w:ascii="Amasis MT Pro" w:hAnsi="Amasis MT Pro"/>
          <w:b/>
          <w:bCs/>
        </w:rPr>
        <w:t>. Rojo</w:t>
      </w:r>
    </w:p>
    <w:p w14:paraId="796F7DC4" w14:textId="77777777" w:rsidR="00152CBE" w:rsidRPr="00152CBE" w:rsidRDefault="00152CBE" w:rsidP="00152CBE">
      <w:pPr>
        <w:numPr>
          <w:ilvl w:val="0"/>
          <w:numId w:val="21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Coca-Cola / Netflix / YouTube</w:t>
      </w:r>
    </w:p>
    <w:p w14:paraId="4538BAFE" w14:textId="77777777" w:rsidR="00152CBE" w:rsidRPr="00152CBE" w:rsidRDefault="00152CBE" w:rsidP="00152CBE">
      <w:pPr>
        <w:numPr>
          <w:ilvl w:val="0"/>
          <w:numId w:val="21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Uso dominante en logos y llamadas de atención (CTA) en marketing.</w:t>
      </w:r>
    </w:p>
    <w:p w14:paraId="2C6A869B" w14:textId="77777777" w:rsidR="00152CBE" w:rsidRPr="00152CBE" w:rsidRDefault="00152CBE" w:rsidP="00152CBE">
      <w:pPr>
        <w:numPr>
          <w:ilvl w:val="0"/>
          <w:numId w:val="21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Rojo comunica energía, urgencia y emoción; captura la atención y puede incrementar la respuesta impulsiva (útil en comida, promociones o botones llamativos).</w:t>
      </w:r>
    </w:p>
    <w:p w14:paraId="0DBAA41B" w14:textId="77777777" w:rsidR="00152CBE" w:rsidRPr="00152CBE" w:rsidRDefault="00152CBE" w:rsidP="00152CBE">
      <w:pPr>
        <w:jc w:val="both"/>
        <w:rPr>
          <w:rFonts w:ascii="Amasis MT Pro" w:hAnsi="Amasis MT Pro"/>
        </w:rPr>
      </w:pPr>
      <w:r w:rsidRPr="00152CBE">
        <w:rPr>
          <w:rFonts w:ascii="Amasis MT Pro" w:hAnsi="Amasis MT Pro"/>
        </w:rPr>
        <w:pict w14:anchorId="67A1AE8E">
          <v:rect id="_x0000_i1074" style="width:0;height:1.5pt" o:hralign="center" o:hrstd="t" o:hr="t" fillcolor="#a0a0a0" stroked="f"/>
        </w:pict>
      </w:r>
    </w:p>
    <w:p w14:paraId="4C365156" w14:textId="42B7F3BC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3</w:t>
      </w:r>
      <w:r w:rsidRPr="00152CBE">
        <w:rPr>
          <w:rFonts w:ascii="Amasis MT Pro" w:hAnsi="Amasis MT Pro"/>
          <w:b/>
          <w:bCs/>
        </w:rPr>
        <w:t>. Verde</w:t>
      </w:r>
    </w:p>
    <w:p w14:paraId="5ADB2C8D" w14:textId="77777777" w:rsidR="00152CBE" w:rsidRPr="00152CBE" w:rsidRDefault="00152CBE" w:rsidP="00152CBE">
      <w:pPr>
        <w:numPr>
          <w:ilvl w:val="0"/>
          <w:numId w:val="22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Starbucks / Spotify / </w:t>
      </w:r>
      <w:proofErr w:type="spellStart"/>
      <w:r w:rsidRPr="00152CBE">
        <w:rPr>
          <w:rFonts w:ascii="Amasis MT Pro" w:hAnsi="Amasis MT Pro"/>
        </w:rPr>
        <w:t>Whole</w:t>
      </w:r>
      <w:proofErr w:type="spellEnd"/>
      <w:r w:rsidRPr="00152CBE">
        <w:rPr>
          <w:rFonts w:ascii="Amasis MT Pro" w:hAnsi="Amasis MT Pro"/>
        </w:rPr>
        <w:t xml:space="preserve"> </w:t>
      </w:r>
      <w:proofErr w:type="spellStart"/>
      <w:r w:rsidRPr="00152CBE">
        <w:rPr>
          <w:rFonts w:ascii="Amasis MT Pro" w:hAnsi="Amasis MT Pro"/>
        </w:rPr>
        <w:t>Foods</w:t>
      </w:r>
      <w:proofErr w:type="spellEnd"/>
    </w:p>
    <w:p w14:paraId="25491509" w14:textId="77777777" w:rsidR="00152CBE" w:rsidRPr="00152CBE" w:rsidRDefault="00152CBE" w:rsidP="00152CBE">
      <w:pPr>
        <w:numPr>
          <w:ilvl w:val="0"/>
          <w:numId w:val="22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Identidad de marca, envases y comunicación ambiental/saludable.</w:t>
      </w:r>
    </w:p>
    <w:p w14:paraId="7FB8BEC0" w14:textId="77777777" w:rsidR="00152CBE" w:rsidRPr="00152CBE" w:rsidRDefault="00152CBE" w:rsidP="00152CBE">
      <w:pPr>
        <w:numPr>
          <w:ilvl w:val="0"/>
          <w:numId w:val="22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lastRenderedPageBreak/>
        <w:t>Justificación:</w:t>
      </w:r>
      <w:r w:rsidRPr="00152CBE">
        <w:rPr>
          <w:rFonts w:ascii="Amasis MT Pro" w:hAnsi="Amasis MT Pro"/>
        </w:rPr>
        <w:t xml:space="preserve"> Verde transmite naturaleza, salud, frescura y sostenibilidad; funciona bien para marcas alimentarias y eco/biológicas.</w:t>
      </w:r>
    </w:p>
    <w:p w14:paraId="6D7ACCB3" w14:textId="77777777" w:rsidR="00152CBE" w:rsidRPr="00152CBE" w:rsidRDefault="00152CBE" w:rsidP="00152CBE">
      <w:pPr>
        <w:jc w:val="both"/>
        <w:rPr>
          <w:rFonts w:ascii="Amasis MT Pro" w:hAnsi="Amasis MT Pro"/>
        </w:rPr>
      </w:pPr>
      <w:r w:rsidRPr="00152CBE">
        <w:rPr>
          <w:rFonts w:ascii="Amasis MT Pro" w:hAnsi="Amasis MT Pro"/>
        </w:rPr>
        <w:pict w14:anchorId="40B26031">
          <v:rect id="_x0000_i1075" style="width:0;height:1.5pt" o:hralign="center" o:hrstd="t" o:hr="t" fillcolor="#a0a0a0" stroked="f"/>
        </w:pict>
      </w:r>
    </w:p>
    <w:p w14:paraId="1B0BE019" w14:textId="362461C1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4</w:t>
      </w:r>
      <w:r w:rsidRPr="00152CBE">
        <w:rPr>
          <w:rFonts w:ascii="Amasis MT Pro" w:hAnsi="Amasis MT Pro"/>
          <w:b/>
          <w:bCs/>
        </w:rPr>
        <w:t>. Amarillo</w:t>
      </w:r>
    </w:p>
    <w:p w14:paraId="31A0D64E" w14:textId="77777777" w:rsidR="00152CBE" w:rsidRPr="00152CBE" w:rsidRDefault="00152CBE" w:rsidP="00152CBE">
      <w:pPr>
        <w:numPr>
          <w:ilvl w:val="0"/>
          <w:numId w:val="23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McDonald’s (arcos dorados)</w:t>
      </w:r>
    </w:p>
    <w:p w14:paraId="024A4329" w14:textId="77777777" w:rsidR="00152CBE" w:rsidRPr="00152CBE" w:rsidRDefault="00152CBE" w:rsidP="00152CBE">
      <w:pPr>
        <w:numPr>
          <w:ilvl w:val="0"/>
          <w:numId w:val="23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Logotipo y señalética.</w:t>
      </w:r>
    </w:p>
    <w:p w14:paraId="75FF20AE" w14:textId="77777777" w:rsidR="00152CBE" w:rsidRPr="00152CBE" w:rsidRDefault="00152CBE" w:rsidP="00152CBE">
      <w:pPr>
        <w:numPr>
          <w:ilvl w:val="0"/>
          <w:numId w:val="23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Amarillo es visible y evoca optimismo, energía y calidez; combinado con rojo (McDonald’s) potencia la excitación y el apetito.</w:t>
      </w:r>
    </w:p>
    <w:p w14:paraId="5795BA88" w14:textId="77777777" w:rsidR="00152CBE" w:rsidRPr="00152CBE" w:rsidRDefault="00152CBE" w:rsidP="00152CBE">
      <w:pPr>
        <w:jc w:val="both"/>
        <w:rPr>
          <w:rFonts w:ascii="Amasis MT Pro" w:hAnsi="Amasis MT Pro"/>
        </w:rPr>
      </w:pPr>
      <w:r w:rsidRPr="00152CBE">
        <w:rPr>
          <w:rFonts w:ascii="Amasis MT Pro" w:hAnsi="Amasis MT Pro"/>
        </w:rPr>
        <w:pict w14:anchorId="16211324">
          <v:rect id="_x0000_i1076" style="width:0;height:1.5pt" o:hralign="center" o:hrstd="t" o:hr="t" fillcolor="#a0a0a0" stroked="f"/>
        </w:pict>
      </w:r>
    </w:p>
    <w:p w14:paraId="2621E5F9" w14:textId="33863DC9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5</w:t>
      </w:r>
      <w:r w:rsidRPr="00152CBE">
        <w:rPr>
          <w:rFonts w:ascii="Amasis MT Pro" w:hAnsi="Amasis MT Pro"/>
          <w:b/>
          <w:bCs/>
        </w:rPr>
        <w:t>. Naranja</w:t>
      </w:r>
    </w:p>
    <w:p w14:paraId="7D8050E1" w14:textId="77777777" w:rsidR="00152CBE" w:rsidRPr="00152CBE" w:rsidRDefault="00152CBE" w:rsidP="00152CBE">
      <w:pPr>
        <w:numPr>
          <w:ilvl w:val="0"/>
          <w:numId w:val="24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Fanta / Firefox / </w:t>
      </w:r>
      <w:proofErr w:type="spellStart"/>
      <w:r w:rsidRPr="00152CBE">
        <w:rPr>
          <w:rFonts w:ascii="Amasis MT Pro" w:hAnsi="Amasis MT Pro"/>
        </w:rPr>
        <w:t>Nickelodeon</w:t>
      </w:r>
      <w:proofErr w:type="spellEnd"/>
    </w:p>
    <w:p w14:paraId="3EABB642" w14:textId="77777777" w:rsidR="00152CBE" w:rsidRPr="00152CBE" w:rsidRDefault="00152CBE" w:rsidP="00152CBE">
      <w:pPr>
        <w:numPr>
          <w:ilvl w:val="0"/>
          <w:numId w:val="24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Branding juvenil y divertido, </w:t>
      </w:r>
      <w:proofErr w:type="spellStart"/>
      <w:r w:rsidRPr="00152CBE">
        <w:rPr>
          <w:rFonts w:ascii="Amasis MT Pro" w:hAnsi="Amasis MT Pro"/>
        </w:rPr>
        <w:t>packaging</w:t>
      </w:r>
      <w:proofErr w:type="spellEnd"/>
      <w:r w:rsidRPr="00152CBE">
        <w:rPr>
          <w:rFonts w:ascii="Amasis MT Pro" w:hAnsi="Amasis MT Pro"/>
        </w:rPr>
        <w:t xml:space="preserve"> y marketing promocional.</w:t>
      </w:r>
    </w:p>
    <w:p w14:paraId="5C7BD8D1" w14:textId="77777777" w:rsidR="00152CBE" w:rsidRPr="00152CBE" w:rsidRDefault="00152CBE" w:rsidP="00152CBE">
      <w:pPr>
        <w:numPr>
          <w:ilvl w:val="0"/>
          <w:numId w:val="24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Naranja combina la energía del rojo con la calidez del amarillo; sugiere creatividad, diversión y accesibilidad.</w:t>
      </w:r>
    </w:p>
    <w:p w14:paraId="1639B7C6" w14:textId="77777777" w:rsidR="00152CBE" w:rsidRPr="00152CBE" w:rsidRDefault="00152CBE" w:rsidP="00152CBE">
      <w:pPr>
        <w:jc w:val="both"/>
        <w:rPr>
          <w:rFonts w:ascii="Amasis MT Pro" w:hAnsi="Amasis MT Pro"/>
        </w:rPr>
      </w:pPr>
      <w:r w:rsidRPr="00152CBE">
        <w:rPr>
          <w:rFonts w:ascii="Amasis MT Pro" w:hAnsi="Amasis MT Pro"/>
        </w:rPr>
        <w:pict w14:anchorId="0DE80FAB">
          <v:rect id="_x0000_i1077" style="width:0;height:1.5pt" o:hralign="center" o:hrstd="t" o:hr="t" fillcolor="#a0a0a0" stroked="f"/>
        </w:pict>
      </w:r>
    </w:p>
    <w:p w14:paraId="3F4BE558" w14:textId="3C096F37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6</w:t>
      </w:r>
      <w:r w:rsidRPr="00152CBE">
        <w:rPr>
          <w:rFonts w:ascii="Amasis MT Pro" w:hAnsi="Amasis MT Pro"/>
          <w:b/>
          <w:bCs/>
        </w:rPr>
        <w:t>. Negro</w:t>
      </w:r>
    </w:p>
    <w:p w14:paraId="5DAA4692" w14:textId="77777777" w:rsidR="00152CBE" w:rsidRPr="00152CBE" w:rsidRDefault="00152CBE" w:rsidP="00152CBE">
      <w:pPr>
        <w:numPr>
          <w:ilvl w:val="0"/>
          <w:numId w:val="25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Nike / Chanel / Adidas</w:t>
      </w:r>
    </w:p>
    <w:p w14:paraId="68623491" w14:textId="77777777" w:rsidR="00152CBE" w:rsidRPr="00152CBE" w:rsidRDefault="00152CBE" w:rsidP="00152CBE">
      <w:pPr>
        <w:numPr>
          <w:ilvl w:val="0"/>
          <w:numId w:val="25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Logotipos, </w:t>
      </w:r>
      <w:proofErr w:type="spellStart"/>
      <w:r w:rsidRPr="00152CBE">
        <w:rPr>
          <w:rFonts w:ascii="Amasis MT Pro" w:hAnsi="Amasis MT Pro"/>
        </w:rPr>
        <w:t>packaging</w:t>
      </w:r>
      <w:proofErr w:type="spellEnd"/>
      <w:r w:rsidRPr="00152CBE">
        <w:rPr>
          <w:rFonts w:ascii="Amasis MT Pro" w:hAnsi="Amasis MT Pro"/>
        </w:rPr>
        <w:t xml:space="preserve"> premium y comunicaciones de moda.</w:t>
      </w:r>
    </w:p>
    <w:p w14:paraId="1A877D3D" w14:textId="77777777" w:rsidR="00152CBE" w:rsidRPr="00152CBE" w:rsidRDefault="00152CBE" w:rsidP="00152CBE">
      <w:pPr>
        <w:numPr>
          <w:ilvl w:val="0"/>
          <w:numId w:val="25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Negro transmite elegancia, autoridad, lujo y atemporalidad; en diseño se usa para contraste fuerte y legibilidad.</w:t>
      </w:r>
    </w:p>
    <w:p w14:paraId="5ADC497A" w14:textId="77777777" w:rsidR="00152CBE" w:rsidRPr="00152CBE" w:rsidRDefault="00152CBE" w:rsidP="00152CBE">
      <w:pPr>
        <w:jc w:val="both"/>
        <w:rPr>
          <w:rFonts w:ascii="Amasis MT Pro" w:hAnsi="Amasis MT Pro"/>
        </w:rPr>
      </w:pPr>
      <w:r w:rsidRPr="00152CBE">
        <w:rPr>
          <w:rFonts w:ascii="Amasis MT Pro" w:hAnsi="Amasis MT Pro"/>
        </w:rPr>
        <w:pict w14:anchorId="1AADC075">
          <v:rect id="_x0000_i1078" style="width:0;height:1.5pt" o:hralign="center" o:hrstd="t" o:hr="t" fillcolor="#a0a0a0" stroked="f"/>
        </w:pict>
      </w:r>
    </w:p>
    <w:p w14:paraId="4FFBAFA0" w14:textId="7D2ADC83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7</w:t>
      </w:r>
      <w:r w:rsidRPr="00152CBE">
        <w:rPr>
          <w:rFonts w:ascii="Amasis MT Pro" w:hAnsi="Amasis MT Pro"/>
          <w:b/>
          <w:bCs/>
        </w:rPr>
        <w:t>. Blanco</w:t>
      </w:r>
    </w:p>
    <w:p w14:paraId="058D72F5" w14:textId="77777777" w:rsidR="00152CBE" w:rsidRPr="00152CBE" w:rsidRDefault="00152CBE" w:rsidP="00152CBE">
      <w:pPr>
        <w:numPr>
          <w:ilvl w:val="0"/>
          <w:numId w:val="26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Apple (uso extensivo de espacios blancos en interfaces y presentaciones)</w:t>
      </w:r>
    </w:p>
    <w:p w14:paraId="1E7FCEB6" w14:textId="77777777" w:rsidR="00152CBE" w:rsidRPr="00152CBE" w:rsidRDefault="00152CBE" w:rsidP="00152CBE">
      <w:pPr>
        <w:numPr>
          <w:ilvl w:val="0"/>
          <w:numId w:val="26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Minimalismo en páginas, mockups, publicidad y embalaje.</w:t>
      </w:r>
    </w:p>
    <w:p w14:paraId="2829EE51" w14:textId="77777777" w:rsidR="00152CBE" w:rsidRPr="00152CBE" w:rsidRDefault="00152CBE" w:rsidP="00152CBE">
      <w:pPr>
        <w:numPr>
          <w:ilvl w:val="0"/>
          <w:numId w:val="26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Blanco sugiere simplicidad, limpieza y espacio; es ideal para resaltar producto y reforzar sensación de lujo o claridad.</w:t>
      </w:r>
    </w:p>
    <w:p w14:paraId="6BA856DD" w14:textId="77777777" w:rsidR="00152CBE" w:rsidRPr="00152CBE" w:rsidRDefault="00152CBE" w:rsidP="00152CBE">
      <w:pPr>
        <w:jc w:val="both"/>
        <w:rPr>
          <w:rFonts w:ascii="Amasis MT Pro" w:hAnsi="Amasis MT Pro"/>
        </w:rPr>
      </w:pPr>
      <w:r w:rsidRPr="00152CBE">
        <w:rPr>
          <w:rFonts w:ascii="Amasis MT Pro" w:hAnsi="Amasis MT Pro"/>
        </w:rPr>
        <w:pict w14:anchorId="16BCF7DD">
          <v:rect id="_x0000_i1079" style="width:0;height:1.5pt" o:hralign="center" o:hrstd="t" o:hr="t" fillcolor="#a0a0a0" stroked="f"/>
        </w:pict>
      </w:r>
    </w:p>
    <w:p w14:paraId="34195A64" w14:textId="5B7D47D2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8</w:t>
      </w:r>
      <w:r w:rsidRPr="00152CBE">
        <w:rPr>
          <w:rFonts w:ascii="Amasis MT Pro" w:hAnsi="Amasis MT Pro"/>
          <w:b/>
          <w:bCs/>
        </w:rPr>
        <w:t>. Violeta / Morado</w:t>
      </w:r>
    </w:p>
    <w:p w14:paraId="4BAD7CC7" w14:textId="77777777" w:rsidR="00152CBE" w:rsidRPr="00152CBE" w:rsidRDefault="00152CBE" w:rsidP="00152CBE">
      <w:pPr>
        <w:numPr>
          <w:ilvl w:val="0"/>
          <w:numId w:val="27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Cadbury / </w:t>
      </w:r>
      <w:proofErr w:type="spellStart"/>
      <w:r w:rsidRPr="00152CBE">
        <w:rPr>
          <w:rFonts w:ascii="Amasis MT Pro" w:hAnsi="Amasis MT Pro"/>
        </w:rPr>
        <w:t>Yahoo</w:t>
      </w:r>
      <w:proofErr w:type="spellEnd"/>
      <w:r w:rsidRPr="00152CBE">
        <w:rPr>
          <w:rFonts w:ascii="Amasis MT Pro" w:hAnsi="Amasis MT Pro"/>
        </w:rPr>
        <w:t xml:space="preserve"> / </w:t>
      </w:r>
      <w:proofErr w:type="spellStart"/>
      <w:r w:rsidRPr="00152CBE">
        <w:rPr>
          <w:rFonts w:ascii="Amasis MT Pro" w:hAnsi="Amasis MT Pro"/>
        </w:rPr>
        <w:t>Twitch</w:t>
      </w:r>
      <w:proofErr w:type="spellEnd"/>
      <w:r w:rsidRPr="00152CBE">
        <w:rPr>
          <w:rFonts w:ascii="Amasis MT Pro" w:hAnsi="Amasis MT Pro"/>
        </w:rPr>
        <w:t xml:space="preserve"> (tonos morado)</w:t>
      </w:r>
    </w:p>
    <w:p w14:paraId="5998BEF3" w14:textId="77777777" w:rsidR="00152CBE" w:rsidRPr="00152CBE" w:rsidRDefault="00152CBE" w:rsidP="00152CBE">
      <w:pPr>
        <w:numPr>
          <w:ilvl w:val="0"/>
          <w:numId w:val="27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lastRenderedPageBreak/>
        <w:t>Aplicación:</w:t>
      </w:r>
      <w:r w:rsidRPr="00152CBE">
        <w:rPr>
          <w:rFonts w:ascii="Amasis MT Pro" w:hAnsi="Amasis MT Pro"/>
        </w:rPr>
        <w:t xml:space="preserve"> Identidad y </w:t>
      </w:r>
      <w:proofErr w:type="spellStart"/>
      <w:r w:rsidRPr="00152CBE">
        <w:rPr>
          <w:rFonts w:ascii="Amasis MT Pro" w:hAnsi="Amasis MT Pro"/>
        </w:rPr>
        <w:t>packaging</w:t>
      </w:r>
      <w:proofErr w:type="spellEnd"/>
      <w:r w:rsidRPr="00152CBE">
        <w:rPr>
          <w:rFonts w:ascii="Amasis MT Pro" w:hAnsi="Amasis MT Pro"/>
        </w:rPr>
        <w:t>; tono distintivo en sectores creativos o de ocio.</w:t>
      </w:r>
    </w:p>
    <w:p w14:paraId="53E25641" w14:textId="77777777" w:rsidR="00152CBE" w:rsidRPr="00152CBE" w:rsidRDefault="00152CBE" w:rsidP="00152CBE">
      <w:pPr>
        <w:numPr>
          <w:ilvl w:val="0"/>
          <w:numId w:val="27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Morado evoca creatividad, lujo y misterio; históricamente ligado a la realeza y la sofisticación.</w:t>
      </w:r>
    </w:p>
    <w:p w14:paraId="2D13DD9F" w14:textId="77777777" w:rsidR="00152CBE" w:rsidRPr="00152CBE" w:rsidRDefault="00152CBE" w:rsidP="00152CBE">
      <w:pPr>
        <w:jc w:val="both"/>
        <w:rPr>
          <w:rFonts w:ascii="Amasis MT Pro" w:hAnsi="Amasis MT Pro"/>
        </w:rPr>
      </w:pPr>
      <w:r w:rsidRPr="00152CBE">
        <w:rPr>
          <w:rFonts w:ascii="Amasis MT Pro" w:hAnsi="Amasis MT Pro"/>
        </w:rPr>
        <w:pict w14:anchorId="6A7D84F7">
          <v:rect id="_x0000_i1080" style="width:0;height:1.5pt" o:hralign="center" o:hrstd="t" o:hr="t" fillcolor="#a0a0a0" stroked="f"/>
        </w:pict>
      </w:r>
    </w:p>
    <w:p w14:paraId="6E29E6B7" w14:textId="5D60E727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9</w:t>
      </w:r>
      <w:r w:rsidRPr="00152CBE">
        <w:rPr>
          <w:rFonts w:ascii="Amasis MT Pro" w:hAnsi="Amasis MT Pro"/>
          <w:b/>
          <w:bCs/>
        </w:rPr>
        <w:t>. Rosa</w:t>
      </w:r>
    </w:p>
    <w:p w14:paraId="5884DF08" w14:textId="77777777" w:rsidR="00152CBE" w:rsidRPr="00152CBE" w:rsidRDefault="00152CBE" w:rsidP="00152CBE">
      <w:pPr>
        <w:numPr>
          <w:ilvl w:val="0"/>
          <w:numId w:val="28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Barbie / </w:t>
      </w:r>
      <w:proofErr w:type="spellStart"/>
      <w:r w:rsidRPr="00152CBE">
        <w:rPr>
          <w:rFonts w:ascii="Amasis MT Pro" w:hAnsi="Amasis MT Pro"/>
        </w:rPr>
        <w:t>Dunkin</w:t>
      </w:r>
      <w:proofErr w:type="spellEnd"/>
      <w:r w:rsidRPr="00152CBE">
        <w:rPr>
          <w:rFonts w:ascii="Amasis MT Pro" w:hAnsi="Amasis MT Pro"/>
        </w:rPr>
        <w:t xml:space="preserve">' (uso de rosados en campañas) / </w:t>
      </w:r>
      <w:proofErr w:type="spellStart"/>
      <w:r w:rsidRPr="00152CBE">
        <w:rPr>
          <w:rFonts w:ascii="Amasis MT Pro" w:hAnsi="Amasis MT Pro"/>
        </w:rPr>
        <w:t>Glossier</w:t>
      </w:r>
      <w:proofErr w:type="spellEnd"/>
    </w:p>
    <w:p w14:paraId="7C6D2D1D" w14:textId="77777777" w:rsidR="00152CBE" w:rsidRPr="00152CBE" w:rsidRDefault="00152CBE" w:rsidP="00152CBE">
      <w:pPr>
        <w:numPr>
          <w:ilvl w:val="0"/>
          <w:numId w:val="28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Identidad dirigida a públicos jóvenes o campañas que buscan ternura, cercanía o feminidad moderna.</w:t>
      </w:r>
    </w:p>
    <w:p w14:paraId="0368B15E" w14:textId="77777777" w:rsidR="00152CBE" w:rsidRPr="00152CBE" w:rsidRDefault="00152CBE" w:rsidP="00152CBE">
      <w:pPr>
        <w:numPr>
          <w:ilvl w:val="0"/>
          <w:numId w:val="28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Rosa sugiere ternura, juventud y afecto; su connotación exacta varía con la saturación (p. ej. fucsia </w:t>
      </w:r>
      <w:r w:rsidRPr="00152CBE">
        <w:rPr>
          <w:rFonts w:ascii="Times New Roman" w:hAnsi="Times New Roman" w:cs="Times New Roman"/>
        </w:rPr>
        <w:t>→</w:t>
      </w:r>
      <w:r w:rsidRPr="00152CBE">
        <w:rPr>
          <w:rFonts w:ascii="Amasis MT Pro" w:hAnsi="Amasis MT Pro"/>
        </w:rPr>
        <w:t xml:space="preserve"> energ</w:t>
      </w:r>
      <w:r w:rsidRPr="00152CBE">
        <w:rPr>
          <w:rFonts w:ascii="Amasis MT Pro" w:hAnsi="Amasis MT Pro" w:cs="Amasis MT Pro"/>
        </w:rPr>
        <w:t>í</w:t>
      </w:r>
      <w:r w:rsidRPr="00152CBE">
        <w:rPr>
          <w:rFonts w:ascii="Amasis MT Pro" w:hAnsi="Amasis MT Pro"/>
        </w:rPr>
        <w:t xml:space="preserve">a pop; pastel </w:t>
      </w:r>
      <w:r w:rsidRPr="00152CBE">
        <w:rPr>
          <w:rFonts w:ascii="Times New Roman" w:hAnsi="Times New Roman" w:cs="Times New Roman"/>
        </w:rPr>
        <w:t>→</w:t>
      </w:r>
      <w:r w:rsidRPr="00152CBE">
        <w:rPr>
          <w:rFonts w:ascii="Amasis MT Pro" w:hAnsi="Amasis MT Pro"/>
        </w:rPr>
        <w:t xml:space="preserve"> calma).</w:t>
      </w:r>
    </w:p>
    <w:p w14:paraId="2328A957" w14:textId="77777777" w:rsidR="000970C7" w:rsidRDefault="000970C7" w:rsidP="000970C7">
      <w:pPr>
        <w:jc w:val="both"/>
        <w:rPr>
          <w:rFonts w:ascii="Amasis MT Pro" w:hAnsi="Amasis MT Pro"/>
        </w:rPr>
      </w:pPr>
    </w:p>
    <w:p w14:paraId="00F9F9DC" w14:textId="49A2808C" w:rsidR="000414A5" w:rsidRPr="000414A5" w:rsidRDefault="000414A5" w:rsidP="000970C7">
      <w:pPr>
        <w:jc w:val="both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t>Tarea 2 – Tipografías para web (Breve investigación + recomendaciones)</w:t>
      </w:r>
    </w:p>
    <w:p w14:paraId="33F993EB" w14:textId="77777777" w:rsidR="000726CD" w:rsidRPr="000414A5" w:rsidRDefault="000726CD" w:rsidP="000726CD">
      <w:p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>1. Breve investigación (tipos de tipografías aplicables en la web):</w:t>
      </w:r>
    </w:p>
    <w:p w14:paraId="08AC736B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>Sans-</w:t>
      </w:r>
      <w:proofErr w:type="spellStart"/>
      <w:r w:rsidRPr="000414A5">
        <w:rPr>
          <w:rFonts w:ascii="Amasis MT Pro" w:hAnsi="Amasis MT Pro"/>
          <w:b/>
          <w:bCs/>
        </w:rPr>
        <w:t>serif</w:t>
      </w:r>
      <w:proofErr w:type="spellEnd"/>
      <w:r w:rsidRPr="000414A5">
        <w:rPr>
          <w:rFonts w:ascii="Amasis MT Pro" w:hAnsi="Amasis MT Pro"/>
          <w:b/>
          <w:bCs/>
        </w:rPr>
        <w:t xml:space="preserve">: </w:t>
      </w:r>
      <w:r w:rsidRPr="000414A5">
        <w:rPr>
          <w:rFonts w:ascii="Amasis MT Pro" w:hAnsi="Amasis MT Pro"/>
        </w:rPr>
        <w:t xml:space="preserve">(p. ej. </w:t>
      </w:r>
      <w:proofErr w:type="spellStart"/>
      <w:r w:rsidRPr="000414A5">
        <w:rPr>
          <w:rFonts w:ascii="Amasis MT Pro" w:hAnsi="Amasis MT Pro"/>
        </w:rPr>
        <w:t>Roboto</w:t>
      </w:r>
      <w:proofErr w:type="spellEnd"/>
      <w:r w:rsidRPr="000414A5">
        <w:rPr>
          <w:rFonts w:ascii="Amasis MT Pro" w:hAnsi="Amasis MT Pro"/>
        </w:rPr>
        <w:t>, Open Sans, Inter). Muy usada en interfaces por su legibilidad en pantallas.</w:t>
      </w:r>
    </w:p>
    <w:p w14:paraId="5AD48991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 xml:space="preserve">Serif: </w:t>
      </w:r>
      <w:r w:rsidRPr="000414A5">
        <w:rPr>
          <w:rFonts w:ascii="Amasis MT Pro" w:hAnsi="Amasis MT Pro"/>
        </w:rPr>
        <w:t xml:space="preserve">(p. ej. </w:t>
      </w:r>
      <w:proofErr w:type="spellStart"/>
      <w:r w:rsidRPr="000414A5">
        <w:rPr>
          <w:rFonts w:ascii="Amasis MT Pro" w:hAnsi="Amasis MT Pro"/>
        </w:rPr>
        <w:t>Merriweather</w:t>
      </w:r>
      <w:proofErr w:type="spellEnd"/>
      <w:r w:rsidRPr="000414A5">
        <w:rPr>
          <w:rFonts w:ascii="Amasis MT Pro" w:hAnsi="Amasis MT Pro"/>
        </w:rPr>
        <w:t>, Georgia). Adecuadas para textos largos en lectura, tono editorial y marcas con aire tradicional.</w:t>
      </w:r>
    </w:p>
    <w:p w14:paraId="26AE5446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  <w:b/>
          <w:bCs/>
        </w:rPr>
      </w:pPr>
      <w:proofErr w:type="spellStart"/>
      <w:r w:rsidRPr="000414A5">
        <w:rPr>
          <w:rFonts w:ascii="Amasis MT Pro" w:hAnsi="Amasis MT Pro"/>
          <w:b/>
          <w:bCs/>
        </w:rPr>
        <w:t>Slab</w:t>
      </w:r>
      <w:proofErr w:type="spellEnd"/>
      <w:r w:rsidRPr="000414A5">
        <w:rPr>
          <w:rFonts w:ascii="Amasis MT Pro" w:hAnsi="Amasis MT Pro"/>
          <w:b/>
          <w:bCs/>
        </w:rPr>
        <w:t xml:space="preserve"> / </w:t>
      </w:r>
      <w:proofErr w:type="spellStart"/>
      <w:r w:rsidRPr="000414A5">
        <w:rPr>
          <w:rFonts w:ascii="Amasis MT Pro" w:hAnsi="Amasis MT Pro"/>
          <w:b/>
          <w:bCs/>
        </w:rPr>
        <w:t>Display</w:t>
      </w:r>
      <w:proofErr w:type="spellEnd"/>
      <w:r w:rsidRPr="000414A5">
        <w:rPr>
          <w:rFonts w:ascii="Amasis MT Pro" w:hAnsi="Amasis MT Pro"/>
          <w:b/>
          <w:bCs/>
        </w:rPr>
        <w:t xml:space="preserve">: </w:t>
      </w:r>
      <w:r w:rsidRPr="000414A5">
        <w:rPr>
          <w:rFonts w:ascii="Amasis MT Pro" w:hAnsi="Amasis MT Pro"/>
        </w:rPr>
        <w:t xml:space="preserve">(p. ej. </w:t>
      </w:r>
      <w:proofErr w:type="spellStart"/>
      <w:r w:rsidRPr="000414A5">
        <w:rPr>
          <w:rFonts w:ascii="Amasis MT Pro" w:hAnsi="Amasis MT Pro"/>
        </w:rPr>
        <w:t>Playfair</w:t>
      </w:r>
      <w:proofErr w:type="spellEnd"/>
      <w:r w:rsidRPr="000414A5">
        <w:rPr>
          <w:rFonts w:ascii="Amasis MT Pro" w:hAnsi="Amasis MT Pro"/>
        </w:rPr>
        <w:t xml:space="preserve"> </w:t>
      </w:r>
      <w:proofErr w:type="spellStart"/>
      <w:r w:rsidRPr="000414A5">
        <w:rPr>
          <w:rFonts w:ascii="Amasis MT Pro" w:hAnsi="Amasis MT Pro"/>
        </w:rPr>
        <w:t>Display</w:t>
      </w:r>
      <w:proofErr w:type="spellEnd"/>
      <w:r w:rsidRPr="000414A5">
        <w:rPr>
          <w:rFonts w:ascii="Amasis MT Pro" w:hAnsi="Amasis MT Pro"/>
        </w:rPr>
        <w:t xml:space="preserve">, Abril </w:t>
      </w:r>
      <w:proofErr w:type="spellStart"/>
      <w:r w:rsidRPr="000414A5">
        <w:rPr>
          <w:rFonts w:ascii="Amasis MT Pro" w:hAnsi="Amasis MT Pro"/>
        </w:rPr>
        <w:t>Fatface</w:t>
      </w:r>
      <w:proofErr w:type="spellEnd"/>
      <w:r w:rsidRPr="000414A5">
        <w:rPr>
          <w:rFonts w:ascii="Amasis MT Pro" w:hAnsi="Amasis MT Pro"/>
        </w:rPr>
        <w:t>). Para titulares y uso de marca; no recomendadas para párrafos largos.</w:t>
      </w:r>
    </w:p>
    <w:p w14:paraId="08E3B7AE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</w:rPr>
      </w:pPr>
      <w:proofErr w:type="spellStart"/>
      <w:r w:rsidRPr="000414A5">
        <w:rPr>
          <w:rFonts w:ascii="Amasis MT Pro" w:hAnsi="Amasis MT Pro"/>
          <w:b/>
          <w:bCs/>
        </w:rPr>
        <w:t>Monospace</w:t>
      </w:r>
      <w:proofErr w:type="spellEnd"/>
      <w:r w:rsidRPr="000414A5">
        <w:rPr>
          <w:rFonts w:ascii="Amasis MT Pro" w:hAnsi="Amasis MT Pro"/>
          <w:b/>
          <w:bCs/>
        </w:rPr>
        <w:t xml:space="preserve">: </w:t>
      </w:r>
      <w:r w:rsidRPr="000414A5">
        <w:rPr>
          <w:rFonts w:ascii="Amasis MT Pro" w:hAnsi="Amasis MT Pro"/>
        </w:rPr>
        <w:t xml:space="preserve">(p. ej. </w:t>
      </w:r>
      <w:proofErr w:type="spellStart"/>
      <w:r w:rsidRPr="000414A5">
        <w:rPr>
          <w:rFonts w:ascii="Amasis MT Pro" w:hAnsi="Amasis MT Pro"/>
        </w:rPr>
        <w:t>Roboto</w:t>
      </w:r>
      <w:proofErr w:type="spellEnd"/>
      <w:r w:rsidRPr="000414A5">
        <w:rPr>
          <w:rFonts w:ascii="Amasis MT Pro" w:hAnsi="Amasis MT Pro"/>
        </w:rPr>
        <w:t xml:space="preserve"> Mono, Courier). Útiles para código, tablas o entornos técnicos.</w:t>
      </w:r>
    </w:p>
    <w:p w14:paraId="230A552C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 xml:space="preserve">Variable </w:t>
      </w:r>
      <w:proofErr w:type="spellStart"/>
      <w:r w:rsidRPr="000414A5">
        <w:rPr>
          <w:rFonts w:ascii="Amasis MT Pro" w:hAnsi="Amasis MT Pro"/>
          <w:b/>
          <w:bCs/>
        </w:rPr>
        <w:t>fonts</w:t>
      </w:r>
      <w:proofErr w:type="spellEnd"/>
      <w:r w:rsidRPr="000414A5">
        <w:rPr>
          <w:rFonts w:ascii="Amasis MT Pro" w:hAnsi="Amasis MT Pro"/>
          <w:b/>
          <w:bCs/>
        </w:rPr>
        <w:t xml:space="preserve">: </w:t>
      </w:r>
      <w:r w:rsidRPr="000414A5">
        <w:rPr>
          <w:rFonts w:ascii="Amasis MT Pro" w:hAnsi="Amasis MT Pro"/>
        </w:rPr>
        <w:t xml:space="preserve">una sola fuente con múltiples pesos/anchos </w:t>
      </w:r>
      <w:proofErr w:type="spellStart"/>
      <w:r w:rsidRPr="000414A5">
        <w:rPr>
          <w:rFonts w:ascii="Amasis MT Pro" w:hAnsi="Amasis MT Pro"/>
        </w:rPr>
        <w:t>via</w:t>
      </w:r>
      <w:proofErr w:type="spellEnd"/>
      <w:r w:rsidRPr="000414A5">
        <w:rPr>
          <w:rFonts w:ascii="Amasis MT Pro" w:hAnsi="Amasis MT Pro"/>
        </w:rPr>
        <w:t xml:space="preserve"> una única carga (ahorro de peso y flexibilidad).</w:t>
      </w:r>
    </w:p>
    <w:p w14:paraId="5E722CFC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 xml:space="preserve">Fuentes del sistema / </w:t>
      </w:r>
      <w:proofErr w:type="spellStart"/>
      <w:r w:rsidRPr="000414A5">
        <w:rPr>
          <w:rFonts w:ascii="Amasis MT Pro" w:hAnsi="Amasis MT Pro"/>
          <w:b/>
          <w:bCs/>
        </w:rPr>
        <w:t>webfonts</w:t>
      </w:r>
      <w:proofErr w:type="spellEnd"/>
      <w:r w:rsidRPr="000414A5">
        <w:rPr>
          <w:rFonts w:ascii="Amasis MT Pro" w:hAnsi="Amasis MT Pro"/>
          <w:b/>
          <w:bCs/>
        </w:rPr>
        <w:t xml:space="preserve">: </w:t>
      </w:r>
      <w:r w:rsidRPr="000414A5">
        <w:rPr>
          <w:rFonts w:ascii="Amasis MT Pro" w:hAnsi="Amasis MT Pro"/>
        </w:rPr>
        <w:t xml:space="preserve">elección entre usar fuentes del sistema (mejor rendimiento) o </w:t>
      </w:r>
      <w:proofErr w:type="spellStart"/>
      <w:r w:rsidRPr="000414A5">
        <w:rPr>
          <w:rFonts w:ascii="Amasis MT Pro" w:hAnsi="Amasis MT Pro"/>
        </w:rPr>
        <w:t>webfonts</w:t>
      </w:r>
      <w:proofErr w:type="spellEnd"/>
      <w:r w:rsidRPr="000414A5">
        <w:rPr>
          <w:rFonts w:ascii="Amasis MT Pro" w:hAnsi="Amasis MT Pro"/>
        </w:rPr>
        <w:t xml:space="preserve"> (más control de identidad).</w:t>
      </w:r>
      <w:r w:rsidRPr="000414A5">
        <w:rPr>
          <w:rFonts w:ascii="Amasis MT Pro" w:hAnsi="Amasis MT Pro"/>
          <w:b/>
          <w:bCs/>
        </w:rPr>
        <w:t xml:space="preserve"> </w:t>
      </w:r>
      <w:hyperlink r:id="rId10" w:tgtFrame="_blank" w:history="1">
        <w:r w:rsidRPr="000414A5">
          <w:rPr>
            <w:rStyle w:val="Hipervnculo"/>
            <w:rFonts w:ascii="Amasis MT Pro" w:hAnsi="Amasis MT Pro"/>
            <w:b/>
            <w:bCs/>
          </w:rPr>
          <w:t>Google Fonts+1</w:t>
        </w:r>
      </w:hyperlink>
    </w:p>
    <w:p w14:paraId="5D349BA2" w14:textId="77777777" w:rsidR="000726CD" w:rsidRPr="000414A5" w:rsidRDefault="000726CD" w:rsidP="000726CD">
      <w:p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>2. Recomendaciones a la hora de aplicar tipografías en una web (prácticas concretas):</w:t>
      </w:r>
    </w:p>
    <w:p w14:paraId="464378C2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>Legibilidad primero:</w:t>
      </w:r>
      <w:r w:rsidRPr="000414A5">
        <w:rPr>
          <w:rFonts w:ascii="Amasis MT Pro" w:hAnsi="Amasis MT Pro"/>
        </w:rPr>
        <w:t xml:space="preserve"> tamaño base adecuado (p. ej. 16px o relativo en rem), line-</w:t>
      </w:r>
      <w:proofErr w:type="spellStart"/>
      <w:r w:rsidRPr="000414A5">
        <w:rPr>
          <w:rFonts w:ascii="Amasis MT Pro" w:hAnsi="Amasis MT Pro"/>
        </w:rPr>
        <w:t>height</w:t>
      </w:r>
      <w:proofErr w:type="spellEnd"/>
      <w:r w:rsidRPr="000414A5">
        <w:rPr>
          <w:rFonts w:ascii="Amasis MT Pro" w:hAnsi="Amasis MT Pro"/>
        </w:rPr>
        <w:t xml:space="preserve"> entre 1.4–1.6 para cuerpo de texto. Evita tamaños pequeños en móvil. </w:t>
      </w:r>
    </w:p>
    <w:p w14:paraId="257C7B53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>Contraste:</w:t>
      </w:r>
      <w:r w:rsidRPr="000414A5">
        <w:rPr>
          <w:rFonts w:ascii="Amasis MT Pro" w:hAnsi="Amasis MT Pro"/>
        </w:rPr>
        <w:t xml:space="preserve"> texto sobre fondo necesita contraste suficiente para accesibilidad (WCAG recomienda ratios mínimos). Usa colores con contraste suficiente.</w:t>
      </w:r>
    </w:p>
    <w:p w14:paraId="3393F89E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lastRenderedPageBreak/>
        <w:t>Número de familias:</w:t>
      </w:r>
      <w:r w:rsidRPr="000414A5">
        <w:rPr>
          <w:rFonts w:ascii="Amasis MT Pro" w:hAnsi="Amasis MT Pro"/>
        </w:rPr>
        <w:t xml:space="preserve"> limita las familias tipográficas (idealmente 1–2 familias con varias variantes de peso) para coherencia y rendimiento.</w:t>
      </w:r>
    </w:p>
    <w:p w14:paraId="4EB59A97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>Jerarquía tipográfica:</w:t>
      </w:r>
      <w:r w:rsidRPr="000414A5">
        <w:rPr>
          <w:rFonts w:ascii="Amasis MT Pro" w:hAnsi="Amasis MT Pro"/>
        </w:rPr>
        <w:t xml:space="preserve"> define claramente H1</w:t>
      </w:r>
      <w:r w:rsidRPr="000414A5">
        <w:rPr>
          <w:rFonts w:ascii="Times New Roman" w:hAnsi="Times New Roman" w:cs="Times New Roman"/>
        </w:rPr>
        <w:t>→</w:t>
      </w:r>
      <w:r w:rsidRPr="000414A5">
        <w:rPr>
          <w:rFonts w:ascii="Amasis MT Pro" w:hAnsi="Amasis MT Pro"/>
        </w:rPr>
        <w:t>H2</w:t>
      </w:r>
      <w:r w:rsidRPr="000414A5">
        <w:rPr>
          <w:rFonts w:ascii="Times New Roman" w:hAnsi="Times New Roman" w:cs="Times New Roman"/>
        </w:rPr>
        <w:t>→</w:t>
      </w:r>
      <w:r w:rsidRPr="000414A5">
        <w:rPr>
          <w:rFonts w:ascii="Amasis MT Pro" w:hAnsi="Amasis MT Pro"/>
        </w:rPr>
        <w:t>H3 y estilos de cuerpo, citas, botones; usa peso y tama</w:t>
      </w:r>
      <w:r w:rsidRPr="000414A5">
        <w:rPr>
          <w:rFonts w:ascii="Amasis MT Pro" w:hAnsi="Amasis MT Pro" w:cs="Amasis MT Pro"/>
        </w:rPr>
        <w:t>ñ</w:t>
      </w:r>
      <w:r w:rsidRPr="000414A5">
        <w:rPr>
          <w:rFonts w:ascii="Amasis MT Pro" w:hAnsi="Amasis MT Pro"/>
        </w:rPr>
        <w:t>o para guiar la lectura.</w:t>
      </w:r>
    </w:p>
    <w:p w14:paraId="27F880DA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>Rendimiento / carga de fuentes:</w:t>
      </w:r>
      <w:r w:rsidRPr="000414A5">
        <w:rPr>
          <w:rFonts w:ascii="Amasis MT Pro" w:hAnsi="Amasis MT Pro"/>
        </w:rPr>
        <w:t xml:space="preserve"> usa WOFF2, </w:t>
      </w:r>
      <w:proofErr w:type="spellStart"/>
      <w:r w:rsidRPr="000414A5">
        <w:rPr>
          <w:rFonts w:ascii="Amasis MT Pro" w:hAnsi="Amasis MT Pro"/>
        </w:rPr>
        <w:t>font-display</w:t>
      </w:r>
      <w:proofErr w:type="spellEnd"/>
      <w:r w:rsidRPr="000414A5">
        <w:rPr>
          <w:rFonts w:ascii="Amasis MT Pro" w:hAnsi="Amasis MT Pro"/>
        </w:rPr>
        <w:t xml:space="preserve">: swap, </w:t>
      </w:r>
      <w:proofErr w:type="spellStart"/>
      <w:r w:rsidRPr="000414A5">
        <w:rPr>
          <w:rFonts w:ascii="Amasis MT Pro" w:hAnsi="Amasis MT Pro"/>
        </w:rPr>
        <w:t>preloads</w:t>
      </w:r>
      <w:proofErr w:type="spellEnd"/>
      <w:r w:rsidRPr="000414A5">
        <w:rPr>
          <w:rFonts w:ascii="Amasis MT Pro" w:hAnsi="Amasis MT Pro"/>
        </w:rPr>
        <w:t xml:space="preserve"> y limita pesos/estilos cargados. Considera fuentes del sistema cuando el rendimiento sea crítico. </w:t>
      </w:r>
    </w:p>
    <w:p w14:paraId="0373F78D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 xml:space="preserve">Compatibilidad y </w:t>
      </w:r>
      <w:proofErr w:type="spellStart"/>
      <w:r w:rsidRPr="000414A5">
        <w:rPr>
          <w:rFonts w:ascii="Amasis MT Pro" w:hAnsi="Amasis MT Pro"/>
          <w:b/>
          <w:bCs/>
        </w:rPr>
        <w:t>fallback</w:t>
      </w:r>
      <w:proofErr w:type="spellEnd"/>
      <w:r w:rsidRPr="000414A5">
        <w:rPr>
          <w:rFonts w:ascii="Amasis MT Pro" w:hAnsi="Amasis MT Pro"/>
          <w:b/>
          <w:bCs/>
        </w:rPr>
        <w:t>:</w:t>
      </w:r>
      <w:r w:rsidRPr="000414A5">
        <w:rPr>
          <w:rFonts w:ascii="Amasis MT Pro" w:hAnsi="Amasis MT Pro"/>
        </w:rPr>
        <w:t xml:space="preserve"> siempre declara familias genéricas de </w:t>
      </w:r>
      <w:proofErr w:type="spellStart"/>
      <w:r w:rsidRPr="000414A5">
        <w:rPr>
          <w:rFonts w:ascii="Amasis MT Pro" w:hAnsi="Amasis MT Pro"/>
        </w:rPr>
        <w:t>fallback</w:t>
      </w:r>
      <w:proofErr w:type="spellEnd"/>
      <w:r w:rsidRPr="000414A5">
        <w:rPr>
          <w:rFonts w:ascii="Amasis MT Pro" w:hAnsi="Amasis MT Pro"/>
        </w:rPr>
        <w:t xml:space="preserve"> (</w:t>
      </w:r>
      <w:proofErr w:type="spellStart"/>
      <w:r w:rsidRPr="000414A5">
        <w:rPr>
          <w:rFonts w:ascii="Amasis MT Pro" w:hAnsi="Amasis MT Pro"/>
        </w:rPr>
        <w:t>font-family</w:t>
      </w:r>
      <w:proofErr w:type="spellEnd"/>
      <w:r w:rsidRPr="000414A5">
        <w:rPr>
          <w:rFonts w:ascii="Amasis MT Pro" w:hAnsi="Amasis MT Pro"/>
        </w:rPr>
        <w:t xml:space="preserve">: "Inter", </w:t>
      </w:r>
      <w:proofErr w:type="spellStart"/>
      <w:r w:rsidRPr="000414A5">
        <w:rPr>
          <w:rFonts w:ascii="Amasis MT Pro" w:hAnsi="Amasis MT Pro"/>
        </w:rPr>
        <w:t>system-ui</w:t>
      </w:r>
      <w:proofErr w:type="spellEnd"/>
      <w:r w:rsidRPr="000414A5">
        <w:rPr>
          <w:rFonts w:ascii="Amasis MT Pro" w:hAnsi="Amasis MT Pro"/>
        </w:rPr>
        <w:t>, -</w:t>
      </w:r>
      <w:proofErr w:type="spellStart"/>
      <w:r w:rsidRPr="000414A5">
        <w:rPr>
          <w:rFonts w:ascii="Amasis MT Pro" w:hAnsi="Amasis MT Pro"/>
        </w:rPr>
        <w:t>apple-system</w:t>
      </w:r>
      <w:proofErr w:type="spellEnd"/>
      <w:r w:rsidRPr="000414A5">
        <w:rPr>
          <w:rFonts w:ascii="Amasis MT Pro" w:hAnsi="Amasis MT Pro"/>
        </w:rPr>
        <w:t xml:space="preserve">, "Segoe UI", </w:t>
      </w:r>
      <w:proofErr w:type="spellStart"/>
      <w:r w:rsidRPr="000414A5">
        <w:rPr>
          <w:rFonts w:ascii="Amasis MT Pro" w:hAnsi="Amasis MT Pro"/>
        </w:rPr>
        <w:t>sans-serif</w:t>
      </w:r>
      <w:proofErr w:type="spellEnd"/>
      <w:r w:rsidRPr="000414A5">
        <w:rPr>
          <w:rFonts w:ascii="Amasis MT Pro" w:hAnsi="Amasis MT Pro"/>
        </w:rPr>
        <w:t xml:space="preserve">;). </w:t>
      </w:r>
    </w:p>
    <w:p w14:paraId="12EC9339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>Accesibilidad y legibilidad de pantalla:</w:t>
      </w:r>
      <w:r w:rsidRPr="000414A5">
        <w:rPr>
          <w:rFonts w:ascii="Amasis MT Pro" w:hAnsi="Amasis MT Pro"/>
        </w:rPr>
        <w:t xml:space="preserve"> evita fuentes demasiado condensadas o con contrastes de trazo muy finos; prueba en varios dispositivos y tamaños.</w:t>
      </w:r>
    </w:p>
    <w:p w14:paraId="18D8B1A0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>Pruebas y pares tipográficos:</w:t>
      </w:r>
      <w:r w:rsidRPr="000414A5">
        <w:rPr>
          <w:rFonts w:ascii="Amasis MT Pro" w:hAnsi="Amasis MT Pro"/>
        </w:rPr>
        <w:t xml:space="preserve"> al emparejar, busca contraste de personalidad (p. ej. </w:t>
      </w:r>
      <w:proofErr w:type="spellStart"/>
      <w:r w:rsidRPr="000414A5">
        <w:rPr>
          <w:rFonts w:ascii="Amasis MT Pro" w:hAnsi="Amasis MT Pro"/>
        </w:rPr>
        <w:t>serif</w:t>
      </w:r>
      <w:proofErr w:type="spellEnd"/>
      <w:r w:rsidRPr="000414A5">
        <w:rPr>
          <w:rFonts w:ascii="Amasis MT Pro" w:hAnsi="Amasis MT Pro"/>
        </w:rPr>
        <w:t xml:space="preserve"> para titulares + </w:t>
      </w:r>
      <w:proofErr w:type="spellStart"/>
      <w:r w:rsidRPr="000414A5">
        <w:rPr>
          <w:rFonts w:ascii="Amasis MT Pro" w:hAnsi="Amasis MT Pro"/>
        </w:rPr>
        <w:t>sans</w:t>
      </w:r>
      <w:proofErr w:type="spellEnd"/>
      <w:r w:rsidRPr="000414A5">
        <w:rPr>
          <w:rFonts w:ascii="Amasis MT Pro" w:hAnsi="Amasis MT Pro"/>
        </w:rPr>
        <w:t xml:space="preserve"> para cuerpo) y asegúrate de que ambos trabajen bien en distintos tamaños.</w:t>
      </w:r>
      <w:r w:rsidRPr="000414A5">
        <w:rPr>
          <w:rFonts w:ascii="Amasis MT Pro" w:hAnsi="Amasis MT Pro"/>
          <w:b/>
          <w:bCs/>
        </w:rPr>
        <w:t xml:space="preserve"> </w:t>
      </w:r>
    </w:p>
    <w:p w14:paraId="59DB5E7A" w14:textId="77777777" w:rsidR="000414A5" w:rsidRDefault="000414A5" w:rsidP="000970C7">
      <w:pPr>
        <w:jc w:val="both"/>
        <w:rPr>
          <w:rFonts w:ascii="Amasis MT Pro" w:hAnsi="Amasis MT Pro"/>
        </w:rPr>
      </w:pPr>
    </w:p>
    <w:p w14:paraId="0E2291C3" w14:textId="3E273390" w:rsidR="00894BFD" w:rsidRDefault="00894BFD" w:rsidP="000970C7">
      <w:pPr>
        <w:jc w:val="both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t xml:space="preserve">Tarea 3 </w:t>
      </w:r>
      <w:r w:rsidR="000414A5">
        <w:rPr>
          <w:rFonts w:ascii="Amasis MT Pro" w:hAnsi="Amasis MT Pro"/>
          <w:b/>
          <w:bCs/>
        </w:rPr>
        <w:t>-</w:t>
      </w:r>
      <w:r>
        <w:rPr>
          <w:rFonts w:ascii="Amasis MT Pro" w:hAnsi="Amasis MT Pro"/>
          <w:b/>
          <w:bCs/>
        </w:rPr>
        <w:t xml:space="preserve"> Buscar y comparar dos guías de estilo (</w:t>
      </w:r>
      <w:r w:rsidR="000726CD">
        <w:rPr>
          <w:rFonts w:ascii="Amasis MT Pro" w:hAnsi="Amasis MT Pro"/>
          <w:b/>
          <w:bCs/>
        </w:rPr>
        <w:t>Análisis</w:t>
      </w:r>
      <w:r>
        <w:rPr>
          <w:rFonts w:ascii="Amasis MT Pro" w:hAnsi="Amasis MT Pro"/>
          <w:b/>
          <w:bCs/>
        </w:rPr>
        <w:t xml:space="preserve">: Material </w:t>
      </w:r>
      <w:proofErr w:type="spellStart"/>
      <w:r>
        <w:rPr>
          <w:rFonts w:ascii="Amasis MT Pro" w:hAnsi="Amasis MT Pro"/>
          <w:b/>
          <w:bCs/>
        </w:rPr>
        <w:t>Design</w:t>
      </w:r>
      <w:proofErr w:type="spellEnd"/>
      <w:r>
        <w:rPr>
          <w:rFonts w:ascii="Amasis MT Pro" w:hAnsi="Amasis MT Pro"/>
          <w:b/>
          <w:bCs/>
        </w:rPr>
        <w:t xml:space="preserve"> vs Apple HIG):</w:t>
      </w:r>
    </w:p>
    <w:p w14:paraId="6A076CBF" w14:textId="77777777" w:rsidR="00894BFD" w:rsidRPr="00894BFD" w:rsidRDefault="00894BFD" w:rsidP="000970C7">
      <w:pPr>
        <w:jc w:val="both"/>
        <w:rPr>
          <w:rFonts w:ascii="Amasis MT Pro" w:hAnsi="Amasis MT Pro"/>
          <w:b/>
          <w:bCs/>
        </w:rPr>
      </w:pPr>
    </w:p>
    <w:sectPr w:rsidR="00894BFD" w:rsidRPr="00894BF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1FFBC" w14:textId="77777777" w:rsidR="002954B6" w:rsidRDefault="002954B6" w:rsidP="00935C1B">
      <w:pPr>
        <w:spacing w:after="0" w:line="240" w:lineRule="auto"/>
      </w:pPr>
      <w:r>
        <w:separator/>
      </w:r>
    </w:p>
  </w:endnote>
  <w:endnote w:type="continuationSeparator" w:id="0">
    <w:p w14:paraId="61BD15FA" w14:textId="77777777" w:rsidR="002954B6" w:rsidRDefault="002954B6" w:rsidP="0093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B4AF1" w14:textId="77777777" w:rsidR="002954B6" w:rsidRDefault="002954B6" w:rsidP="00935C1B">
      <w:pPr>
        <w:spacing w:after="0" w:line="240" w:lineRule="auto"/>
      </w:pPr>
      <w:r>
        <w:separator/>
      </w:r>
    </w:p>
  </w:footnote>
  <w:footnote w:type="continuationSeparator" w:id="0">
    <w:p w14:paraId="5079F2B8" w14:textId="77777777" w:rsidR="002954B6" w:rsidRDefault="002954B6" w:rsidP="00935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4FE0D" w14:textId="5BA0CFDF" w:rsidR="00935C1B" w:rsidRDefault="00935C1B">
    <w:pPr>
      <w:pStyle w:val="Encabezado"/>
    </w:pPr>
    <w:r>
      <w:t>Pablo González García</w:t>
    </w:r>
    <w:r>
      <w:ptab w:relativeTo="margin" w:alignment="center" w:leader="none"/>
    </w:r>
    <w:r>
      <w:t>DAW2</w:t>
    </w:r>
    <w:r>
      <w:ptab w:relativeTo="margin" w:alignment="right" w:leader="none"/>
    </w:r>
    <w:r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B3A23"/>
    <w:multiLevelType w:val="multilevel"/>
    <w:tmpl w:val="05D6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00721"/>
    <w:multiLevelType w:val="multilevel"/>
    <w:tmpl w:val="6F441C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B212F"/>
    <w:multiLevelType w:val="multilevel"/>
    <w:tmpl w:val="8A6E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85C43"/>
    <w:multiLevelType w:val="multilevel"/>
    <w:tmpl w:val="8E38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F7258"/>
    <w:multiLevelType w:val="multilevel"/>
    <w:tmpl w:val="C62E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C74A5"/>
    <w:multiLevelType w:val="multilevel"/>
    <w:tmpl w:val="66C645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F3D63"/>
    <w:multiLevelType w:val="multilevel"/>
    <w:tmpl w:val="70CCCB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B1DC1"/>
    <w:multiLevelType w:val="multilevel"/>
    <w:tmpl w:val="5E7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000F8"/>
    <w:multiLevelType w:val="multilevel"/>
    <w:tmpl w:val="A68E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30CC0"/>
    <w:multiLevelType w:val="multilevel"/>
    <w:tmpl w:val="9AB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74828"/>
    <w:multiLevelType w:val="multilevel"/>
    <w:tmpl w:val="DB7E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00A99"/>
    <w:multiLevelType w:val="multilevel"/>
    <w:tmpl w:val="A0ECFD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060E77"/>
    <w:multiLevelType w:val="multilevel"/>
    <w:tmpl w:val="518E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074DF"/>
    <w:multiLevelType w:val="multilevel"/>
    <w:tmpl w:val="CBEA81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B1080"/>
    <w:multiLevelType w:val="multilevel"/>
    <w:tmpl w:val="6A3052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3D1587"/>
    <w:multiLevelType w:val="multilevel"/>
    <w:tmpl w:val="447C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C2165"/>
    <w:multiLevelType w:val="multilevel"/>
    <w:tmpl w:val="BCC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7610A"/>
    <w:multiLevelType w:val="multilevel"/>
    <w:tmpl w:val="28D829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80500AB"/>
    <w:multiLevelType w:val="multilevel"/>
    <w:tmpl w:val="813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31E27"/>
    <w:multiLevelType w:val="multilevel"/>
    <w:tmpl w:val="F544F7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AC1D60"/>
    <w:multiLevelType w:val="multilevel"/>
    <w:tmpl w:val="26E8128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C716B"/>
    <w:multiLevelType w:val="multilevel"/>
    <w:tmpl w:val="BFE6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6D0D39"/>
    <w:multiLevelType w:val="multilevel"/>
    <w:tmpl w:val="DE4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E351D"/>
    <w:multiLevelType w:val="multilevel"/>
    <w:tmpl w:val="B31E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0808A3"/>
    <w:multiLevelType w:val="multilevel"/>
    <w:tmpl w:val="EDB0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73BCF"/>
    <w:multiLevelType w:val="multilevel"/>
    <w:tmpl w:val="5656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E7FD5"/>
    <w:multiLevelType w:val="multilevel"/>
    <w:tmpl w:val="E68E535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9A490A"/>
    <w:multiLevelType w:val="multilevel"/>
    <w:tmpl w:val="9182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908FC"/>
    <w:multiLevelType w:val="multilevel"/>
    <w:tmpl w:val="BADE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917D71"/>
    <w:multiLevelType w:val="multilevel"/>
    <w:tmpl w:val="6D36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632285">
    <w:abstractNumId w:val="17"/>
  </w:num>
  <w:num w:numId="2" w16cid:durableId="200243781">
    <w:abstractNumId w:val="11"/>
  </w:num>
  <w:num w:numId="3" w16cid:durableId="761949360">
    <w:abstractNumId w:val="0"/>
  </w:num>
  <w:num w:numId="4" w16cid:durableId="114294847">
    <w:abstractNumId w:val="19"/>
  </w:num>
  <w:num w:numId="5" w16cid:durableId="2087263207">
    <w:abstractNumId w:val="9"/>
  </w:num>
  <w:num w:numId="6" w16cid:durableId="372654645">
    <w:abstractNumId w:val="1"/>
  </w:num>
  <w:num w:numId="7" w16cid:durableId="216815955">
    <w:abstractNumId w:val="7"/>
  </w:num>
  <w:num w:numId="8" w16cid:durableId="1463425662">
    <w:abstractNumId w:val="5"/>
  </w:num>
  <w:num w:numId="9" w16cid:durableId="409693838">
    <w:abstractNumId w:val="29"/>
  </w:num>
  <w:num w:numId="10" w16cid:durableId="1205798133">
    <w:abstractNumId w:val="6"/>
  </w:num>
  <w:num w:numId="11" w16cid:durableId="804855097">
    <w:abstractNumId w:val="16"/>
  </w:num>
  <w:num w:numId="12" w16cid:durableId="72052682">
    <w:abstractNumId w:val="13"/>
  </w:num>
  <w:num w:numId="13" w16cid:durableId="624852959">
    <w:abstractNumId w:val="24"/>
  </w:num>
  <w:num w:numId="14" w16cid:durableId="1704405937">
    <w:abstractNumId w:val="26"/>
  </w:num>
  <w:num w:numId="15" w16cid:durableId="44835353">
    <w:abstractNumId w:val="21"/>
  </w:num>
  <w:num w:numId="16" w16cid:durableId="1577741004">
    <w:abstractNumId w:val="20"/>
  </w:num>
  <w:num w:numId="17" w16cid:durableId="2031907645">
    <w:abstractNumId w:val="18"/>
  </w:num>
  <w:num w:numId="18" w16cid:durableId="1037511412">
    <w:abstractNumId w:val="14"/>
  </w:num>
  <w:num w:numId="19" w16cid:durableId="1103189893">
    <w:abstractNumId w:val="4"/>
  </w:num>
  <w:num w:numId="20" w16cid:durableId="752092268">
    <w:abstractNumId w:val="28"/>
  </w:num>
  <w:num w:numId="21" w16cid:durableId="246304627">
    <w:abstractNumId w:val="23"/>
  </w:num>
  <w:num w:numId="22" w16cid:durableId="983050767">
    <w:abstractNumId w:val="12"/>
  </w:num>
  <w:num w:numId="23" w16cid:durableId="287863276">
    <w:abstractNumId w:val="8"/>
  </w:num>
  <w:num w:numId="24" w16cid:durableId="2088920100">
    <w:abstractNumId w:val="10"/>
  </w:num>
  <w:num w:numId="25" w16cid:durableId="1461655059">
    <w:abstractNumId w:val="3"/>
  </w:num>
  <w:num w:numId="26" w16cid:durableId="732775791">
    <w:abstractNumId w:val="2"/>
  </w:num>
  <w:num w:numId="27" w16cid:durableId="2108308139">
    <w:abstractNumId w:val="27"/>
  </w:num>
  <w:num w:numId="28" w16cid:durableId="1887450493">
    <w:abstractNumId w:val="22"/>
  </w:num>
  <w:num w:numId="29" w16cid:durableId="788012109">
    <w:abstractNumId w:val="15"/>
  </w:num>
  <w:num w:numId="30" w16cid:durableId="12080331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6"/>
    <w:rsid w:val="000332AD"/>
    <w:rsid w:val="00040C86"/>
    <w:rsid w:val="000414A5"/>
    <w:rsid w:val="000726CD"/>
    <w:rsid w:val="000970C7"/>
    <w:rsid w:val="00103D69"/>
    <w:rsid w:val="00152CBE"/>
    <w:rsid w:val="0017091C"/>
    <w:rsid w:val="002954B6"/>
    <w:rsid w:val="00301638"/>
    <w:rsid w:val="004604BB"/>
    <w:rsid w:val="00652898"/>
    <w:rsid w:val="00894BFD"/>
    <w:rsid w:val="00935C1B"/>
    <w:rsid w:val="00C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25F3"/>
  <w15:chartTrackingRefBased/>
  <w15:docId w15:val="{2BB29DA4-7CEC-455C-8ABE-4427A35E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0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0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0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0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0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0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0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0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0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0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0C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0C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0C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0C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0C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0C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0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0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0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C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0C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0C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C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0C8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5C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5C1B"/>
  </w:style>
  <w:style w:type="paragraph" w:styleId="Piedepgina">
    <w:name w:val="footer"/>
    <w:basedOn w:val="Normal"/>
    <w:link w:val="PiedepginaCar"/>
    <w:uiPriority w:val="99"/>
    <w:unhideWhenUsed/>
    <w:rsid w:val="00935C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5C1B"/>
  </w:style>
  <w:style w:type="character" w:styleId="Hipervnculo">
    <w:name w:val="Hyperlink"/>
    <w:basedOn w:val="Fuentedeprrafopredeter"/>
    <w:uiPriority w:val="99"/>
    <w:unhideWhenUsed/>
    <w:rsid w:val="000970C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70C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970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fonts.google.com/knowledge/using_type/the_foundations_of_web_typography?utm_source=chatgp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3287427037514BAFC01236547C3082" ma:contentTypeVersion="17" ma:contentTypeDescription="Crear nuevo documento." ma:contentTypeScope="" ma:versionID="976941fce3db38702988cbd050cfdf3d">
  <xsd:schema xmlns:xsd="http://www.w3.org/2001/XMLSchema" xmlns:xs="http://www.w3.org/2001/XMLSchema" xmlns:p="http://schemas.microsoft.com/office/2006/metadata/properties" xmlns:ns3="0e354688-87e0-4c33-b917-3e7cad241924" xmlns:ns4="16092997-35ef-4530-840a-4a785964a4b0" targetNamespace="http://schemas.microsoft.com/office/2006/metadata/properties" ma:root="true" ma:fieldsID="6c6ddb386b0d45c7e552b67016e95ff7" ns3:_="" ns4:_="">
    <xsd:import namespace="0e354688-87e0-4c33-b917-3e7cad241924"/>
    <xsd:import namespace="16092997-35ef-4530-840a-4a785964a4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54688-87e0-4c33-b917-3e7cad241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92997-35ef-4530-840a-4a785964a4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354688-87e0-4c33-b917-3e7cad241924" xsi:nil="true"/>
  </documentManagement>
</p:properties>
</file>

<file path=customXml/itemProps1.xml><?xml version="1.0" encoding="utf-8"?>
<ds:datastoreItem xmlns:ds="http://schemas.openxmlformats.org/officeDocument/2006/customXml" ds:itemID="{09C53786-73A5-4704-8987-D1889C430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54688-87e0-4c33-b917-3e7cad241924"/>
    <ds:schemaRef ds:uri="16092997-35ef-4530-840a-4a785964a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0145CE-8E5F-489D-9A34-B496785813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F8D99-06A9-4A8D-9B02-CAE30FC846F5}">
  <ds:schemaRefs>
    <ds:schemaRef ds:uri="http://schemas.microsoft.com/office/2006/metadata/properties"/>
    <ds:schemaRef ds:uri="http://schemas.microsoft.com/office/infopath/2007/PartnerControls"/>
    <ds:schemaRef ds:uri="0e354688-87e0-4c33-b917-3e7cad2419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García</dc:creator>
  <cp:keywords/>
  <dc:description/>
  <cp:lastModifiedBy>Pablo González García</cp:lastModifiedBy>
  <cp:revision>8</cp:revision>
  <dcterms:created xsi:type="dcterms:W3CDTF">2025-09-24T15:47:00Z</dcterms:created>
  <dcterms:modified xsi:type="dcterms:W3CDTF">2025-09-24T16:17:00Z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0x0101002B3287427037514BAFC01236547C3082</vt:lpwstr>
  </property>
</Properties>
</file>