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rPr>
          <w:color w:val="2e75b5"/>
          <w:sz w:val="26"/>
          <w:szCs w:val="26"/>
        </w:rPr>
      </w:pPr>
      <w:bookmarkStart w:colFirst="0" w:colLast="0" w:name="_wx4nlxn0ofp" w:id="0"/>
      <w:bookmarkEnd w:id="0"/>
      <w:r w:rsidDel="00000000" w:rsidR="00000000" w:rsidRPr="00000000">
        <w:rPr>
          <w:color w:val="2e75b5"/>
          <w:sz w:val="26"/>
          <w:szCs w:val="26"/>
          <w:rtl w:val="0"/>
        </w:rPr>
        <w:t xml:space="preserve">Pauta de Autoevaluación de Competencias </w:t>
      </w:r>
    </w:p>
    <w:p w:rsidR="00000000" w:rsidDel="00000000" w:rsidP="00000000" w:rsidRDefault="00000000" w:rsidRPr="00000000" w14:paraId="00000002">
      <w:pPr>
        <w:rPr>
          <w:color w:val="000000"/>
        </w:rPr>
      </w:pPr>
      <w:r w:rsidDel="00000000" w:rsidR="00000000" w:rsidRPr="00000000">
        <w:rPr>
          <w:color w:val="000000"/>
          <w:rtl w:val="0"/>
        </w:rPr>
        <w:t xml:space="preserve">(complemento de la Pauta de Reflexión Definición Proyecto APT) </w:t>
      </w:r>
    </w:p>
    <w:p w:rsidR="00000000" w:rsidDel="00000000" w:rsidP="00000000" w:rsidRDefault="00000000" w:rsidRPr="00000000" w14:paraId="00000003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Objetivo: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El objetivo de esta pauta de autoevaluación es que identifiques tus niveles de logro en las competencias de tu plan de estudio para que, a partir de tus fortalezas y oportunidades de mejora, puedas definir mejor tu proyecto APT. Esta pauta de autoevaluación es un complemento de las reflexiones iniciales de APT que también te ayudarán a definir tu Proyecto APT.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jc w:val="both"/>
        <w:rPr>
          <w:color w:val="767171"/>
          <w:sz w:val="24"/>
          <w:szCs w:val="24"/>
        </w:rPr>
      </w:pPr>
      <w:r w:rsidDel="00000000" w:rsidR="00000000" w:rsidRPr="00000000">
        <w:rPr>
          <w:color w:val="000000"/>
          <w:sz w:val="24"/>
          <w:szCs w:val="24"/>
          <w:rtl w:val="0"/>
        </w:rPr>
        <w:t xml:space="preserve">Instrucciones: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Completa la tabla con las competencias de tu perfil de egreso (las puedes revisar con tu docente)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Piensa en tu proceso de aprendizaje durante el tiempo que has estudiando en Duoc UC y evalúa el nivel de logro que alcanzaste en cada competencia de tu plan de estudio.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Marca con una cruz el nivel de logro alcanzado para cada aprendizaje de las unidades de competencia según las siguientes categorías: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80.0" w:type="dxa"/>
        <w:jc w:val="left"/>
        <w:tblInd w:w="421.0" w:type="dxa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010"/>
        <w:gridCol w:w="7770"/>
        <w:tblGridChange w:id="0">
          <w:tblGrid>
            <w:gridCol w:w="2010"/>
            <w:gridCol w:w="777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B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Categoría</w:t>
            </w:r>
          </w:p>
        </w:tc>
        <w:tc>
          <w:tcPr/>
          <w:p w:rsidR="00000000" w:rsidDel="00000000" w:rsidP="00000000" w:rsidRDefault="00000000" w:rsidRPr="00000000" w14:paraId="0000000C">
            <w:pPr>
              <w:jc w:val="center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9" w:hRule="atLeast"/>
          <w:tblHeader w:val="0"/>
        </w:trPr>
        <w:tc>
          <w:tcPr/>
          <w:p w:rsidR="00000000" w:rsidDel="00000000" w:rsidP="00000000" w:rsidRDefault="00000000" w:rsidRPr="00000000" w14:paraId="000000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Excelente Dominio (ED)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excelente dominio en esta competencia y no necesito reforzarla.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89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Alto Dominio (AD)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0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muy buen dominio de esta competencia, solo necesito reforzar pocos aspectos que no tengo completamente desarrollados.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54" w:hRule="atLeast"/>
          <w:tblHeader w:val="0"/>
        </w:trPr>
        <w:tc>
          <w:tcPr/>
          <w:p w:rsidR="00000000" w:rsidDel="00000000" w:rsidP="00000000" w:rsidRDefault="00000000" w:rsidRPr="00000000" w14:paraId="000000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Aceptable (DA)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básico de la competencia, que me permite lograr los aspectos centrales de ésta, pero aún tengo muchos que necesito reforzar.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insuficiente (DP)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4">
            <w:pPr>
              <w:jc w:val="left"/>
              <w:rPr>
                <w:color w:val="767171"/>
                <w:sz w:val="24"/>
                <w:szCs w:val="24"/>
              </w:rPr>
            </w:pPr>
            <w:r w:rsidDel="00000000" w:rsidR="00000000" w:rsidRPr="00000000">
              <w:rPr>
                <w:color w:val="000000"/>
                <w:sz w:val="24"/>
                <w:szCs w:val="24"/>
                <w:rtl w:val="0"/>
              </w:rPr>
              <w:t xml:space="preserve">Tengo un dominio muy básico de la competencia, solo manejo alguno aspectos de manera aislada.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0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Dominio no logrado (DNL)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Tengo un dominio no logrado de la competencia, no manejo casi ningún aspecto de manera clara.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795" w:right="0" w:hanging="360"/>
        <w:jc w:val="both"/>
        <w:rPr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la columna de comentarios escribe por qué marcaste cada nivel.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59" w:lineRule="auto"/>
        <w:ind w:left="43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767171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10076.0" w:type="dxa"/>
        <w:jc w:val="left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A0"/>
      </w:tblPr>
      <w:tblGrid>
        <w:gridCol w:w="5038"/>
        <w:gridCol w:w="5038"/>
        <w:tblGridChange w:id="0">
          <w:tblGrid>
            <w:gridCol w:w="5038"/>
            <w:gridCol w:w="5038"/>
          </w:tblGrid>
        </w:tblGridChange>
      </w:tblGrid>
      <w:tr>
        <w:trPr>
          <w:cantSplit w:val="0"/>
          <w:tblHeader w:val="0"/>
        </w:trPr>
        <w:tc>
          <w:tcPr>
            <w:gridSpan w:val="2"/>
          </w:tcPr>
          <w:p w:rsidR="00000000" w:rsidDel="00000000" w:rsidP="00000000" w:rsidRDefault="00000000" w:rsidRPr="00000000" w14:paraId="000000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center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Escuela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Nombre completo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Pablo Andres Gamboa Huechucoy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Plan de Estudio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1446114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Año de ingreso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60" w:before="0" w:line="259" w:lineRule="auto"/>
              <w:ind w:left="0" w:right="0" w:firstLine="0"/>
              <w:jc w:val="both"/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767171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color w:val="767171"/>
                <w:sz w:val="24"/>
                <w:szCs w:val="24"/>
                <w:rtl w:val="0"/>
              </w:rPr>
              <w:t xml:space="preserve">2023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10605.0" w:type="dxa"/>
        <w:jc w:val="center"/>
        <w:tblBorders>
          <w:top w:color="bfbfbf" w:space="0" w:sz="4" w:val="single"/>
          <w:left w:color="bfbfbf" w:space="0" w:sz="4" w:val="single"/>
          <w:bottom w:color="bfbfbf" w:space="0" w:sz="4" w:val="single"/>
          <w:right w:color="bfbfbf" w:space="0" w:sz="4" w:val="single"/>
          <w:insideH w:color="bfbfbf" w:space="0" w:sz="4" w:val="single"/>
          <w:insideV w:color="bfbfbf" w:space="0" w:sz="4" w:val="single"/>
        </w:tblBorders>
        <w:tblLayout w:type="fixed"/>
        <w:tblLook w:val="0400"/>
      </w:tblPr>
      <w:tblGrid>
        <w:gridCol w:w="2940"/>
        <w:gridCol w:w="930"/>
        <w:gridCol w:w="900"/>
        <w:gridCol w:w="1020"/>
        <w:gridCol w:w="1155"/>
        <w:gridCol w:w="1260"/>
        <w:gridCol w:w="2400"/>
        <w:tblGridChange w:id="0">
          <w:tblGrid>
            <w:gridCol w:w="2940"/>
            <w:gridCol w:w="930"/>
            <w:gridCol w:w="900"/>
            <w:gridCol w:w="1020"/>
            <w:gridCol w:w="1155"/>
            <w:gridCol w:w="1260"/>
            <w:gridCol w:w="2400"/>
          </w:tblGrid>
        </w:tblGridChange>
      </w:tblGrid>
      <w:tr>
        <w:trPr>
          <w:cantSplit w:val="0"/>
          <w:trHeight w:val="288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Competencias Perfil de egreso</w:t>
            </w:r>
          </w:p>
        </w:tc>
        <w:tc>
          <w:tcPr>
            <w:gridSpan w:val="5"/>
            <w:vAlign w:val="center"/>
          </w:tcPr>
          <w:p w:rsidR="00000000" w:rsidDel="00000000" w:rsidP="00000000" w:rsidRDefault="00000000" w:rsidRPr="00000000" w14:paraId="0000002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Nivel de logro</w:t>
            </w:r>
          </w:p>
        </w:tc>
        <w:tc>
          <w:tcPr>
            <w:vMerge w:val="restart"/>
            <w:vAlign w:val="center"/>
          </w:tcPr>
          <w:p w:rsidR="00000000" w:rsidDel="00000000" w:rsidP="00000000" w:rsidRDefault="00000000" w:rsidRPr="00000000" w14:paraId="0000003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bookmarkStart w:colFirst="0" w:colLast="0" w:name="_paorriswf9wd" w:id="1"/>
            <w:bookmarkEnd w:id="1"/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Comentarios</w:t>
            </w:r>
          </w:p>
        </w:tc>
      </w:tr>
      <w:tr>
        <w:trPr>
          <w:cantSplit w:val="0"/>
          <w:trHeight w:val="870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Excelente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 Alto Dominio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Aceptable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Insuficiente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Dominio no logrado</w:t>
            </w:r>
          </w:p>
        </w:tc>
        <w:tc>
          <w:tcPr>
            <w:vMerge w:val="continue"/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38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de software innovadoras y de calidad, aplicando el ciclo de vida de éste, según las características del proyecto, las mejores prácticas de la industria y sus estándares de calidad.</w:t>
            </w:r>
          </w:p>
        </w:tc>
        <w:tc>
          <w:tcPr/>
          <w:p w:rsidR="00000000" w:rsidDel="00000000" w:rsidP="00000000" w:rsidRDefault="00000000" w:rsidRPr="00000000" w14:paraId="0000003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3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Aprendí a desarrollar soluciones considerando distintas etapas del software, desde el diseño y la programación hasta las pruebas e integración.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generar soluciones que permitan resolver los requerimientos de información en el contexto de las organizaciones, considerando bases de datos relacionales y no relacionales.</w:t>
            </w:r>
          </w:p>
        </w:tc>
        <w:tc>
          <w:tcPr/>
          <w:p w:rsidR="00000000" w:rsidDel="00000000" w:rsidP="00000000" w:rsidRDefault="00000000" w:rsidRPr="00000000" w14:paraId="0000004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Aprendí a trabajar con bases de datos relacionales y no relacionales, principalmente SQL y Firebase, gestionando información según las necesidades de cada proyecto.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6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y adaptar los procesos de ingeniería de requisitos, a través del uso de metodologías de vanguardia y estándares de la industria, para el desarrollo de soluciones TI complejas, innovadoras y de calidad.</w:t>
            </w:r>
          </w:p>
        </w:tc>
        <w:tc>
          <w:tcPr/>
          <w:p w:rsidR="00000000" w:rsidDel="00000000" w:rsidP="00000000" w:rsidRDefault="00000000" w:rsidRPr="00000000" w14:paraId="0000004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4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B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Aprendí a identificar necesidades y transformarlas en requerimientos y funcionalidades para una solución de software.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4D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Evaluar y gestionar proyectos en su área de especialización profesional, durante todo el ciclo de vida, de acuerdo a buenas prácticas y utilizando metodologías y herramientas de software, para cumplir con los requerimientos de la organización en contextos tradicionales y ágiles.</w:t>
            </w:r>
          </w:p>
        </w:tc>
        <w:tc>
          <w:tcPr/>
          <w:p w:rsidR="00000000" w:rsidDel="00000000" w:rsidP="00000000" w:rsidRDefault="00000000" w:rsidRPr="00000000" w14:paraId="0000004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3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Aprendí a organizar proyectos mediante planificación, distribución de tareas, seguimiento de avances y trabajo en equipo.</w:t>
            </w:r>
          </w:p>
        </w:tc>
      </w:tr>
      <w:tr>
        <w:trPr>
          <w:cantSplit w:val="0"/>
          <w:trHeight w:val="591" w:hRule="atLeast"/>
          <w:tblHeader w:val="0"/>
        </w:trPr>
        <w:tc>
          <w:tcPr/>
          <w:p w:rsidR="00000000" w:rsidDel="00000000" w:rsidP="00000000" w:rsidRDefault="00000000" w:rsidRPr="00000000" w14:paraId="00000054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Diseñar soluciones de software, abarcando todo el ciclo de vida de éste, de acuerdo a estándares, marcos de trabajo y regulatorios, tecnologías y metodologías que promueven la innovación, con foco en la calidad, seguridad y sostenibilidad del proyecto.</w:t>
            </w:r>
          </w:p>
        </w:tc>
        <w:tc>
          <w:tcPr/>
          <w:p w:rsidR="00000000" w:rsidDel="00000000" w:rsidP="00000000" w:rsidRDefault="00000000" w:rsidRPr="00000000" w14:paraId="00000055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7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8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9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A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Aprendí a diseñar soluciones considerando arquitectura, separación de responsabilidades, bases de datos, seguridad y mantenibilidad.</w:t>
            </w:r>
          </w:p>
        </w:tc>
      </w:tr>
      <w:tr>
        <w:trPr>
          <w:cantSplit w:val="0"/>
          <w:trHeight w:val="576" w:hRule="atLeast"/>
          <w:tblHeader w:val="0"/>
        </w:trPr>
        <w:tc>
          <w:tcPr/>
          <w:p w:rsidR="00000000" w:rsidDel="00000000" w:rsidP="00000000" w:rsidRDefault="00000000" w:rsidRPr="00000000" w14:paraId="0000005B">
            <w:pPr>
              <w:jc w:val="left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Desarrollar proyectos de software innovadores para plataformas y dispositivos móviles, por medio de marcos de trabajo, herramientas de desarrollo, lenguajes de programación y buenas prácticas de la industria del desarrollo de software.</w:t>
            </w:r>
          </w:p>
        </w:tc>
        <w:tc>
          <w:tcPr/>
          <w:p w:rsidR="00000000" w:rsidDel="00000000" w:rsidP="00000000" w:rsidRDefault="00000000" w:rsidRPr="00000000" w14:paraId="0000005C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D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5E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F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0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61">
            <w:pPr>
              <w:jc w:val="center"/>
              <w:rPr>
                <w:b w:val="1"/>
                <w:bCs w:val="1"/>
                <w:sz w:val="18"/>
                <w:szCs w:val="18"/>
              </w:rPr>
            </w:pPr>
            <w:r w:rsidDel="00000000" w:rsidR="00000000" w:rsidRPr="00000000">
              <w:rPr>
                <w:b w:val="1"/>
                <w:bCs w:val="1"/>
                <w:sz w:val="18"/>
                <w:szCs w:val="18"/>
                <w:rtl w:val="0"/>
              </w:rPr>
              <w:t xml:space="preserve">Aprendí a desarrollar aplicaciones web y móviles utilizando HTML, CSS, JavaScript, Angular e Ionic, integrando distintas tecnologías en una misma solución.</w:t>
            </w:r>
          </w:p>
        </w:tc>
      </w:tr>
    </w:tbl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60" w:before="0" w:line="259" w:lineRule="auto"/>
        <w:ind w:left="43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sz w:val="20"/>
          <w:szCs w:val="20"/>
        </w:rPr>
      </w:pPr>
      <w:r w:rsidDel="00000000" w:rsidR="00000000" w:rsidRPr="00000000">
        <w:rPr>
          <w:rtl w:val="0"/>
        </w:rPr>
      </w:r>
    </w:p>
    <w:sectPr>
      <w:headerReference r:id="rId6" w:type="default"/>
      <w:headerReference r:id="rId7" w:type="first"/>
      <w:headerReference r:id="rId8" w:type="even"/>
      <w:footerReference r:id="rId9" w:type="default"/>
      <w:footerReference r:id="rId10" w:type="first"/>
      <w:footerReference r:id="rId11" w:type="even"/>
      <w:pgSz w:h="15840" w:w="12240" w:orient="portrait"/>
      <w:pgMar w:bottom="1134" w:top="1440" w:left="1077" w:right="1077" w:header="567" w:footer="465"/>
      <w:pgNumType w:start="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Noto Sans Symbols">
    <w:embedRegular w:fontKey="{00000000-0000-0000-0000-000000000000}" r:id="rId1" w:subsetted="0"/>
    <w:embedBold w:fontKey="{00000000-0000-0000-0000-000000000000}" r:id="rId2" w:subsetted="0"/>
  </w:font>
  <w:font w:name="Century Gothic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2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3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mc:AlternateContent>
        <mc:Choice Requires="wpg"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"/>
              <a:graphic>
                <a:graphicData uri="http://schemas.microsoft.com/office/word/2010/wordprocessingGroup">
                  <wpg:wgp>
                    <wpg:cNvGrpSpPr/>
                    <wpg:grpSpPr>
                      <a:xfrm>
                        <a:off x="1469325" y="3679975"/>
                        <a:ext cx="7753350" cy="190500"/>
                        <a:chOff x="1469325" y="3679975"/>
                        <a:chExt cx="7753375" cy="195275"/>
                      </a:xfrm>
                    </wpg:grpSpPr>
                    <wpg:grpSp>
                      <wpg:cNvGrpSpPr/>
                      <wpg:grpSpPr>
                        <a:xfrm>
                          <a:off x="1469325" y="3684750"/>
                          <a:ext cx="7753350" cy="190500"/>
                          <a:chOff x="0" y="14970"/>
                          <a:chExt cx="12255" cy="300"/>
                        </a:xfrm>
                      </wpg:grpSpPr>
                      <wps:wsp>
                        <wps:cNvSpPr/>
                        <wps:cNvPr id="3" name="Shape 3"/>
                        <wps:spPr>
                          <a:xfrm>
                            <a:off x="0" y="14970"/>
                            <a:ext cx="12250" cy="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0" w:before="0" w:line="240"/>
                                <w:ind w:left="0" w:right="0" w:firstLine="0"/>
                                <w:jc w:val="left"/>
                                <w:textDirection w:val="btLr"/>
                              </w:pPr>
                            </w:p>
                          </w:txbxContent>
                        </wps:txbx>
                        <wps:bodyPr anchorCtr="0" anchor="ctr" bIns="91425" lIns="91425" spcFirstLastPara="1" rIns="91425" wrap="square" tIns="91425">
                          <a:noAutofit/>
                        </wps:bodyPr>
                      </wps:wsp>
                      <wps:wsp>
                        <wps:cNvSpPr/>
                        <wps:cNvPr id="4" name="Shape 4"/>
                        <wps:spPr>
                          <a:xfrm>
                            <a:off x="10803" y="14982"/>
                            <a:ext cx="659" cy="28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:rsidR="00000000" w:rsidDel="00000000" w:rsidP="00000000" w:rsidRDefault="00000000" w:rsidRPr="00000000">
                              <w:pPr>
                                <w:spacing w:after="160" w:before="0" w:line="258.99999618530273"/>
                                <w:ind w:left="0" w:right="0" w:firstLine="0"/>
                                <w:jc w:val="center"/>
                                <w:textDirection w:val="btLr"/>
                              </w:pPr>
                              <w:r w:rsidDel="00000000" w:rsidR="00000000" w:rsidRPr="00000000">
                                <w:rPr>
                                  <w:rFonts w:ascii="Calibri" w:cs="Calibri" w:eastAsia="Calibri" w:hAnsi="Calibri"/>
                                  <w:b w:val="0"/>
                                  <w:i w:val="0"/>
                                  <w:smallCaps w:val="0"/>
                                  <w:strike w:val="0"/>
                                  <w:color w:val="8c8c8c"/>
                                  <w:sz w:val="22"/>
                                  <w:vertAlign w:val="baseline"/>
                                </w:rPr>
                                <w:t xml:space="preserve">0</w:t>
                              </w:r>
                            </w:p>
                          </w:txbxContent>
                        </wps:txbx>
                        <wps:bodyPr anchorCtr="0" anchor="t" bIns="0" lIns="0" spcFirstLastPara="1" rIns="0" wrap="square" tIns="0">
                          <a:noAutofit/>
                        </wps:bodyPr>
                      </wps:wsp>
                      <wpg:grpSp>
                        <wpg:cNvGrpSpPr/>
                        <wpg:grpSpPr>
                          <a:xfrm flipH="1">
                            <a:off x="0" y="14970"/>
                            <a:ext cx="12255" cy="230"/>
                            <a:chOff x="-8" y="14978"/>
                            <a:chExt cx="12255" cy="230"/>
                          </a:xfrm>
                        </wpg:grpSpPr>
                        <wps:wsp>
                          <wps:cNvCnPr/>
                          <wps:spPr>
                            <a:xfrm flipH="1" rot="10800000">
                              <a:off x="-8" y="14978"/>
                              <a:ext cx="1260" cy="230"/>
                            </a:xfrm>
                            <a:prstGeom prst="bentConnector3">
                              <a:avLst>
                                <a:gd fmla="val 923254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  <wps:wsp>
                          <wps:cNvCnPr/>
                          <wps:spPr>
                            <a:xfrm rot="10800000">
                              <a:off x="1252" y="14978"/>
                              <a:ext cx="10995" cy="230"/>
                            </a:xfrm>
                            <a:prstGeom prst="bentConnector3">
                              <a:avLst>
                                <a:gd fmla="val 14609" name="adj1"/>
                              </a:avLst>
                            </a:prstGeom>
                            <a:noFill/>
                            <a:ln cap="flat" cmpd="sng" w="9525">
                              <a:solidFill>
                                <a:srgbClr val="A5A5A5"/>
                              </a:solidFill>
                              <a:prstDash val="solid"/>
                              <a:miter lim="8000"/>
                              <a:headEnd len="med" w="med" type="none"/>
                              <a:tailEnd len="med" w="med" type="none"/>
                            </a:ln>
                          </wps:spPr>
                          <wps:bodyPr anchorCtr="0" anchor="ctr" bIns="91425" lIns="91425" spcFirstLastPara="1" rIns="91425" wrap="square" tIns="91425">
                            <a:noAutofit/>
                          </wps:bodyPr>
                        </wps:wsp>
                      </wpg:grpSp>
                    </wpg:grpSp>
                  </wpg:wgp>
                </a:graphicData>
              </a:graphic>
            </wp:anchor>
          </w:drawing>
        </mc:Choice>
        <mc:Fallback>
          <w:drawing>
            <wp:anchor allowOverlap="1" behindDoc="0" distB="0" distT="0" distL="114300" distR="114300" hidden="0" layoutInCell="1" locked="0" relativeHeight="0" simplePos="0">
              <wp:simplePos x="0" y="0"/>
              <wp:positionH relativeFrom="column">
                <wp:posOffset>-683894</wp:posOffset>
              </wp:positionH>
              <wp:positionV relativeFrom="paragraph">
                <wp:posOffset>0</wp:posOffset>
              </wp:positionV>
              <wp:extent cx="7753350" cy="190500"/>
              <wp:effectExtent b="0" l="0" r="0" t="0"/>
              <wp:wrapNone/>
              <wp:docPr id="1" name="image4.png"/>
              <a:graphic>
                <a:graphicData uri="http://schemas.openxmlformats.org/drawingml/2006/picture">
                  <pic:pic>
                    <pic:nvPicPr>
                      <pic:cNvPr id="0" name="image4.png"/>
                      <pic:cNvPicPr preferRelativeResize="0"/>
                    </pic:nvPicPr>
                    <pic:blipFill>
                      <a:blip r:embed="rId1"/>
                      <a:srcRect/>
                      <a:stretch>
                        <a:fillRect/>
                      </a:stretch>
                    </pic:blipFill>
                    <pic:spPr>
                      <a:xfrm>
                        <a:off x="0" y="0"/>
                        <a:ext cx="7753350" cy="190500"/>
                      </a:xfrm>
                      <a:prstGeom prst="rect"/>
                      <a:ln/>
                    </pic:spPr>
                  </pic:pic>
                </a:graphicData>
              </a:graphic>
            </wp:anchor>
          </w:drawing>
        </mc:Fallback>
      </mc:AlternateContent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4"/>
      <w:tblW w:w="10086.0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6720"/>
      <w:gridCol w:w="3366"/>
      <w:tblGridChange w:id="0">
        <w:tblGrid>
          <w:gridCol w:w="6720"/>
          <w:gridCol w:w="3366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6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Autoevaluación de Competencias</w:t>
          </w:r>
        </w:p>
        <w:p w:rsidR="00000000" w:rsidDel="00000000" w:rsidP="00000000" w:rsidRDefault="00000000" w:rsidRPr="00000000" w14:paraId="00000067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Fase 1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8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/>
            <w:drawing>
              <wp:inline distB="0" distT="0" distL="0" distR="0">
                <wp:extent cx="1996440" cy="428625"/>
                <wp:effectExtent b="0" l="0" r="0" t="0"/>
                <wp:docPr descr="http://www.duoc.cl/normasgraficas/normasgraficas/marca-duoc/6logo-fondo-transparente/fondo-transparente.png" id="2" name="image1.png"/>
                <a:graphic>
                  <a:graphicData uri="http://schemas.openxmlformats.org/drawingml/2006/picture">
                    <pic:pic>
                      <pic:nvPicPr>
                        <pic:cNvPr descr="http://www.duoc.cl/normasgraficas/normasgraficas/marca-duoc/6logo-fondo-transparente/fondo-transparente.png" id="0" name="image1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96440" cy="42862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69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5"/>
      <w:tblW w:w="10086.000000000002" w:type="dxa"/>
      <w:jc w:val="left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400"/>
    </w:tblPr>
    <w:tblGrid>
      <w:gridCol w:w="787"/>
      <w:gridCol w:w="5941"/>
      <w:gridCol w:w="3358"/>
      <w:tblGridChange w:id="0">
        <w:tblGrid>
          <w:gridCol w:w="787"/>
          <w:gridCol w:w="5941"/>
          <w:gridCol w:w="3358"/>
        </w:tblGrid>
      </w:tblGridChange>
    </w:tblGrid>
    <w:tr>
      <w:trPr>
        <w:cantSplit w:val="0"/>
        <w:trHeight w:val="1091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B">
          <w:pPr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363448" cy="578253"/>
                <wp:effectExtent b="0" l="0" r="0" t="0"/>
                <wp:docPr id="4" name="image3.png"/>
                <a:graphic>
                  <a:graphicData uri="http://schemas.openxmlformats.org/drawingml/2006/picture">
                    <pic:pic>
                      <pic:nvPicPr>
                        <pic:cNvPr id="0" name="image3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63448" cy="578253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6C">
          <w:pPr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color w:val="1d2763"/>
              <w:sz w:val="24"/>
              <w:szCs w:val="24"/>
              <w:rtl w:val="0"/>
            </w:rPr>
            <w:t xml:space="preserve">PTR7862</w:t>
          </w:r>
        </w:p>
        <w:p w:rsidR="00000000" w:rsidDel="00000000" w:rsidP="00000000" w:rsidRDefault="00000000" w:rsidRPr="00000000" w14:paraId="0000006D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Técnico en Geomática</w:t>
          </w:r>
        </w:p>
        <w:p w:rsidR="00000000" w:rsidDel="00000000" w:rsidP="00000000" w:rsidRDefault="00000000" w:rsidRPr="00000000" w14:paraId="0000006E">
          <w:pPr>
            <w:rPr>
              <w:rFonts w:ascii="Century Gothic" w:cs="Century Gothic" w:eastAsia="Century Gothic" w:hAnsi="Century Gothic"/>
              <w:color w:val="1d2763"/>
              <w:sz w:val="24"/>
              <w:szCs w:val="24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color w:val="1d2763"/>
              <w:sz w:val="24"/>
              <w:szCs w:val="24"/>
              <w:rtl w:val="0"/>
            </w:rPr>
            <w:t xml:space="preserve">Autoevaluación de Competencias – Fase 1</w:t>
          </w:r>
        </w:p>
        <w:p w:rsidR="00000000" w:rsidDel="00000000" w:rsidP="00000000" w:rsidRDefault="00000000" w:rsidRPr="00000000" w14:paraId="0000006F">
          <w:pPr>
            <w:rPr>
              <w:rFonts w:ascii="Century Gothic" w:cs="Century Gothic" w:eastAsia="Century Gothic" w:hAnsi="Century Gothic"/>
              <w:sz w:val="2"/>
              <w:szCs w:val="2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</w:tcPr>
        <w:p w:rsidR="00000000" w:rsidDel="00000000" w:rsidP="00000000" w:rsidRDefault="00000000" w:rsidRPr="00000000" w14:paraId="00000070">
          <w:pPr>
            <w:jc w:val="right"/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</w:pPr>
          <w:r w:rsidDel="00000000" w:rsidR="00000000" w:rsidRPr="00000000">
            <w:rPr>
              <w:rFonts w:ascii="Century Gothic" w:cs="Century Gothic" w:eastAsia="Century Gothic" w:hAnsi="Century Gothic"/>
              <w:b w:val="1"/>
              <w:bCs w:val="1"/>
              <w:sz w:val="30"/>
              <w:szCs w:val="30"/>
            </w:rPr>
            <w:drawing>
              <wp:inline distB="0" distT="0" distL="0" distR="0">
                <wp:extent cx="1908834" cy="470407"/>
                <wp:effectExtent b="0" l="0" r="0" t="0"/>
                <wp:docPr id="3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2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908834" cy="470407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71"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419"/>
        <w:tab w:val="right" w:leader="none" w:pos="8838"/>
      </w:tabs>
      <w:spacing w:after="0" w:before="0" w:line="240" w:lineRule="auto"/>
      <w:ind w:left="0" w:right="0" w:firstLine="0"/>
      <w:jc w:val="right"/>
      <w:rPr>
        <w:rFonts w:ascii="Calibri" w:cs="Calibri" w:eastAsia="Calibri" w:hAnsi="Calibri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0"/>
      <w:numFmt w:val="bullet"/>
      <w:lvlText w:val="-"/>
      <w:lvlJc w:val="left"/>
      <w:pPr>
        <w:ind w:left="795" w:hanging="360"/>
      </w:pPr>
      <w:rPr>
        <w:rFonts w:ascii="Calibri" w:cs="Calibri" w:eastAsia="Calibri" w:hAnsi="Calibri"/>
      </w:rPr>
    </w:lvl>
    <w:lvl w:ilvl="1">
      <w:start w:val="1"/>
      <w:numFmt w:val="bullet"/>
      <w:lvlText w:val="o"/>
      <w:lvlJc w:val="left"/>
      <w:pPr>
        <w:ind w:left="1515" w:hanging="360"/>
      </w:pPr>
      <w:rPr>
        <w:rFonts w:ascii="Courier New" w:cs="Courier New" w:eastAsia="Courier New" w:hAnsi="Courier New"/>
      </w:rPr>
    </w:lvl>
    <w:lvl w:ilvl="2">
      <w:start w:val="1"/>
      <w:numFmt w:val="bullet"/>
      <w:lvlText w:val="▪"/>
      <w:lvlJc w:val="left"/>
      <w:pPr>
        <w:ind w:left="2235" w:hanging="360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955" w:hanging="360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o"/>
      <w:lvlJc w:val="left"/>
      <w:pPr>
        <w:ind w:left="3675" w:hanging="360"/>
      </w:pPr>
      <w:rPr>
        <w:rFonts w:ascii="Courier New" w:cs="Courier New" w:eastAsia="Courier New" w:hAnsi="Courier New"/>
      </w:rPr>
    </w:lvl>
    <w:lvl w:ilvl="5">
      <w:start w:val="1"/>
      <w:numFmt w:val="bullet"/>
      <w:lvlText w:val="▪"/>
      <w:lvlJc w:val="left"/>
      <w:pPr>
        <w:ind w:left="4395" w:hanging="360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5115" w:hanging="360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o"/>
      <w:lvlJc w:val="left"/>
      <w:pPr>
        <w:ind w:left="5835" w:hanging="360"/>
      </w:pPr>
      <w:rPr>
        <w:rFonts w:ascii="Courier New" w:cs="Courier New" w:eastAsia="Courier New" w:hAnsi="Courier New"/>
      </w:rPr>
    </w:lvl>
    <w:lvl w:ilvl="8">
      <w:start w:val="1"/>
      <w:numFmt w:val="bullet"/>
      <w:lvlText w:val="▪"/>
      <w:lvlJc w:val="left"/>
      <w:pPr>
        <w:ind w:left="6555" w:hanging="360"/>
      </w:pPr>
      <w:rPr>
        <w:rFonts w:ascii="Noto Sans Symbols" w:cs="Noto Sans Symbols" w:eastAsia="Noto Sans Symbols" w:hAnsi="Noto Sans Symbol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</w:pPr>
    <w:rPr>
      <w:rFonts w:ascii="Calibri" w:cs="Calibri" w:eastAsia="Calibri" w:hAnsi="Calibri"/>
      <w:color w:val="2e75b5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2e75b5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40" w:lineRule="auto"/>
    </w:pPr>
    <w:rPr>
      <w:rFonts w:ascii="Calibri" w:cs="Calibri" w:eastAsia="Calibri" w:hAnsi="Calibri"/>
      <w:color w:val="1e4d78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spacing w:after="0" w:line="240" w:lineRule="auto"/>
    </w:pPr>
    <w:rPr>
      <w:rFonts w:ascii="Calibri" w:cs="Calibri" w:eastAsia="Calibri" w:hAnsi="Calibri"/>
      <w:sz w:val="56"/>
      <w:szCs w:val="56"/>
    </w:rPr>
  </w:style>
  <w:style w:type="paragraph" w:styleId="Subtitle">
    <w:name w:val="Subtitle"/>
    <w:basedOn w:val="Normal"/>
    <w:next w:val="Normal"/>
    <w:pPr>
      <w:spacing w:before="40" w:line="288" w:lineRule="auto"/>
      <w:ind w:left="432" w:right="1080"/>
    </w:pPr>
    <w:rPr>
      <w:rFonts w:ascii="Calibri" w:cs="Calibri" w:eastAsia="Calibri" w:hAnsi="Calibri"/>
      <w:smallCaps w:val="1"/>
      <w:color w:val="5b9bd5"/>
      <w:sz w:val="56"/>
      <w:szCs w:val="56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  <w:tblStylePr w:type="band1Horz">
      <w:tcPr>
        <w:shd w:fill="f2f2f2" w:val="clear"/>
      </w:tcPr>
    </w:tblStylePr>
    <w:tblStylePr w:type="band1Vert">
      <w:tcPr>
        <w:shd w:fill="f2f2f2" w:val="clear"/>
      </w:tcPr>
    </w:tblStylePr>
    <w:tblStylePr w:type="firstCol">
      <w:rPr>
        <w:b w:val="1"/>
        <w:bCs w:val="1"/>
      </w:rPr>
    </w:tblStylePr>
    <w:tblStylePr w:type="firstRow">
      <w:rPr>
        <w:b w:val="1"/>
        <w:bCs w:val="1"/>
      </w:rPr>
    </w:tblStylePr>
    <w:tblStylePr w:type="lastCol">
      <w:rPr>
        <w:b w:val="1"/>
        <w:bCs w:val="1"/>
      </w:rPr>
    </w:tblStylePr>
    <w:tblStylePr w:type="lastRow">
      <w:rPr>
        <w:b w:val="1"/>
        <w:bCs w:val="1"/>
      </w:rPr>
      <w:tcPr>
        <w:tcBorders>
          <w:top w:color="bfbfbf" w:space="0" w:sz="4" w:val="single"/>
        </w:tcBorders>
      </w:tcPr>
    </w:tblStylePr>
  </w:style>
  <w:style w:type="table" w:styleId="Table3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footer" Target="footer3.xml"/><Relationship Id="rId9" Type="http://schemas.openxmlformats.org/officeDocument/2006/relationships/footer" Target="footer2.xml"/><Relationship Id="rId5" Type="http://schemas.openxmlformats.org/officeDocument/2006/relationships/styles" Target="styles.xml"/><Relationship Id="rId6" Type="http://schemas.openxmlformats.org/officeDocument/2006/relationships/header" Target="header2.xml"/><Relationship Id="rId7" Type="http://schemas.openxmlformats.org/officeDocument/2006/relationships/header" Target="header3.xml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Relationship Id="rId3" Type="http://schemas.openxmlformats.org/officeDocument/2006/relationships/font" Target="fonts/CenturyGothic-regular.ttf"/><Relationship Id="rId4" Type="http://schemas.openxmlformats.org/officeDocument/2006/relationships/font" Target="fonts/CenturyGothic-bold.ttf"/><Relationship Id="rId5" Type="http://schemas.openxmlformats.org/officeDocument/2006/relationships/font" Target="fonts/CenturyGothic-italic.ttf"/><Relationship Id="rId6" Type="http://schemas.openxmlformats.org/officeDocument/2006/relationships/font" Target="fonts/CenturyGothic-boldItalic.ttf"/></Relationships>
</file>

<file path=word/_rels/footer2.xml.rels><?xml version="1.0" encoding="UTF-8" standalone="yes"?><Relationships xmlns="http://schemas.openxmlformats.org/package/2006/relationships"><Relationship Id="rId1" Type="http://schemas.openxmlformats.org/officeDocument/2006/relationships/image" Target="media/image4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<Relationships xmlns="http://schemas.openxmlformats.org/package/2006/relationships"><Relationship Id="rId1" Type="http://schemas.openxmlformats.org/officeDocument/2006/relationships/image" Target="media/image3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>_NewReviewCycle</vt:lpwstr>
  </property>
  <property fmtid="{D5CDD505-2E9C-101B-9397-08002B2CF9AE}" pid="3" name="ContentTypeId">
    <vt:lpwstr>0x010100E96778489EE7714D8BD12CC105EB918B</vt:lpwstr>
  </property>
</Properties>
</file>