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jc w:val="end"/>
        <w:rPr/>
      </w:pPr>
      <w:r>
        <w:rPr/>
        <w:t>Molinari, Córdoba. Mayo 2026</w:t>
      </w:r>
    </w:p>
    <w:p>
      <w:pPr>
        <w:pStyle w:val="Heading1"/>
        <w:bidi w:val="0"/>
        <w:spacing w:before="0" w:after="0"/>
        <w:jc w:val="start"/>
        <w:rPr/>
      </w:pPr>
      <w:r>
        <w:rPr>
          <w:sz w:val="28"/>
          <w:szCs w:val="28"/>
        </w:rPr>
        <w:t>Propuesta Técnica</w:t>
      </w:r>
      <w:r>
        <w:rPr/>
        <w:br/>
        <w:t>- Sistema de Monitoreo Remoto de Niveles y semiautomatización del bombeo</w:t>
      </w:r>
    </w:p>
    <w:p>
      <w:pPr>
        <w:pStyle w:val="BodyText"/>
        <w:bidi w:val="0"/>
        <w:spacing w:before="0" w:after="0"/>
        <w:jc w:val="start"/>
        <w:rPr/>
      </w:pPr>
      <w:r>
        <w:rPr/>
        <w:t xml:space="preserve">Al Consejo Directivo de la </w:t>
      </w:r>
      <w:r>
        <w:rPr>
          <w:rStyle w:val="Strong"/>
          <w:b w:val="false"/>
          <w:bCs w:val="false"/>
        </w:rPr>
        <w:t>Cooperativa de Provisión de Obras, Agua Potable y Otros Servicios Villa Parque San Jorge Limitada</w:t>
      </w:r>
    </w:p>
    <w:p>
      <w:pPr>
        <w:pStyle w:val="Lneahorizontal"/>
        <w:pBdr>
          <w:bottom w:val="double" w:sz="2" w:space="0" w:color="808080"/>
        </w:pBdr>
        <w:bidi w:val="0"/>
        <w:spacing w:before="0" w:after="112"/>
        <w:jc w:val="start"/>
        <w:rPr/>
      </w:pPr>
      <w:r>
        <w:rPr/>
      </w:r>
    </w:p>
    <w:p>
      <w:pPr>
        <w:pStyle w:val="Heading2"/>
        <w:numPr>
          <w:ilvl w:val="0"/>
          <w:numId w:val="0"/>
        </w:numPr>
        <w:bidi w:val="0"/>
        <w:spacing w:before="51" w:after="0"/>
        <w:ind w:hanging="0" w:start="600" w:end="600"/>
        <w:jc w:val="start"/>
        <w:rPr/>
      </w:pPr>
      <w:r>
        <w:rPr/>
        <w:t>Resumen ejecutivo</w:t>
      </w:r>
    </w:p>
    <w:p>
      <w:pPr>
        <w:pStyle w:val="BodyText"/>
        <w:bidi w:val="0"/>
        <w:spacing w:before="0" w:after="0"/>
        <w:jc w:val="start"/>
        <w:rPr/>
      </w:pPr>
      <w:r>
        <w:rPr/>
        <w:t>La Cooperativa Villa Parque San Jorge gestiona hoy el abastecimiento de agua mediante recorridos físicos para verificar niveles en sus cisternas y accionar manualmente válvulas y bomba principal. Esta propuesta establece un plan por etapas —de bajo riesgo y baja inversión inicial— para dotar a la cooperativa de monitoreo remoto, alertas automáticas y, progresivamente, automatización del bombeo. El punto de partida es un MVP (producto mínino viable) de sensores (Etapa 1) que permitirá visualizar niveles y recibir alarmas sin desplazarse al sitio. Una vez validado el monitoreo, se contempla la independización de la infraestructura digital actualmente hospedada por AlterMundi como paso transversal hacia la soberanía tecnológica de la cooperativa.</w:t>
      </w:r>
    </w:p>
    <w:p>
      <w:pPr>
        <w:pStyle w:val="Lneahorizontal"/>
        <w:pBdr>
          <w:bottom w:val="double" w:sz="2" w:space="0" w:color="808080"/>
        </w:pBdr>
        <w:bidi w:val="0"/>
        <w:spacing w:before="0" w:after="55"/>
        <w:jc w:val="start"/>
        <w:rPr/>
      </w:pPr>
      <w:r>
        <w:rPr/>
      </w:r>
    </w:p>
    <w:p>
      <w:pPr>
        <w:pStyle w:val="Heading2"/>
        <w:numPr>
          <w:ilvl w:val="0"/>
          <w:numId w:val="0"/>
        </w:numPr>
        <w:bidi w:val="0"/>
        <w:spacing w:before="108" w:after="0"/>
        <w:ind w:hanging="0" w:start="600" w:end="600"/>
        <w:jc w:val="start"/>
        <w:rPr/>
      </w:pPr>
      <w:r>
        <w:rPr/>
        <w:t>1. Contexto y diagnóstico</w:t>
      </w:r>
    </w:p>
    <w:p>
      <w:pPr>
        <w:pStyle w:val="BodyText"/>
        <w:bidi w:val="0"/>
        <w:spacing w:before="0" w:after="0"/>
        <w:jc w:val="start"/>
        <w:rPr/>
      </w:pPr>
      <w:r>
        <w:rPr/>
        <w:t>La cooperativa opera con:</w:t>
      </w:r>
    </w:p>
    <w:p>
      <w:pPr>
        <w:pStyle w:val="BodyText"/>
        <w:numPr>
          <w:ilvl w:val="0"/>
          <w:numId w:val="1"/>
        </w:numPr>
        <w:tabs>
          <w:tab w:val="clear" w:pos="1134"/>
          <w:tab w:val="left" w:pos="1309" w:leader="none"/>
        </w:tabs>
        <w:bidi w:val="0"/>
        <w:spacing w:before="0" w:after="0"/>
        <w:ind w:hanging="283" w:start="1309" w:end="600"/>
        <w:jc w:val="start"/>
        <w:rPr/>
      </w:pPr>
      <w:r>
        <w:rPr>
          <w:rStyle w:val="Strong"/>
        </w:rPr>
        <w:t>Dos cisternas</w:t>
      </w:r>
      <w:r>
        <w:rPr/>
        <w:t xml:space="preserve"> que se llenan alternando la posición de válvulas de derivación. </w:t>
      </w:r>
    </w:p>
    <w:p>
      <w:pPr>
        <w:pStyle w:val="BodyText"/>
        <w:numPr>
          <w:ilvl w:val="0"/>
          <w:numId w:val="1"/>
        </w:numPr>
        <w:tabs>
          <w:tab w:val="clear" w:pos="1134"/>
          <w:tab w:val="left" w:pos="1309" w:leader="none"/>
        </w:tabs>
        <w:bidi w:val="0"/>
        <w:spacing w:before="0" w:after="0"/>
        <w:ind w:hanging="283" w:start="1309" w:end="600"/>
        <w:jc w:val="start"/>
        <w:rPr/>
      </w:pPr>
      <w:r>
        <w:rPr>
          <w:rStyle w:val="Strong"/>
        </w:rPr>
        <w:t>Una bomba principal</w:t>
      </w:r>
      <w:r>
        <w:rPr/>
        <w:t xml:space="preserve"> de aproximadamente 3 HP. </w:t>
      </w:r>
    </w:p>
    <w:p>
      <w:pPr>
        <w:pStyle w:val="BodyText"/>
        <w:numPr>
          <w:ilvl w:val="0"/>
          <w:numId w:val="1"/>
        </w:numPr>
        <w:tabs>
          <w:tab w:val="clear" w:pos="1134"/>
          <w:tab w:val="left" w:pos="1309" w:leader="none"/>
        </w:tabs>
        <w:bidi w:val="0"/>
        <w:spacing w:before="0" w:after="0"/>
        <w:ind w:hanging="283" w:start="1309" w:end="600"/>
        <w:jc w:val="start"/>
        <w:rPr/>
      </w:pPr>
      <w:r>
        <w:rPr>
          <w:rStyle w:val="Strong"/>
        </w:rPr>
        <w:t>Múltiples pozos</w:t>
      </w:r>
      <w:r>
        <w:rPr/>
        <w:t xml:space="preserve"> y </w:t>
      </w:r>
      <w:r>
        <w:rPr>
          <w:rStyle w:val="Strong"/>
        </w:rPr>
        <w:t>una toma en río</w:t>
      </w:r>
      <w:r>
        <w:rPr/>
        <w:t xml:space="preserve"> como fuentes de captación. </w:t>
      </w:r>
    </w:p>
    <w:p>
      <w:pPr>
        <w:pStyle w:val="BodyText"/>
        <w:numPr>
          <w:ilvl w:val="0"/>
          <w:numId w:val="1"/>
        </w:numPr>
        <w:tabs>
          <w:tab w:val="clear" w:pos="1134"/>
          <w:tab w:val="left" w:pos="1309" w:leader="none"/>
        </w:tabs>
        <w:bidi w:val="0"/>
        <w:spacing w:before="0" w:after="0"/>
        <w:ind w:hanging="283" w:start="1309" w:end="600"/>
        <w:jc w:val="start"/>
        <w:rPr/>
      </w:pPr>
      <w:r>
        <w:rPr>
          <w:rStyle w:val="Strong"/>
        </w:rPr>
        <w:t>Operación manual:</w:t>
      </w:r>
      <w:r>
        <w:rPr/>
        <w:t xml:space="preserve"> un operario debe desplazarse, observar niveles, mover válvulas y accionar la bomba desde el tablero. </w:t>
      </w:r>
    </w:p>
    <w:p>
      <w:pPr>
        <w:pStyle w:val="BodyText"/>
        <w:bidi w:val="0"/>
        <w:spacing w:before="0" w:after="0"/>
        <w:jc w:val="start"/>
        <w:rPr/>
      </w:pPr>
      <w:r>
        <w:rPr/>
        <w:t>Esta modalidad genera riesgos operativos recurrentes:</w:t>
      </w:r>
    </w:p>
    <w:p>
      <w:pPr>
        <w:pStyle w:val="BodyText"/>
        <w:numPr>
          <w:ilvl w:val="0"/>
          <w:numId w:val="2"/>
        </w:numPr>
        <w:tabs>
          <w:tab w:val="clear" w:pos="1134"/>
          <w:tab w:val="left" w:pos="1309" w:leader="none"/>
        </w:tabs>
        <w:bidi w:val="0"/>
        <w:spacing w:before="0" w:after="0"/>
        <w:ind w:hanging="283" w:start="1309" w:end="600"/>
        <w:jc w:val="start"/>
        <w:rPr/>
      </w:pPr>
      <w:r>
        <w:rPr/>
        <w:t xml:space="preserve">Desbordes por demora en cierre de carga. </w:t>
      </w:r>
    </w:p>
    <w:p>
      <w:pPr>
        <w:pStyle w:val="BodyText"/>
        <w:numPr>
          <w:ilvl w:val="0"/>
          <w:numId w:val="2"/>
        </w:numPr>
        <w:tabs>
          <w:tab w:val="clear" w:pos="1134"/>
          <w:tab w:val="left" w:pos="1309" w:leader="none"/>
        </w:tabs>
        <w:bidi w:val="0"/>
        <w:spacing w:before="0" w:after="0"/>
        <w:ind w:hanging="283" w:start="1309" w:end="600"/>
        <w:jc w:val="start"/>
        <w:rPr/>
      </w:pPr>
      <w:r>
        <w:rPr/>
        <w:t xml:space="preserve">Faltantes por no detección temprana de nivel bajo. </w:t>
      </w:r>
    </w:p>
    <w:p>
      <w:pPr>
        <w:pStyle w:val="BodyText"/>
        <w:numPr>
          <w:ilvl w:val="0"/>
          <w:numId w:val="2"/>
        </w:numPr>
        <w:tabs>
          <w:tab w:val="clear" w:pos="1134"/>
          <w:tab w:val="left" w:pos="1309" w:leader="none"/>
        </w:tabs>
        <w:bidi w:val="0"/>
        <w:spacing w:before="0" w:after="0"/>
        <w:ind w:hanging="283" w:start="1309" w:end="600"/>
        <w:jc w:val="start"/>
        <w:rPr/>
      </w:pPr>
      <w:r>
        <w:rPr/>
        <w:t xml:space="preserve">Golpes de ariete por encendido/apagado brusco de la bomba. </w:t>
      </w:r>
    </w:p>
    <w:p>
      <w:pPr>
        <w:pStyle w:val="BodyText"/>
        <w:numPr>
          <w:ilvl w:val="0"/>
          <w:numId w:val="2"/>
        </w:numPr>
        <w:tabs>
          <w:tab w:val="clear" w:pos="1134"/>
          <w:tab w:val="left" w:pos="1309" w:leader="none"/>
        </w:tabs>
        <w:bidi w:val="0"/>
        <w:spacing w:before="0" w:after="0"/>
        <w:ind w:hanging="283" w:start="1309" w:end="600"/>
        <w:jc w:val="start"/>
        <w:rPr/>
      </w:pPr>
      <w:r>
        <w:rPr/>
        <w:t xml:space="preserve">Desgaste prematuro del motor por funcionamiento continuo al 100 % de potencia. </w:t>
      </w:r>
    </w:p>
    <w:p>
      <w:pPr>
        <w:pStyle w:val="BodyText"/>
        <w:numPr>
          <w:ilvl w:val="0"/>
          <w:numId w:val="2"/>
        </w:numPr>
        <w:tabs>
          <w:tab w:val="clear" w:pos="1134"/>
          <w:tab w:val="left" w:pos="1309" w:leader="none"/>
        </w:tabs>
        <w:bidi w:val="0"/>
        <w:spacing w:before="0" w:after="0"/>
        <w:ind w:hanging="283" w:start="1309" w:end="600"/>
        <w:jc w:val="start"/>
        <w:rPr/>
      </w:pPr>
      <w:r>
        <w:rPr/>
        <w:t xml:space="preserve">Ausencia de registro histórico que permita planificar mantenimientos o negociar tarifas eléctricas. </w:t>
      </w:r>
    </w:p>
    <w:p>
      <w:pPr>
        <w:pStyle w:val="Lneahorizontal"/>
        <w:pBdr>
          <w:bottom w:val="double" w:sz="2" w:space="0" w:color="808080"/>
        </w:pBdr>
        <w:bidi w:val="0"/>
        <w:spacing w:before="0" w:after="0"/>
        <w:jc w:val="start"/>
        <w:rPr/>
      </w:pPr>
      <w:r>
        <w:rPr/>
      </w:r>
    </w:p>
    <w:p>
      <w:pPr>
        <w:pStyle w:val="Heading2"/>
        <w:numPr>
          <w:ilvl w:val="0"/>
          <w:numId w:val="0"/>
        </w:numPr>
        <w:bidi w:val="0"/>
        <w:spacing w:before="108" w:after="0"/>
        <w:ind w:hanging="0" w:start="600" w:end="600"/>
        <w:jc w:val="start"/>
        <w:rPr/>
      </w:pPr>
      <w:r>
        <w:rPr/>
        <w:t>2. Objetivo general</w:t>
      </w:r>
    </w:p>
    <w:p>
      <w:pPr>
        <w:pStyle w:val="BodyText"/>
        <w:bidi w:val="0"/>
        <w:spacing w:before="0" w:after="0"/>
        <w:jc w:val="start"/>
        <w:rPr/>
      </w:pPr>
      <w:r>
        <w:rPr/>
        <w:t>Implementar un sistema de telemetría y control escalable que permita a la cooperativa:</w:t>
      </w:r>
    </w:p>
    <w:p>
      <w:pPr>
        <w:pStyle w:val="BodyText"/>
        <w:numPr>
          <w:ilvl w:val="0"/>
          <w:numId w:val="3"/>
        </w:numPr>
        <w:tabs>
          <w:tab w:val="clear" w:pos="1134"/>
          <w:tab w:val="left" w:pos="1309" w:leader="none"/>
        </w:tabs>
        <w:bidi w:val="0"/>
        <w:spacing w:before="0" w:after="0"/>
        <w:ind w:hanging="283" w:start="1309" w:end="600"/>
        <w:jc w:val="start"/>
        <w:rPr/>
      </w:pPr>
      <w:r>
        <w:rPr/>
        <w:t xml:space="preserve">Conocer el estado de sus cisternas, pozos y válvulas en tiempo real desde un dispositivo móvil. </w:t>
      </w:r>
    </w:p>
    <w:p>
      <w:pPr>
        <w:pStyle w:val="BodyText"/>
        <w:numPr>
          <w:ilvl w:val="0"/>
          <w:numId w:val="3"/>
        </w:numPr>
        <w:tabs>
          <w:tab w:val="clear" w:pos="1134"/>
          <w:tab w:val="left" w:pos="1309" w:leader="none"/>
        </w:tabs>
        <w:bidi w:val="0"/>
        <w:spacing w:before="0" w:after="0"/>
        <w:ind w:hanging="283" w:start="1309" w:end="600"/>
        <w:jc w:val="start"/>
        <w:rPr/>
      </w:pPr>
      <w:r>
        <w:rPr/>
        <w:t xml:space="preserve">Recibir alertas automáticas ante condiciones críticas (nivel alto, nivel bajo, bajo nivel de pozo, etc). </w:t>
      </w:r>
    </w:p>
    <w:p>
      <w:pPr>
        <w:pStyle w:val="BodyText"/>
        <w:numPr>
          <w:ilvl w:val="0"/>
          <w:numId w:val="3"/>
        </w:numPr>
        <w:tabs>
          <w:tab w:val="clear" w:pos="1134"/>
          <w:tab w:val="left" w:pos="1309" w:leader="none"/>
        </w:tabs>
        <w:bidi w:val="0"/>
        <w:spacing w:before="0" w:after="0"/>
        <w:ind w:hanging="283" w:start="1309" w:end="600"/>
        <w:jc w:val="start"/>
        <w:rPr/>
      </w:pPr>
      <w:r>
        <w:rPr/>
        <w:t xml:space="preserve">Automatizar el encendido y apagado de la bomba según niveles programados. </w:t>
      </w:r>
    </w:p>
    <w:p>
      <w:pPr>
        <w:pStyle w:val="BodyText"/>
        <w:numPr>
          <w:ilvl w:val="0"/>
          <w:numId w:val="3"/>
        </w:numPr>
        <w:tabs>
          <w:tab w:val="clear" w:pos="1134"/>
          <w:tab w:val="left" w:pos="1309" w:leader="none"/>
        </w:tabs>
        <w:bidi w:val="0"/>
        <w:spacing w:before="0" w:after="0"/>
        <w:ind w:hanging="283" w:start="1309" w:end="600"/>
        <w:jc w:val="start"/>
        <w:rPr/>
      </w:pPr>
      <w:r>
        <w:rPr/>
        <w:t xml:space="preserve">Optimizar el consumo energético mediante velocidad variable del motor (VFD). </w:t>
      </w:r>
    </w:p>
    <w:p>
      <w:pPr>
        <w:pStyle w:val="BodyText"/>
        <w:numPr>
          <w:ilvl w:val="0"/>
          <w:numId w:val="3"/>
        </w:numPr>
        <w:tabs>
          <w:tab w:val="clear" w:pos="1134"/>
          <w:tab w:val="left" w:pos="1309" w:leader="none"/>
        </w:tabs>
        <w:bidi w:val="0"/>
        <w:spacing w:before="0" w:after="0"/>
        <w:ind w:hanging="283" w:start="1309" w:end="600"/>
        <w:jc w:val="start"/>
        <w:rPr/>
      </w:pPr>
      <w:r>
        <w:rPr/>
        <w:t xml:space="preserve">Garantizar la soberanía de sus datos mediante la migración progresiva a infraestructura propia. </w:t>
      </w:r>
    </w:p>
    <w:p>
      <w:pPr>
        <w:pStyle w:val="Lneahorizontal"/>
        <w:pBdr>
          <w:bottom w:val="double" w:sz="2" w:space="0" w:color="808080"/>
        </w:pBdr>
        <w:bidi w:val="0"/>
        <w:spacing w:before="0" w:after="0"/>
        <w:jc w:val="start"/>
        <w:rPr/>
      </w:pPr>
      <w:r>
        <w:rPr/>
      </w:r>
    </w:p>
    <w:p>
      <w:pPr>
        <w:pStyle w:val="Heading2"/>
        <w:numPr>
          <w:ilvl w:val="0"/>
          <w:numId w:val="0"/>
        </w:numPr>
        <w:bidi w:val="0"/>
        <w:spacing w:before="0" w:after="0"/>
        <w:ind w:hanging="0" w:start="600" w:end="600"/>
        <w:jc w:val="start"/>
        <w:rPr/>
      </w:pPr>
      <w:r>
        <w:rPr/>
        <w:t>3. Filosofía del proyecto</w:t>
      </w:r>
    </w:p>
    <w:p>
      <w:pPr>
        <w:pStyle w:val="BodyText"/>
        <w:bidi w:val="0"/>
        <w:spacing w:before="0" w:after="55"/>
        <w:jc w:val="start"/>
        <w:rPr/>
      </w:pPr>
      <w:r>
        <w:rPr/>
        <w:t>Ninguna etapa requiere una inversión grande de entrada. Cada fase:</w:t>
      </w:r>
    </w:p>
    <w:p>
      <w:pPr>
        <w:pStyle w:val="BodyText"/>
        <w:numPr>
          <w:ilvl w:val="0"/>
          <w:numId w:val="4"/>
        </w:numPr>
        <w:tabs>
          <w:tab w:val="clear" w:pos="1134"/>
          <w:tab w:val="left" w:pos="1309" w:leader="none"/>
        </w:tabs>
        <w:bidi w:val="0"/>
        <w:spacing w:before="0" w:after="0"/>
        <w:ind w:hanging="283" w:start="1309" w:end="600"/>
        <w:jc w:val="start"/>
        <w:rPr/>
      </w:pPr>
      <w:r>
        <w:rPr/>
        <w:t xml:space="preserve">Resuelve un problema concreto y medible. </w:t>
      </w:r>
    </w:p>
    <w:p>
      <w:pPr>
        <w:pStyle w:val="BodyText"/>
        <w:numPr>
          <w:ilvl w:val="0"/>
          <w:numId w:val="4"/>
        </w:numPr>
        <w:tabs>
          <w:tab w:val="clear" w:pos="1134"/>
          <w:tab w:val="left" w:pos="1309" w:leader="none"/>
        </w:tabs>
        <w:bidi w:val="0"/>
        <w:spacing w:before="0" w:after="0"/>
        <w:ind w:hanging="283" w:start="1309" w:end="600"/>
        <w:jc w:val="start"/>
        <w:rPr/>
      </w:pPr>
      <w:r>
        <w:rPr/>
        <w:t xml:space="preserve">Tiene un costo acotado. </w:t>
      </w:r>
    </w:p>
    <w:p>
      <w:pPr>
        <w:pStyle w:val="BodyText"/>
        <w:numPr>
          <w:ilvl w:val="0"/>
          <w:numId w:val="4"/>
        </w:numPr>
        <w:tabs>
          <w:tab w:val="clear" w:pos="1134"/>
          <w:tab w:val="left" w:pos="1309" w:leader="none"/>
        </w:tabs>
        <w:bidi w:val="0"/>
        <w:spacing w:before="0" w:after="0"/>
        <w:ind w:hanging="283" w:start="1309" w:end="600"/>
        <w:jc w:val="start"/>
        <w:rPr/>
      </w:pPr>
      <w:r>
        <w:rPr/>
        <w:t xml:space="preserve">Genera ahorros u horas liberadas que justifican la siguiente inversión. </w:t>
      </w:r>
    </w:p>
    <w:p>
      <w:pPr>
        <w:pStyle w:val="BodyText"/>
        <w:numPr>
          <w:ilvl w:val="0"/>
          <w:numId w:val="4"/>
        </w:numPr>
        <w:tabs>
          <w:tab w:val="clear" w:pos="1134"/>
          <w:tab w:val="left" w:pos="1309" w:leader="none"/>
        </w:tabs>
        <w:bidi w:val="0"/>
        <w:spacing w:before="0" w:after="0"/>
        <w:ind w:hanging="283" w:start="1309" w:end="600"/>
        <w:jc w:val="start"/>
        <w:rPr/>
      </w:pPr>
      <w:r>
        <w:rPr/>
        <w:t xml:space="preserve">Produce datos reales para tomar decisiones informadas. </w:t>
      </w:r>
    </w:p>
    <w:p>
      <w:pPr>
        <w:pStyle w:val="Lneahorizontal"/>
        <w:pBdr>
          <w:bottom w:val="double" w:sz="2" w:space="0" w:color="808080"/>
        </w:pBdr>
        <w:bidi w:val="0"/>
        <w:spacing w:before="0" w:after="55"/>
        <w:jc w:val="start"/>
        <w:rPr/>
      </w:pPr>
      <w:r>
        <w:rPr/>
      </w:r>
    </w:p>
    <w:p>
      <w:pPr>
        <w:pStyle w:val="Heading2"/>
        <w:numPr>
          <w:ilvl w:val="0"/>
          <w:numId w:val="0"/>
        </w:numPr>
        <w:bidi w:val="0"/>
        <w:spacing w:before="0" w:after="0"/>
        <w:ind w:hanging="0" w:start="600" w:end="600"/>
        <w:jc w:val="start"/>
        <w:rPr/>
      </w:pPr>
      <w:r>
        <w:rPr/>
        <w:t>4. Etapas de implementación</w:t>
      </w:r>
    </w:p>
    <w:p>
      <w:pPr>
        <w:pStyle w:val="Heading3"/>
        <w:numPr>
          <w:ilvl w:val="0"/>
          <w:numId w:val="0"/>
        </w:numPr>
        <w:bidi w:val="0"/>
        <w:spacing w:before="0" w:after="0"/>
        <w:ind w:hanging="0" w:start="600" w:end="600"/>
        <w:jc w:val="start"/>
        <w:rPr/>
      </w:pPr>
      <w:r>
        <w:rPr/>
        <w:t>Etapa 1: Saber qué hay — MVP de monitoreo de niveles</w:t>
      </w:r>
    </w:p>
    <w:p>
      <w:pPr>
        <w:pStyle w:val="BodyText"/>
        <w:bidi w:val="0"/>
        <w:spacing w:before="0" w:after="0"/>
        <w:jc w:val="start"/>
        <w:rPr/>
      </w:pPr>
      <w:r>
        <w:rPr>
          <w:rStyle w:val="Strong"/>
        </w:rPr>
        <w:t>Duración estimada:</w:t>
      </w:r>
      <w:r>
        <w:rPr/>
        <w:t xml:space="preserve"> 15 a 30 días desde aprobación.</w:t>
      </w:r>
    </w:p>
    <w:p>
      <w:pPr>
        <w:pStyle w:val="BodyText"/>
        <w:bidi w:val="0"/>
        <w:spacing w:before="0" w:after="0"/>
        <w:jc w:val="start"/>
        <w:rPr/>
      </w:pPr>
      <w:r>
        <w:rPr/>
        <w:t>Se instalan sensores ultrasónicos de nivel en las dos cisternas, conectados a un microcontrolador ESP32 con conectividad WiFi. Los datos se visualizan en un panel web (Grafana) con alarmas por Telegram.</w:t>
        <w:br/>
      </w:r>
      <w:r>
        <w:rPr>
          <w:b/>
          <w:bCs/>
        </w:rPr>
        <w:t>Notas complementarias:</w:t>
      </w:r>
      <w:r>
        <w:rPr>
          <w:b w:val="false"/>
          <w:bCs w:val="false"/>
        </w:rPr>
        <w:t xml:space="preserve"> El dispositivo opera con un perfil de 120mWh (milésimas de Watt por hora) en modo bajo consumo con picos de 0.14A durante ciclos de lectura y transmisión de datos (intervalo programable). Se proveerá una batería auxiliar para la fase de prueba de concepto, evaluando la viabilidad del sistema durante el período de puesta en marcha.</w:t>
        <w:br/>
        <w:t>Se requiere resolver por parte de la cooperativa el suministro eléctrico de este sistema.</w:t>
      </w:r>
    </w:p>
    <w:p>
      <w:pPr>
        <w:pStyle w:val="BodyText"/>
        <w:bidi w:val="0"/>
        <w:spacing w:before="0" w:after="0"/>
        <w:jc w:val="start"/>
        <w:rPr/>
      </w:pPr>
      <w:r>
        <w:rPr>
          <w:rStyle w:val="Strong"/>
        </w:rPr>
        <w:t>Resultado esperado:</w:t>
      </w:r>
      <w:r>
        <w:rPr/>
        <w:t xml:space="preserve"> El consejo directivo y el operario pueden ver el nivel de ambas cisternas desde un celular, recibir alertas ante desbordes o vaciamientos, y disponer de un historial de consumo de los primeros 30 días.</w:t>
      </w:r>
    </w:p>
    <w:p>
      <w:pPr>
        <w:pStyle w:val="BodyText"/>
        <w:bidi w:val="0"/>
        <w:spacing w:before="0" w:after="0"/>
        <w:jc w:val="start"/>
        <w:rPr/>
      </w:pPr>
      <w:r>
        <w:rPr>
          <w:rStyle w:val="Strong"/>
        </w:rPr>
        <w:t>Inversión aproximada:</w:t>
      </w:r>
      <w:r>
        <w:rPr/>
        <w:t xml:space="preserve"> Ver Anexo A.</w:t>
      </w:r>
    </w:p>
    <w:p>
      <w:pPr>
        <w:pStyle w:val="Lneahorizontal"/>
        <w:pBdr>
          <w:bottom w:val="double" w:sz="2" w:space="0" w:color="808080"/>
        </w:pBdr>
        <w:bidi w:val="0"/>
        <w:spacing w:before="0" w:after="0"/>
        <w:jc w:val="start"/>
        <w:rPr/>
      </w:pPr>
      <w:r>
        <w:rPr/>
      </w:r>
    </w:p>
    <w:p>
      <w:pPr>
        <w:pStyle w:val="Heading3"/>
        <w:numPr>
          <w:ilvl w:val="0"/>
          <w:numId w:val="0"/>
        </w:numPr>
        <w:bidi w:val="0"/>
        <w:spacing w:before="15" w:after="0"/>
        <w:ind w:hanging="0" w:start="600" w:end="600"/>
        <w:jc w:val="start"/>
        <w:rPr/>
      </w:pPr>
      <w:r>
        <w:rPr/>
        <w:t>Etapa 2: Ver todo — Pozos, válvulas y caudal</w:t>
      </w:r>
    </w:p>
    <w:p>
      <w:pPr>
        <w:pStyle w:val="BodyText"/>
        <w:bidi w:val="0"/>
        <w:spacing w:before="0" w:after="0"/>
        <w:jc w:val="start"/>
        <w:rPr/>
      </w:pPr>
      <w:r>
        <w:rPr>
          <w:rStyle w:val="Strong"/>
        </w:rPr>
        <w:t>Duración estimada:</w:t>
      </w:r>
      <w:r>
        <w:rPr/>
        <w:t xml:space="preserve"> 1 mes.</w:t>
      </w:r>
    </w:p>
    <w:p>
      <w:pPr>
        <w:pStyle w:val="BodyText"/>
        <w:bidi w:val="0"/>
        <w:spacing w:before="0" w:after="0"/>
        <w:jc w:val="start"/>
        <w:rPr/>
      </w:pPr>
      <w:r>
        <w:rPr/>
        <w:t>Se extiende el monitoreo al pozo activo (nivel) y se agrega sensores de posición en las válvulas de derivación para confirmar su estado (abierta/cerrada). Opcionalmente se instala un sensor de caudal en la línea principal para detectar fugas o roturas.</w:t>
      </w:r>
    </w:p>
    <w:p>
      <w:pPr>
        <w:pStyle w:val="BodyText"/>
        <w:bidi w:val="0"/>
        <w:spacing w:before="0" w:after="0"/>
        <w:jc w:val="start"/>
        <w:rPr/>
      </w:pPr>
      <w:r>
        <w:rPr>
          <w:rStyle w:val="Strong"/>
        </w:rPr>
        <w:t>Resultado esperado:</w:t>
      </w:r>
      <w:r>
        <w:rPr/>
        <w:t xml:space="preserve"> Se conoce el nivel del pozo antes de que quede sin agua; se detecta si una válvula quedó en posición incorrecta; se mide el caudal real de entrada y salida.</w:t>
      </w:r>
    </w:p>
    <w:p>
      <w:pPr>
        <w:pStyle w:val="BodyText"/>
        <w:bidi w:val="0"/>
        <w:spacing w:before="0" w:after="0"/>
        <w:jc w:val="start"/>
        <w:rPr/>
      </w:pPr>
      <w:r>
        <w:rPr>
          <w:rStyle w:val="Strong"/>
        </w:rPr>
        <w:t>Inversión aproximada:</w:t>
      </w:r>
      <w:r>
        <w:rPr/>
        <w:t xml:space="preserve"> Ver Anexo B.</w:t>
      </w:r>
    </w:p>
    <w:p>
      <w:pPr>
        <w:pStyle w:val="Lneahorizontal"/>
        <w:pBdr>
          <w:bottom w:val="double" w:sz="2" w:space="0" w:color="808080"/>
        </w:pBdr>
        <w:bidi w:val="0"/>
        <w:spacing w:before="0" w:after="55"/>
        <w:jc w:val="start"/>
        <w:rPr/>
      </w:pPr>
      <w:r>
        <w:rPr/>
      </w:r>
    </w:p>
    <w:p>
      <w:pPr>
        <w:pStyle w:val="Heading3"/>
        <w:numPr>
          <w:ilvl w:val="0"/>
          <w:numId w:val="0"/>
        </w:numPr>
        <w:bidi w:val="0"/>
        <w:spacing w:before="0" w:after="0"/>
        <w:ind w:hanging="0" w:start="600" w:end="600"/>
        <w:jc w:val="start"/>
        <w:rPr/>
      </w:pPr>
      <w:r>
        <w:rPr/>
        <w:t>Etapa 3: Dejar de ir a prender — Automatización on/off</w:t>
      </w:r>
    </w:p>
    <w:p>
      <w:pPr>
        <w:pStyle w:val="BodyText"/>
        <w:bidi w:val="0"/>
        <w:spacing w:before="0" w:after="0"/>
        <w:jc w:val="start"/>
        <w:rPr/>
      </w:pPr>
      <w:r>
        <w:rPr>
          <w:rStyle w:val="Strong"/>
        </w:rPr>
        <w:t>Duración estimada:</w:t>
      </w:r>
      <w:r>
        <w:rPr/>
        <w:t xml:space="preserve"> 2 a 3 semanas.</w:t>
      </w:r>
    </w:p>
    <w:p>
      <w:pPr>
        <w:pStyle w:val="BodyText"/>
        <w:widowControl w:val="false"/>
        <w:suppressAutoHyphens w:val="true"/>
        <w:overflowPunct w:val="false"/>
        <w:bidi w:val="0"/>
        <w:spacing w:lineRule="auto" w:line="360" w:before="0" w:after="0"/>
        <w:ind w:hanging="0" w:start="624" w:end="624"/>
        <w:jc w:val="start"/>
        <w:rPr/>
      </w:pPr>
      <w:r>
        <w:rPr/>
        <w:t>Se incorpora un relé industrial para el comando de la bomba y se programa la lógica de control en el ESP32: arranque automático cuando una cisterna desciende por debajo del 30 %, parada al alcanzar el 90 %, e inhibición de arranque si el pozo está por debajo de su nivel mínimo.</w:t>
      </w:r>
    </w:p>
    <w:p>
      <w:pPr>
        <w:pStyle w:val="BodyText"/>
        <w:bidi w:val="0"/>
        <w:spacing w:before="0" w:after="0"/>
        <w:jc w:val="start"/>
        <w:rPr/>
      </w:pPr>
      <w:r>
        <w:rPr>
          <w:rStyle w:val="Strong"/>
        </w:rPr>
        <w:t>Resultado esperado:</w:t>
      </w:r>
      <w:r>
        <w:rPr/>
        <w:t xml:space="preserve"> El operario deja de desplazarse para encender y apagar la bomba; se protege la bomba contra marcha en seco; se pueden programar horarios de preferencia (por ejemplo, no arrancar en horario nocturno si no es urgente).</w:t>
      </w:r>
    </w:p>
    <w:p>
      <w:pPr>
        <w:pStyle w:val="BodyText"/>
        <w:bidi w:val="0"/>
        <w:spacing w:before="0" w:after="0"/>
        <w:jc w:val="start"/>
        <w:rPr/>
      </w:pPr>
      <w:r>
        <w:rPr>
          <w:rStyle w:val="Strong"/>
        </w:rPr>
        <w:t>Inversión aproximada:</w:t>
      </w:r>
      <w:r>
        <w:rPr/>
        <w:t xml:space="preserve"> Ver Anexo C.</w:t>
      </w:r>
    </w:p>
    <w:p>
      <w:pPr>
        <w:pStyle w:val="Lneahorizontal"/>
        <w:pBdr>
          <w:bottom w:val="double" w:sz="2" w:space="0" w:color="808080"/>
        </w:pBdr>
        <w:bidi w:val="0"/>
        <w:spacing w:before="0" w:after="0"/>
        <w:jc w:val="start"/>
        <w:rPr/>
      </w:pPr>
      <w:r>
        <w:rPr/>
      </w:r>
    </w:p>
    <w:p>
      <w:pPr>
        <w:pStyle w:val="Heading3"/>
        <w:numPr>
          <w:ilvl w:val="0"/>
          <w:numId w:val="0"/>
        </w:numPr>
        <w:bidi w:val="0"/>
        <w:spacing w:before="0" w:after="0"/>
        <w:ind w:hanging="0" w:start="600" w:end="600"/>
        <w:jc w:val="start"/>
        <w:rPr/>
      </w:pPr>
      <w:r>
        <w:rPr/>
        <w:t>Etapa 4: Bomba inteligente — VFD y presión constante</w:t>
      </w:r>
    </w:p>
    <w:p>
      <w:pPr>
        <w:pStyle w:val="BodyText"/>
        <w:bidi w:val="0"/>
        <w:spacing w:before="0" w:after="0"/>
        <w:jc w:val="start"/>
        <w:rPr/>
      </w:pPr>
      <w:r>
        <w:rPr>
          <w:rStyle w:val="Strong"/>
        </w:rPr>
        <w:t>Duración estimada:</w:t>
      </w:r>
      <w:r>
        <w:rPr/>
        <w:t xml:space="preserve"> 1 mes.</w:t>
      </w:r>
    </w:p>
    <w:p>
      <w:pPr>
        <w:pStyle w:val="BodyText"/>
        <w:bidi w:val="0"/>
        <w:spacing w:before="0" w:after="0"/>
        <w:jc w:val="start"/>
        <w:rPr/>
      </w:pPr>
      <w:r>
        <w:rPr/>
        <w:t>Se instala un variador de frecuencia (VFD) acorde al motor existente (~3 HP) y un sensor de presión en la red de distribución. Un microcontrolador pasa a enviar una referencia de velocidad al VFD, cerrando un lazo de control que mantiene la presión estable dentro del rango de funcionamiento de la bomba, tipicamente del 20 % al 100 % de su velocidad nominal, con posibilidad de sobrefrecuencia hasta el 110–120 % si el VFD y el motor lo permiten.</w:t>
      </w:r>
    </w:p>
    <w:p>
      <w:pPr>
        <w:pStyle w:val="BodyText"/>
        <w:bidi w:val="0"/>
        <w:spacing w:before="0" w:after="0"/>
        <w:jc w:val="start"/>
        <w:rPr/>
      </w:pPr>
      <w:r>
        <w:rPr>
          <w:rStyle w:val="Strong"/>
        </w:rPr>
        <w:t>Resultado esperado:</w:t>
      </w:r>
      <w:r>
        <w:rPr/>
        <w:t xml:space="preserve"> Ahorro energético del 30 % al 50 % en el consumo eléctrico; presión estable en toda la red; arranques suaves que duplican la vida útil del motor; eliminación definitiva de golpes de ariete.</w:t>
      </w:r>
    </w:p>
    <w:p>
      <w:pPr>
        <w:pStyle w:val="BodyText"/>
        <w:bidi w:val="0"/>
        <w:spacing w:before="0" w:after="0"/>
        <w:jc w:val="start"/>
        <w:rPr/>
      </w:pPr>
      <w:r>
        <w:rPr>
          <w:rStyle w:val="Strong"/>
        </w:rPr>
        <w:t>Inversión aproximada:</w:t>
      </w:r>
      <w:r>
        <w:rPr/>
        <w:t xml:space="preserve"> Ver Anexo D.</w:t>
      </w:r>
    </w:p>
    <w:p>
      <w:pPr>
        <w:pStyle w:val="Lneahorizontal"/>
        <w:pBdr>
          <w:bottom w:val="double" w:sz="2" w:space="0" w:color="808080"/>
        </w:pBdr>
        <w:bidi w:val="0"/>
        <w:spacing w:before="0" w:after="0"/>
        <w:jc w:val="start"/>
        <w:rPr/>
      </w:pPr>
      <w:r>
        <w:rPr/>
      </w:r>
    </w:p>
    <w:p>
      <w:pPr>
        <w:pStyle w:val="Heading2"/>
        <w:numPr>
          <w:ilvl w:val="0"/>
          <w:numId w:val="0"/>
        </w:numPr>
        <w:bidi w:val="0"/>
        <w:spacing w:before="0" w:after="0"/>
        <w:ind w:hanging="0" w:start="600" w:end="600"/>
        <w:jc w:val="start"/>
        <w:rPr/>
      </w:pPr>
      <w:r>
        <w:rPr/>
        <w:t>5. Anexo transversal: Independización de infraestructura digital</w:t>
      </w:r>
    </w:p>
    <w:p>
      <w:pPr>
        <w:pStyle w:val="BodyText"/>
        <w:bidi w:val="0"/>
        <w:spacing w:before="0" w:after="55"/>
        <w:jc w:val="start"/>
        <w:rPr/>
      </w:pPr>
      <w:r>
        <w:rPr/>
        <w:t>Actualmente, la visualización de datos (Grafana) y la base de datos histórica (InfluxDB) están hospedadas en servidores de la Asociación Civil AlterMundi. Este modelo permitió validar la tecnología sin inversión inicial en servidores, pero condiciona la disponibilidad del sistema a la conectividad con esa infraestructura externa y genera dependencia operativa.</w:t>
      </w:r>
    </w:p>
    <w:p>
      <w:pPr>
        <w:pStyle w:val="BodyText"/>
        <w:bidi w:val="0"/>
        <w:spacing w:before="0" w:after="0"/>
        <w:jc w:val="start"/>
        <w:rPr/>
      </w:pPr>
      <w:r>
        <w:rPr/>
        <w:t>Una vez validado el monitoreo de la Etapa 1 (o en cualquier momento posterior que el Consejo Directivo defina), se propone la migración a un servidor local propio de la cooperativa. Este dispositivo ejecuta el mismo stack de código abierto dentro de la red local del predio.</w:t>
      </w:r>
    </w:p>
    <w:p>
      <w:pPr>
        <w:pStyle w:val="BodyText"/>
        <w:bidi w:val="0"/>
        <w:spacing w:before="0" w:after="0"/>
        <w:jc w:val="start"/>
        <w:rPr/>
      </w:pPr>
      <w:r>
        <w:rPr>
          <w:rStyle w:val="Strong"/>
        </w:rPr>
        <w:t>Ventajas de la independización:</w:t>
      </w:r>
    </w:p>
    <w:p>
      <w:pPr>
        <w:pStyle w:val="BodyText"/>
        <w:numPr>
          <w:ilvl w:val="0"/>
          <w:numId w:val="5"/>
        </w:numPr>
        <w:tabs>
          <w:tab w:val="clear" w:pos="1134"/>
          <w:tab w:val="left" w:pos="1309" w:leader="none"/>
        </w:tabs>
        <w:bidi w:val="0"/>
        <w:spacing w:before="0" w:after="0"/>
        <w:ind w:hanging="283" w:start="1309" w:end="600"/>
        <w:jc w:val="start"/>
        <w:rPr/>
      </w:pPr>
      <w:r>
        <w:rPr>
          <w:rStyle w:val="Strong"/>
        </w:rPr>
        <w:t>Soberanía de datos:</w:t>
      </w:r>
      <w:r>
        <w:rPr/>
        <w:t xml:space="preserve"> los registros históricos permanecen físicamente en la cooperativa. </w:t>
      </w:r>
    </w:p>
    <w:p>
      <w:pPr>
        <w:pStyle w:val="BodyText"/>
        <w:numPr>
          <w:ilvl w:val="0"/>
          <w:numId w:val="5"/>
        </w:numPr>
        <w:tabs>
          <w:tab w:val="clear" w:pos="1134"/>
          <w:tab w:val="left" w:pos="1309" w:leader="none"/>
        </w:tabs>
        <w:bidi w:val="0"/>
        <w:spacing w:before="0" w:after="0"/>
        <w:ind w:hanging="283" w:start="1309" w:end="600"/>
        <w:jc w:val="start"/>
        <w:rPr/>
      </w:pPr>
      <w:r>
        <w:rPr>
          <w:rStyle w:val="Strong"/>
        </w:rPr>
        <w:t>Disponibilidad:</w:t>
      </w:r>
      <w:r>
        <w:rPr/>
        <w:t xml:space="preserve"> el sistema funciona aunque fallen los enlaces a internet o servicios externos. </w:t>
      </w:r>
    </w:p>
    <w:p>
      <w:pPr>
        <w:pStyle w:val="BodyText"/>
        <w:numPr>
          <w:ilvl w:val="0"/>
          <w:numId w:val="5"/>
        </w:numPr>
        <w:tabs>
          <w:tab w:val="clear" w:pos="1134"/>
          <w:tab w:val="left" w:pos="1309" w:leader="none"/>
        </w:tabs>
        <w:bidi w:val="0"/>
        <w:spacing w:before="0" w:after="0"/>
        <w:ind w:hanging="283" w:start="1309" w:end="600"/>
        <w:jc w:val="start"/>
        <w:rPr/>
      </w:pPr>
      <w:r>
        <w:rPr>
          <w:rStyle w:val="Strong"/>
        </w:rPr>
        <w:t>Latencia:</w:t>
      </w:r>
      <w:r>
        <w:rPr/>
        <w:t xml:space="preserve"> las alertas y comandos locales responden en milisegundos, sin depender de la latencia de red hacia AlterMundi. </w:t>
      </w:r>
    </w:p>
    <w:p>
      <w:pPr>
        <w:pStyle w:val="BodyText"/>
        <w:numPr>
          <w:ilvl w:val="0"/>
          <w:numId w:val="5"/>
        </w:numPr>
        <w:tabs>
          <w:tab w:val="clear" w:pos="1134"/>
          <w:tab w:val="left" w:pos="1309" w:leader="none"/>
        </w:tabs>
        <w:bidi w:val="0"/>
        <w:spacing w:before="0" w:after="0"/>
        <w:ind w:hanging="283" w:start="1309" w:end="600"/>
        <w:jc w:val="start"/>
        <w:rPr/>
      </w:pPr>
      <w:r>
        <w:rPr>
          <w:rStyle w:val="Strong"/>
        </w:rPr>
        <w:t>Escalabilidad autónoma:</w:t>
      </w:r>
      <w:r>
        <w:rPr/>
        <w:t xml:space="preserve"> agregar nuevos sensores o modificar alarmas no requiere coordinación externa. </w:t>
      </w:r>
    </w:p>
    <w:p>
      <w:pPr>
        <w:pStyle w:val="BodyText"/>
        <w:bidi w:val="0"/>
        <w:spacing w:before="0" w:after="0"/>
        <w:jc w:val="start"/>
        <w:rPr/>
      </w:pPr>
      <w:r>
        <w:rPr>
          <w:rStyle w:val="Strong"/>
        </w:rPr>
        <w:t>Alcance técnico:</w:t>
      </w:r>
      <w:r>
        <w:rPr/>
        <w:t xml:space="preserve"> la migración consiste en replicar los contenedores Docker ya probados, reconfigurar los ESP32 para que publiquen en el broker local y transferir los dashboards históricos. No se pierde información si se realiza un backup previo.</w:t>
      </w:r>
    </w:p>
    <w:p>
      <w:pPr>
        <w:pStyle w:val="BodyText"/>
        <w:bidi w:val="0"/>
        <w:spacing w:before="0" w:after="0"/>
        <w:jc w:val="start"/>
        <w:rPr/>
      </w:pPr>
      <w:r>
        <w:rPr>
          <w:rStyle w:val="Strong"/>
        </w:rPr>
        <w:t>Inversión aproximada:</w:t>
      </w:r>
      <w:r>
        <w:rPr/>
        <w:t xml:space="preserve"> Ver Anexo E.</w:t>
      </w:r>
    </w:p>
    <w:p>
      <w:pPr>
        <w:pStyle w:val="Lneahorizontal"/>
        <w:pBdr>
          <w:bottom w:val="double" w:sz="2" w:space="0" w:color="808080"/>
        </w:pBdr>
        <w:bidi w:val="0"/>
        <w:spacing w:before="0" w:after="169"/>
        <w:jc w:val="start"/>
        <w:rPr/>
      </w:pPr>
      <w:r>
        <w:rPr/>
      </w:r>
    </w:p>
    <w:p>
      <w:pPr>
        <w:pStyle w:val="Heading2"/>
        <w:numPr>
          <w:ilvl w:val="0"/>
          <w:numId w:val="0"/>
        </w:numPr>
        <w:bidi w:val="0"/>
        <w:spacing w:before="0" w:after="0"/>
        <w:ind w:hanging="0" w:start="600" w:end="600"/>
        <w:jc w:val="start"/>
        <w:rPr/>
      </w:pPr>
      <w:r>
        <w:rPr/>
        <w:t>6. Beneficios esperados para la cooperativa</w:t>
      </w:r>
    </w:p>
    <w:p>
      <w:pPr>
        <w:pStyle w:val="BodyText"/>
        <w:widowControl w:val="false"/>
        <w:numPr>
          <w:ilvl w:val="0"/>
          <w:numId w:val="6"/>
        </w:numPr>
        <w:tabs>
          <w:tab w:val="clear" w:pos="1134"/>
          <w:tab w:val="left" w:pos="1309" w:leader="none"/>
        </w:tabs>
        <w:suppressAutoHyphens w:val="true"/>
        <w:overflowPunct w:val="false"/>
        <w:bidi w:val="0"/>
        <w:spacing w:lineRule="auto" w:line="360" w:before="0" w:after="0"/>
        <w:ind w:hanging="283" w:start="1304" w:end="340"/>
        <w:jc w:val="start"/>
        <w:rPr/>
      </w:pPr>
      <w:r>
        <w:rPr>
          <w:rStyle w:val="Strong"/>
        </w:rPr>
        <w:t>Riesgo bajo:</w:t>
      </w:r>
      <w:r>
        <w:rPr/>
        <w:t xml:space="preserve"> se inicia con una inversión menor a $600.000. Si no funciona, la pérdida es asumible sin endeudamiento. </w:t>
      </w:r>
    </w:p>
    <w:p>
      <w:pPr>
        <w:pStyle w:val="BodyText"/>
        <w:numPr>
          <w:ilvl w:val="0"/>
          <w:numId w:val="6"/>
        </w:numPr>
        <w:tabs>
          <w:tab w:val="clear" w:pos="1134"/>
          <w:tab w:val="left" w:pos="1309" w:leader="none"/>
        </w:tabs>
        <w:bidi w:val="0"/>
        <w:spacing w:before="0" w:after="0"/>
        <w:ind w:hanging="283" w:start="1309" w:end="600"/>
        <w:jc w:val="start"/>
        <w:rPr/>
      </w:pPr>
      <w:r>
        <w:rPr>
          <w:rStyle w:val="Strong"/>
        </w:rPr>
        <w:t>Resultados visibles:</w:t>
      </w:r>
      <w:r>
        <w:rPr/>
        <w:t xml:space="preserve"> en la primera etapa ya se ven los niveles en el celular. </w:t>
      </w:r>
    </w:p>
    <w:p>
      <w:pPr>
        <w:pStyle w:val="BodyText"/>
        <w:numPr>
          <w:ilvl w:val="0"/>
          <w:numId w:val="6"/>
        </w:numPr>
        <w:tabs>
          <w:tab w:val="clear" w:pos="1134"/>
          <w:tab w:val="left" w:pos="1309" w:leader="none"/>
        </w:tabs>
        <w:bidi w:val="0"/>
        <w:spacing w:before="0" w:after="0"/>
        <w:ind w:hanging="283" w:start="1309" w:end="600"/>
        <w:jc w:val="start"/>
        <w:rPr/>
      </w:pPr>
      <w:r>
        <w:rPr>
          <w:rStyle w:val="Strong"/>
        </w:rPr>
        <w:t>Independencia progresiva:</w:t>
      </w:r>
      <w:r>
        <w:rPr/>
        <w:t xml:space="preserve"> la cooperativa puede decidir cuándo migrar la infraestructura a su propio equipo. </w:t>
      </w:r>
    </w:p>
    <w:p>
      <w:pPr>
        <w:pStyle w:val="BodyText"/>
        <w:numPr>
          <w:ilvl w:val="0"/>
          <w:numId w:val="6"/>
        </w:numPr>
        <w:tabs>
          <w:tab w:val="clear" w:pos="1134"/>
          <w:tab w:val="left" w:pos="1309" w:leader="none"/>
        </w:tabs>
        <w:bidi w:val="0"/>
        <w:spacing w:before="0" w:after="0"/>
        <w:ind w:hanging="283" w:start="1309" w:end="600"/>
        <w:jc w:val="start"/>
        <w:rPr/>
      </w:pPr>
      <w:r>
        <w:rPr>
          <w:rStyle w:val="Strong"/>
        </w:rPr>
        <w:t>Datos para gestión:</w:t>
      </w:r>
      <w:r>
        <w:rPr/>
        <w:t xml:space="preserve"> con registros de consumo, niveles y eventos se pueden planificar obras, reducir tarifas eléctricas o postular a subsidios con información objetiva. </w:t>
      </w:r>
    </w:p>
    <w:p>
      <w:pPr>
        <w:pStyle w:val="BodyText"/>
        <w:numPr>
          <w:ilvl w:val="0"/>
          <w:numId w:val="6"/>
        </w:numPr>
        <w:tabs>
          <w:tab w:val="clear" w:pos="1134"/>
          <w:tab w:val="left" w:pos="1309" w:leader="none"/>
        </w:tabs>
        <w:bidi w:val="0"/>
        <w:spacing w:before="0" w:after="0"/>
        <w:ind w:hanging="283" w:start="1309" w:end="600"/>
        <w:jc w:val="start"/>
        <w:rPr/>
      </w:pPr>
      <w:r>
        <w:rPr>
          <w:rStyle w:val="Strong"/>
        </w:rPr>
        <w:t>Escalable:</w:t>
      </w:r>
      <w:r>
        <w:rPr/>
        <w:t xml:space="preserve"> el mismo sistema sirve para futuras ampliaciones de red o nuevas captaciones sin desechar lo anterior. </w:t>
      </w:r>
    </w:p>
    <w:p>
      <w:pPr>
        <w:pStyle w:val="Lneahorizontal"/>
        <w:pBdr>
          <w:bottom w:val="double" w:sz="2" w:space="0" w:color="808080"/>
        </w:pBdr>
        <w:bidi w:val="0"/>
        <w:spacing w:before="0" w:after="0"/>
        <w:jc w:val="start"/>
        <w:rPr/>
      </w:pPr>
      <w:r>
        <w:rPr/>
      </w:r>
    </w:p>
    <w:p>
      <w:pPr>
        <w:pStyle w:val="Heading2"/>
        <w:numPr>
          <w:ilvl w:val="0"/>
          <w:numId w:val="0"/>
        </w:numPr>
        <w:bidi w:val="0"/>
        <w:spacing w:before="108" w:after="0"/>
        <w:ind w:hanging="0" w:start="600" w:end="600"/>
        <w:jc w:val="start"/>
        <w:rPr/>
      </w:pPr>
      <w:r>
        <w:rPr/>
        <w:t>7. Próximo paso</w:t>
      </w:r>
    </w:p>
    <w:p>
      <w:pPr>
        <w:pStyle w:val="BodyText"/>
        <w:bidi w:val="0"/>
        <w:spacing w:before="0" w:after="0"/>
        <w:jc w:val="start"/>
        <w:rPr/>
      </w:pPr>
      <w:r>
        <w:rPr/>
        <w:t xml:space="preserve">Evaluar y aprobar la </w:t>
      </w:r>
      <w:r>
        <w:rPr>
          <w:rStyle w:val="Strong"/>
        </w:rPr>
        <w:t>Etapa 1 (MVP de monitoreo)</w:t>
      </w:r>
      <w:r>
        <w:rPr/>
        <w:t>. Una vez aprobada, se procederá al relevamiento exacto de las cisternas (altura, acceso, condiciones ambientales) y a la instalacion de equipos y sensores. En un plazo de 30 días la cooperativa contará con el primer panel operativo y podrá decidir si avanza hacia la Etapa 2 o prioriza la independización de infraestructura.</w:t>
      </w:r>
    </w:p>
    <w:p>
      <w:pPr>
        <w:pStyle w:val="Lneahorizontal"/>
        <w:pBdr>
          <w:bottom w:val="double" w:sz="2" w:space="0" w:color="808080"/>
        </w:pBdr>
        <w:bidi w:val="0"/>
        <w:spacing w:before="0" w:after="0"/>
        <w:jc w:val="start"/>
        <w:rPr/>
      </w:pPr>
      <w:r>
        <w:rPr/>
      </w:r>
    </w:p>
    <w:p>
      <w:pPr>
        <w:pStyle w:val="Heading2"/>
        <w:numPr>
          <w:ilvl w:val="0"/>
          <w:numId w:val="0"/>
        </w:numPr>
        <w:bidi w:val="0"/>
        <w:spacing w:before="450" w:after="120"/>
        <w:ind w:hanging="0" w:start="600" w:end="600"/>
        <w:jc w:val="start"/>
        <w:rPr/>
      </w:pPr>
      <w:r>
        <w:rPr/>
        <w:t>Referencias de anexos</w:t>
      </w:r>
    </w:p>
    <w:p>
      <w:pPr>
        <w:pStyle w:val="BodyText"/>
        <w:numPr>
          <w:ilvl w:val="0"/>
          <w:numId w:val="7"/>
        </w:numPr>
        <w:tabs>
          <w:tab w:val="clear" w:pos="1134"/>
          <w:tab w:val="left" w:pos="1309" w:leader="none"/>
        </w:tabs>
        <w:bidi w:val="0"/>
        <w:spacing w:before="0" w:after="0"/>
        <w:ind w:hanging="283" w:start="1309" w:end="600"/>
        <w:jc w:val="start"/>
        <w:rPr/>
      </w:pPr>
      <w:r>
        <w:rPr>
          <w:rStyle w:val="Strong"/>
        </w:rPr>
        <w:t>Anexo A:</w:t>
      </w:r>
      <w:r>
        <w:rPr/>
        <w:t xml:space="preserve"> Etapa 1 (MVP Monitoreo) </w:t>
      </w:r>
    </w:p>
    <w:p>
      <w:pPr>
        <w:pStyle w:val="BodyText"/>
        <w:numPr>
          <w:ilvl w:val="0"/>
          <w:numId w:val="7"/>
        </w:numPr>
        <w:tabs>
          <w:tab w:val="clear" w:pos="1134"/>
          <w:tab w:val="left" w:pos="1309" w:leader="none"/>
        </w:tabs>
        <w:bidi w:val="0"/>
        <w:spacing w:before="0" w:after="0"/>
        <w:ind w:hanging="283" w:start="1309" w:end="600"/>
        <w:jc w:val="start"/>
        <w:rPr/>
      </w:pPr>
      <w:r>
        <w:rPr>
          <w:rStyle w:val="Strong"/>
        </w:rPr>
        <w:t>Anexo B:</w:t>
      </w:r>
      <w:r>
        <w:rPr/>
        <w:t xml:space="preserve"> Etapa 2 (Pozos y válvulas) </w:t>
      </w:r>
    </w:p>
    <w:p>
      <w:pPr>
        <w:pStyle w:val="BodyText"/>
        <w:numPr>
          <w:ilvl w:val="0"/>
          <w:numId w:val="7"/>
        </w:numPr>
        <w:tabs>
          <w:tab w:val="clear" w:pos="1134"/>
          <w:tab w:val="left" w:pos="1309" w:leader="none"/>
        </w:tabs>
        <w:bidi w:val="0"/>
        <w:spacing w:before="0" w:after="0"/>
        <w:ind w:hanging="283" w:start="1309" w:end="600"/>
        <w:jc w:val="start"/>
        <w:rPr/>
      </w:pPr>
      <w:r>
        <w:rPr>
          <w:rStyle w:val="Strong"/>
        </w:rPr>
        <w:t>Anexo C:</w:t>
      </w:r>
      <w:r>
        <w:rPr/>
        <w:t xml:space="preserve"> Etapa 3 (Automatización on/off) </w:t>
      </w:r>
    </w:p>
    <w:p>
      <w:pPr>
        <w:pStyle w:val="BodyText"/>
        <w:numPr>
          <w:ilvl w:val="0"/>
          <w:numId w:val="7"/>
        </w:numPr>
        <w:tabs>
          <w:tab w:val="clear" w:pos="1134"/>
          <w:tab w:val="left" w:pos="1309" w:leader="none"/>
        </w:tabs>
        <w:bidi w:val="0"/>
        <w:spacing w:before="0" w:after="0"/>
        <w:ind w:hanging="283" w:start="1309" w:end="600"/>
        <w:jc w:val="start"/>
        <w:rPr/>
      </w:pPr>
      <w:r>
        <w:rPr>
          <w:rStyle w:val="Strong"/>
        </w:rPr>
        <w:t>Anexo D:</w:t>
      </w:r>
      <w:r>
        <w:rPr/>
        <w:t xml:space="preserve"> Etapa 4 (VFD + presión constante) </w:t>
      </w:r>
    </w:p>
    <w:p>
      <w:pPr>
        <w:pStyle w:val="BodyText"/>
        <w:numPr>
          <w:ilvl w:val="0"/>
          <w:numId w:val="7"/>
        </w:numPr>
        <w:tabs>
          <w:tab w:val="clear" w:pos="1134"/>
          <w:tab w:val="left" w:pos="1309" w:leader="none"/>
        </w:tabs>
        <w:bidi w:val="0"/>
        <w:spacing w:before="0" w:after="0"/>
        <w:ind w:hanging="283" w:start="1309" w:end="600"/>
        <w:jc w:val="start"/>
        <w:rPr/>
      </w:pPr>
      <w:r>
        <w:rPr>
          <w:rStyle w:val="Strong"/>
        </w:rPr>
        <w:t>Anexo E:</w:t>
      </w:r>
      <w:r>
        <w:rPr/>
        <w:t xml:space="preserve"> Independización de infraestructura </w:t>
      </w:r>
    </w:p>
    <w:p>
      <w:pPr>
        <w:pStyle w:val="BodyText"/>
        <w:numPr>
          <w:ilvl w:val="0"/>
          <w:numId w:val="7"/>
        </w:numPr>
        <w:tabs>
          <w:tab w:val="clear" w:pos="1134"/>
          <w:tab w:val="left" w:pos="1309" w:leader="none"/>
        </w:tabs>
        <w:bidi w:val="0"/>
        <w:spacing w:before="0" w:after="0"/>
        <w:ind w:hanging="283" w:start="1309" w:end="600"/>
        <w:jc w:val="start"/>
        <w:rPr/>
      </w:pPr>
      <w:r>
        <w:rPr>
          <w:rStyle w:val="Strong"/>
        </w:rPr>
        <w:t>Anexo F:</w:t>
      </w:r>
      <w:r>
        <w:rPr/>
        <w:t xml:space="preserve"> Resumen de inversión acumulada y roadmap </w:t>
      </w:r>
    </w:p>
    <w:p>
      <w:pPr>
        <w:pStyle w:val="Lneahorizontal"/>
        <w:pBdr>
          <w:bottom w:val="double" w:sz="2" w:space="0" w:color="808080"/>
        </w:pBdr>
        <w:bidi w:val="0"/>
        <w:spacing w:before="0" w:after="0"/>
        <w:jc w:val="start"/>
        <w:rPr/>
      </w:pPr>
      <w:r>
        <w:rPr/>
      </w:r>
      <w:r>
        <w:br w:type="page"/>
      </w:r>
    </w:p>
    <w:p>
      <w:pPr>
        <w:pStyle w:val="Heading1"/>
        <w:bidi w:val="0"/>
        <w:spacing w:before="0" w:after="0"/>
        <w:ind w:hanging="0" w:start="0" w:end="0"/>
        <w:jc w:val="start"/>
        <w:rPr/>
      </w:pPr>
      <w:r>
        <w:rPr/>
        <w:t>Anexo A: Etapa 1 (MVP Monitoreo)</w:t>
      </w:r>
    </w:p>
    <w:p>
      <w:pPr>
        <w:pStyle w:val="BodyText"/>
        <w:bidi w:val="0"/>
        <w:spacing w:before="0" w:after="0"/>
        <w:jc w:val="start"/>
        <w:rPr/>
      </w:pPr>
      <w:r>
        <w:rPr>
          <w:rStyle w:val="Strong"/>
        </w:rPr>
        <w:t>Etapa:</w:t>
      </w:r>
      <w:r>
        <w:rPr/>
        <w:t xml:space="preserve"> Saber qué hay — Sensado de niveles en cisternas</w:t>
        <w:br/>
      </w:r>
      <w:r>
        <w:rPr>
          <w:rStyle w:val="Strong"/>
        </w:rPr>
        <w:t>Cotización:</w:t>
      </w:r>
      <w:r>
        <w:rPr/>
        <w:t xml:space="preserve"> Mayo 2026 — Tasa estimada: AR$ 1.400 / USD</w:t>
        <w:br/>
      </w:r>
      <w:r>
        <w:rPr>
          <w:rStyle w:val="Strong"/>
        </w:rPr>
        <w:t>Validez:</w:t>
      </w:r>
      <w:r>
        <w:rPr/>
        <w:t xml:space="preserve"> 15 días desde la fecha de emisión</w:t>
      </w:r>
    </w:p>
    <w:p>
      <w:pPr>
        <w:pStyle w:val="Lneahorizontal"/>
        <w:pBdr>
          <w:bottom w:val="double" w:sz="2" w:space="0" w:color="808080"/>
        </w:pBdr>
        <w:bidi w:val="0"/>
        <w:spacing w:before="0" w:after="0"/>
        <w:jc w:val="start"/>
        <w:rPr/>
      </w:pPr>
      <w:r>
        <w:rPr/>
      </w:r>
    </w:p>
    <w:p>
      <w:pPr>
        <w:pStyle w:val="Heading2"/>
        <w:numPr>
          <w:ilvl w:val="0"/>
          <w:numId w:val="0"/>
        </w:numPr>
        <w:bidi w:val="0"/>
        <w:spacing w:before="108" w:after="0"/>
        <w:ind w:hanging="0" w:start="600" w:end="600"/>
        <w:jc w:val="start"/>
        <w:rPr/>
      </w:pPr>
      <w:r>
        <w:rPr/>
        <w:t>Descripción técnica resumida</w:t>
      </w:r>
    </w:p>
    <w:p>
      <w:pPr>
        <w:pStyle w:val="BodyText"/>
        <w:bidi w:val="0"/>
        <w:spacing w:before="0" w:after="0"/>
        <w:jc w:val="start"/>
        <w:rPr/>
      </w:pPr>
      <w:r>
        <w:rPr/>
        <w:t xml:space="preserve">Dos sensores ultrasónicos de nivel se instalan en tapas de visita de las cisternas. Un microcontrolador ESP32 con adaptador WiFi recibe las señales, las publica hacia el servidor de AlterMundi (o local, si ya se ejecutó la independización) y un panel Grafana muestra nivel histórico y alertas. </w:t>
      </w:r>
    </w:p>
    <w:p>
      <w:pPr>
        <w:pStyle w:val="BodyText"/>
        <w:bidi w:val="0"/>
        <w:spacing w:before="0" w:after="0"/>
        <w:jc w:val="start"/>
        <w:rPr/>
      </w:pPr>
      <w:r>
        <w:rPr>
          <w:b w:val="false"/>
          <w:bCs w:val="false"/>
        </w:rPr>
        <w:t>Se requiere resolver por parte de la cooperativa el suministro eléctrico de este sistema.</w:t>
      </w:r>
    </w:p>
    <w:p>
      <w:pPr>
        <w:pStyle w:val="Lneahorizontal"/>
        <w:pBdr>
          <w:bottom w:val="double" w:sz="2" w:space="0" w:color="808080"/>
        </w:pBdr>
        <w:bidi w:val="0"/>
        <w:spacing w:before="0" w:after="0"/>
        <w:jc w:val="start"/>
        <w:rPr/>
      </w:pPr>
      <w:r>
        <w:rPr/>
      </w:r>
    </w:p>
    <w:p>
      <w:pPr>
        <w:pStyle w:val="Heading2"/>
        <w:numPr>
          <w:ilvl w:val="0"/>
          <w:numId w:val="0"/>
        </w:numPr>
        <w:bidi w:val="0"/>
        <w:spacing w:before="0" w:after="0"/>
        <w:ind w:hanging="0" w:start="600" w:end="600"/>
        <w:jc w:val="start"/>
        <w:rPr/>
      </w:pPr>
      <w:r>
        <w:rPr/>
      </w:r>
    </w:p>
    <w:p>
      <w:pPr>
        <w:pStyle w:val="Heading2"/>
        <w:numPr>
          <w:ilvl w:val="0"/>
          <w:numId w:val="0"/>
        </w:numPr>
        <w:bidi w:val="0"/>
        <w:spacing w:before="0" w:after="0"/>
        <w:ind w:hanging="0" w:start="600" w:end="600"/>
        <w:jc w:val="start"/>
        <w:rPr/>
      </w:pPr>
      <w:r>
        <w:rPr/>
        <w:t>Totales</w:t>
      </w:r>
    </w:p>
    <w:tbl>
      <w:tblPr>
        <w:tblW w:w="9462" w:type="dxa"/>
        <w:jc w:val="start"/>
        <w:tblInd w:w="623" w:type="dxa"/>
        <w:tblLayout w:type="fixed"/>
        <w:tblCellMar>
          <w:top w:w="28" w:type="dxa"/>
          <w:start w:w="28" w:type="dxa"/>
          <w:bottom w:w="28" w:type="dxa"/>
          <w:end w:w="28" w:type="dxa"/>
        </w:tblCellMar>
      </w:tblPr>
      <w:tblGrid>
        <w:gridCol w:w="4591"/>
        <w:gridCol w:w="4870"/>
      </w:tblGrid>
      <w:tr>
        <w:trPr>
          <w:tblHeader w:val="true"/>
        </w:trPr>
        <w:tc>
          <w:tcPr>
            <w:tcW w:w="4591" w:type="dxa"/>
            <w:tcBorders/>
            <w:vAlign w:val="center"/>
          </w:tcPr>
          <w:p>
            <w:pPr>
              <w:pStyle w:val="Ttulodelatabla"/>
              <w:widowControl w:val="false"/>
              <w:suppressLineNumbers/>
              <w:suppressAutoHyphens w:val="true"/>
              <w:overflowPunct w:val="false"/>
              <w:bidi w:val="0"/>
              <w:spacing w:lineRule="auto" w:line="360" w:before="0" w:after="0"/>
              <w:ind w:hanging="0" w:start="283" w:end="397"/>
              <w:jc w:val="start"/>
              <w:rPr/>
            </w:pPr>
            <w:r>
              <w:rPr/>
              <w:t>Concepto</w:t>
            </w:r>
          </w:p>
        </w:tc>
        <w:tc>
          <w:tcPr>
            <w:tcW w:w="4870" w:type="dxa"/>
            <w:tcBorders/>
            <w:vAlign w:val="center"/>
          </w:tcPr>
          <w:p>
            <w:pPr>
              <w:pStyle w:val="Ttulodelatabla"/>
              <w:suppressLineNumbers/>
              <w:bidi w:val="0"/>
              <w:spacing w:before="0" w:after="0"/>
              <w:jc w:val="start"/>
              <w:rPr/>
            </w:pPr>
            <w:r>
              <w:rPr/>
              <w:t>Importe ARS</w:t>
            </w:r>
          </w:p>
        </w:tc>
      </w:tr>
      <w:tr>
        <w:trPr/>
        <w:tc>
          <w:tcPr>
            <w:tcW w:w="4591" w:type="dxa"/>
            <w:tcBorders/>
            <w:vAlign w:val="center"/>
          </w:tcPr>
          <w:p>
            <w:pPr>
              <w:pStyle w:val="Contenidodelatabla"/>
              <w:widowControl w:val="false"/>
              <w:suppressAutoHyphens w:val="true"/>
              <w:overflowPunct w:val="false"/>
              <w:bidi w:val="0"/>
              <w:spacing w:lineRule="auto" w:line="360" w:before="0" w:after="0"/>
              <w:ind w:hanging="0" w:start="283" w:end="397"/>
              <w:jc w:val="start"/>
              <w:rPr/>
            </w:pPr>
            <w:r>
              <w:rPr/>
              <w:t>Equipamiento</w:t>
            </w:r>
          </w:p>
        </w:tc>
        <w:tc>
          <w:tcPr>
            <w:tcW w:w="4870" w:type="dxa"/>
            <w:tcBorders/>
            <w:vAlign w:val="center"/>
          </w:tcPr>
          <w:p>
            <w:pPr>
              <w:pStyle w:val="Contenidodelatabla"/>
              <w:bidi w:val="0"/>
              <w:spacing w:before="0" w:after="0"/>
              <w:jc w:val="start"/>
              <w:rPr/>
            </w:pPr>
            <w:r>
              <w:rPr>
                <w:rStyle w:val="Strong"/>
                <w:b w:val="false"/>
                <w:bCs w:val="false"/>
              </w:rPr>
              <w:t>$182.000 – $280.000</w:t>
            </w:r>
          </w:p>
        </w:tc>
      </w:tr>
      <w:tr>
        <w:trPr/>
        <w:tc>
          <w:tcPr>
            <w:tcW w:w="4591" w:type="dxa"/>
            <w:tcBorders/>
            <w:vAlign w:val="center"/>
          </w:tcPr>
          <w:p>
            <w:pPr>
              <w:pStyle w:val="Contenidodelatabla"/>
              <w:widowControl w:val="false"/>
              <w:suppressAutoHyphens w:val="true"/>
              <w:overflowPunct w:val="false"/>
              <w:bidi w:val="0"/>
              <w:spacing w:lineRule="auto" w:line="360" w:before="0" w:after="0"/>
              <w:ind w:hanging="0" w:start="283" w:end="397"/>
              <w:jc w:val="start"/>
              <w:rPr/>
            </w:pPr>
            <w:r>
              <w:rPr/>
              <w:t>Asesoría, instalación y puesta en marcha</w:t>
            </w:r>
          </w:p>
        </w:tc>
        <w:tc>
          <w:tcPr>
            <w:tcW w:w="4870" w:type="dxa"/>
            <w:tcBorders/>
            <w:vAlign w:val="center"/>
          </w:tcPr>
          <w:p>
            <w:pPr>
              <w:pStyle w:val="Contenidodelatabla"/>
              <w:bidi w:val="0"/>
              <w:spacing w:before="0" w:after="0"/>
              <w:jc w:val="start"/>
              <w:rPr/>
            </w:pPr>
            <w:r>
              <w:rPr>
                <w:rStyle w:val="Strong"/>
                <w:b w:val="false"/>
                <w:bCs w:val="false"/>
              </w:rPr>
              <w:t>$220.000.-</w:t>
            </w:r>
          </w:p>
        </w:tc>
      </w:tr>
      <w:tr>
        <w:trPr/>
        <w:tc>
          <w:tcPr>
            <w:tcW w:w="4591" w:type="dxa"/>
            <w:tcBorders/>
            <w:vAlign w:val="center"/>
          </w:tcPr>
          <w:p>
            <w:pPr>
              <w:pStyle w:val="Contenidodelatabla"/>
              <w:widowControl w:val="false"/>
              <w:suppressAutoHyphens w:val="true"/>
              <w:overflowPunct w:val="false"/>
              <w:bidi w:val="0"/>
              <w:spacing w:lineRule="auto" w:line="360" w:before="0" w:after="0"/>
              <w:ind w:hanging="0" w:start="283" w:end="397"/>
              <w:jc w:val="start"/>
              <w:rPr/>
            </w:pPr>
            <w:r>
              <w:rPr>
                <w:rStyle w:val="Strong"/>
              </w:rPr>
              <w:t>Total Etapa 1</w:t>
            </w:r>
          </w:p>
        </w:tc>
        <w:tc>
          <w:tcPr>
            <w:tcW w:w="4870" w:type="dxa"/>
            <w:tcBorders/>
            <w:vAlign w:val="center"/>
          </w:tcPr>
          <w:p>
            <w:pPr>
              <w:pStyle w:val="Contenidodelatabla"/>
              <w:bidi w:val="0"/>
              <w:spacing w:before="0" w:after="0"/>
              <w:jc w:val="start"/>
              <w:rPr/>
            </w:pPr>
            <w:r>
              <w:rPr>
                <w:rStyle w:val="Strong"/>
              </w:rPr>
              <w:t>$402.000 - $500.000</w:t>
            </w:r>
          </w:p>
        </w:tc>
      </w:tr>
    </w:tbl>
    <w:p>
      <w:pPr>
        <w:pStyle w:val="Lneahorizontal"/>
        <w:pBdr>
          <w:bottom w:val="double" w:sz="2" w:space="0" w:color="808080"/>
        </w:pBdr>
        <w:bidi w:val="0"/>
        <w:spacing w:before="0" w:after="0"/>
        <w:jc w:val="start"/>
        <w:rPr/>
      </w:pPr>
      <w:r>
        <w:rPr/>
      </w:r>
    </w:p>
    <w:p>
      <w:pPr>
        <w:pStyle w:val="Heading1"/>
        <w:bidi w:val="0"/>
        <w:spacing w:before="87" w:after="0"/>
        <w:ind w:hanging="0" w:start="0" w:end="0"/>
        <w:jc w:val="start"/>
        <w:rPr/>
      </w:pPr>
      <w:r>
        <w:rPr/>
      </w:r>
    </w:p>
    <w:p>
      <w:pPr>
        <w:pStyle w:val="Heading1"/>
        <w:bidi w:val="0"/>
        <w:spacing w:before="87" w:after="0"/>
        <w:ind w:hanging="0" w:start="0" w:end="0"/>
        <w:jc w:val="start"/>
        <w:rPr/>
      </w:pPr>
      <w:r>
        <w:rPr/>
        <w:t>Anexo B: Etapa 2 (Pozos y válvulas)</w:t>
      </w:r>
    </w:p>
    <w:p>
      <w:pPr>
        <w:pStyle w:val="BodyText"/>
        <w:bidi w:val="0"/>
        <w:spacing w:before="0" w:after="0"/>
        <w:jc w:val="start"/>
        <w:rPr/>
      </w:pPr>
      <w:r>
        <w:rPr>
          <w:rStyle w:val="Strong"/>
        </w:rPr>
        <w:t>Etapa:</w:t>
      </w:r>
      <w:r>
        <w:rPr/>
        <w:t xml:space="preserve"> Ver todo — Extensión del monitoreo a pozos, válvulas y caudal</w:t>
        <w:br/>
      </w:r>
      <w:r>
        <w:rPr>
          <w:rStyle w:val="Strong"/>
        </w:rPr>
        <w:t>Cotización:</w:t>
      </w:r>
      <w:r>
        <w:rPr/>
        <w:t xml:space="preserve"> Mayo 2026 — Tasa estimada: AR$ 1.400 / USD</w:t>
        <w:br/>
      </w:r>
      <w:r>
        <w:rPr>
          <w:rStyle w:val="Strong"/>
        </w:rPr>
        <w:t>Dependencia:</w:t>
      </w:r>
      <w:r>
        <w:rPr/>
        <w:t xml:space="preserve"> Requiere Etapa 1 operativa y validada.</w:t>
      </w:r>
    </w:p>
    <w:p>
      <w:pPr>
        <w:pStyle w:val="Lneahorizontal"/>
        <w:pBdr>
          <w:bottom w:val="double" w:sz="2" w:space="0" w:color="808080"/>
        </w:pBdr>
        <w:bidi w:val="0"/>
        <w:spacing w:before="0" w:after="0"/>
        <w:jc w:val="start"/>
        <w:rPr/>
      </w:pPr>
      <w:r>
        <w:rPr/>
      </w:r>
    </w:p>
    <w:p>
      <w:pPr>
        <w:pStyle w:val="Heading2"/>
        <w:numPr>
          <w:ilvl w:val="0"/>
          <w:numId w:val="0"/>
        </w:numPr>
        <w:bidi w:val="0"/>
        <w:spacing w:before="51" w:after="0"/>
        <w:ind w:hanging="0" w:start="600" w:end="600"/>
        <w:jc w:val="start"/>
        <w:rPr/>
      </w:pPr>
      <w:r>
        <w:rPr/>
        <w:t>Descripción técnica resumida</w:t>
      </w:r>
    </w:p>
    <w:p>
      <w:pPr>
        <w:pStyle w:val="BodyText"/>
        <w:bidi w:val="0"/>
        <w:spacing w:before="0" w:after="0"/>
        <w:jc w:val="start"/>
        <w:rPr/>
      </w:pPr>
      <w:r>
        <w:rPr/>
        <w:t>Se agrega un sensor de nivel en el pozo activo (sumergible o ultrasónico según profundidad) y sensores de posición (fines de carrera magnéticos o inductivos) en las válvulas de derivación entre cisternas. Opcionalmente se instala un sensor de caudal tipo turbina en la línea de impulsión para detectar fugas y cuantificar el bombeo real.</w:t>
      </w:r>
    </w:p>
    <w:p>
      <w:pPr>
        <w:pStyle w:val="Lneahorizontal"/>
        <w:pBdr>
          <w:bottom w:val="double" w:sz="2" w:space="0" w:color="808080"/>
        </w:pBdr>
        <w:bidi w:val="0"/>
        <w:spacing w:before="0" w:after="0"/>
        <w:jc w:val="start"/>
        <w:rPr/>
      </w:pPr>
      <w:r>
        <w:rPr/>
      </w:r>
    </w:p>
    <w:p>
      <w:pPr>
        <w:pStyle w:val="Heading2"/>
        <w:numPr>
          <w:ilvl w:val="0"/>
          <w:numId w:val="0"/>
        </w:numPr>
        <w:bidi w:val="0"/>
        <w:spacing w:before="0" w:after="0"/>
        <w:ind w:hanging="0" w:start="600" w:end="600"/>
        <w:jc w:val="start"/>
        <w:rPr/>
      </w:pPr>
      <w:r>
        <w:rPr/>
        <w:t>Totales</w:t>
      </w:r>
    </w:p>
    <w:tbl>
      <w:tblPr>
        <w:tblW w:w="8734" w:type="dxa"/>
        <w:jc w:val="start"/>
        <w:tblInd w:w="541" w:type="dxa"/>
        <w:tblLayout w:type="fixed"/>
        <w:tblCellMar>
          <w:top w:w="28" w:type="dxa"/>
          <w:start w:w="28" w:type="dxa"/>
          <w:bottom w:w="28" w:type="dxa"/>
          <w:end w:w="28" w:type="dxa"/>
        </w:tblCellMar>
      </w:tblPr>
      <w:tblGrid>
        <w:gridCol w:w="3849"/>
        <w:gridCol w:w="4884"/>
      </w:tblGrid>
      <w:tr>
        <w:trPr>
          <w:tblHeader w:val="true"/>
        </w:trPr>
        <w:tc>
          <w:tcPr>
            <w:tcW w:w="3849" w:type="dxa"/>
            <w:tcBorders/>
            <w:vAlign w:val="center"/>
          </w:tcPr>
          <w:p>
            <w:pPr>
              <w:pStyle w:val="Ttulodelatabla"/>
              <w:widowControl w:val="false"/>
              <w:suppressLineNumbers/>
              <w:suppressAutoHyphens w:val="true"/>
              <w:overflowPunct w:val="false"/>
              <w:bidi w:val="0"/>
              <w:spacing w:lineRule="auto" w:line="360" w:before="0" w:after="0"/>
              <w:ind w:hanging="0" w:start="113" w:end="57"/>
              <w:jc w:val="start"/>
              <w:rPr/>
            </w:pPr>
            <w:r>
              <w:rPr/>
              <w:t>Concepto</w:t>
            </w:r>
          </w:p>
        </w:tc>
        <w:tc>
          <w:tcPr>
            <w:tcW w:w="4884" w:type="dxa"/>
            <w:tcBorders/>
            <w:vAlign w:val="center"/>
          </w:tcPr>
          <w:p>
            <w:pPr>
              <w:pStyle w:val="Ttulodelatabla"/>
              <w:suppressLineNumbers/>
              <w:bidi w:val="0"/>
              <w:spacing w:before="0" w:after="0"/>
              <w:jc w:val="start"/>
              <w:rPr/>
            </w:pPr>
            <w:r>
              <w:rPr/>
              <w:t>Importe ARS</w:t>
            </w:r>
          </w:p>
        </w:tc>
      </w:tr>
      <w:tr>
        <w:trPr/>
        <w:tc>
          <w:tcPr>
            <w:tcW w:w="3849" w:type="dxa"/>
            <w:tcBorders/>
            <w:vAlign w:val="center"/>
          </w:tcPr>
          <w:p>
            <w:pPr>
              <w:pStyle w:val="Contenidodelatabla"/>
              <w:widowControl w:val="false"/>
              <w:suppressAutoHyphens w:val="true"/>
              <w:overflowPunct w:val="false"/>
              <w:bidi w:val="0"/>
              <w:spacing w:lineRule="auto" w:line="360" w:before="0" w:after="0"/>
              <w:ind w:hanging="0" w:start="113" w:end="57"/>
              <w:jc w:val="start"/>
              <w:rPr/>
            </w:pPr>
            <w:r>
              <w:rPr/>
              <w:t>Equipamiento</w:t>
            </w:r>
          </w:p>
        </w:tc>
        <w:tc>
          <w:tcPr>
            <w:tcW w:w="4884" w:type="dxa"/>
            <w:tcBorders/>
            <w:vAlign w:val="center"/>
          </w:tcPr>
          <w:p>
            <w:pPr>
              <w:pStyle w:val="Contenidodelatabla"/>
              <w:bidi w:val="0"/>
              <w:spacing w:before="0" w:after="0"/>
              <w:jc w:val="start"/>
              <w:rPr/>
            </w:pPr>
            <w:r>
              <w:rPr>
                <w:rStyle w:val="Strong"/>
                <w:b w:val="false"/>
                <w:bCs w:val="false"/>
              </w:rPr>
              <w:t>$336.000 – $560.000</w:t>
            </w:r>
          </w:p>
        </w:tc>
      </w:tr>
      <w:tr>
        <w:trPr/>
        <w:tc>
          <w:tcPr>
            <w:tcW w:w="3849" w:type="dxa"/>
            <w:tcBorders/>
            <w:vAlign w:val="center"/>
          </w:tcPr>
          <w:p>
            <w:pPr>
              <w:pStyle w:val="Contenidodelatabla"/>
              <w:widowControl w:val="false"/>
              <w:suppressAutoHyphens w:val="true"/>
              <w:overflowPunct w:val="false"/>
              <w:bidi w:val="0"/>
              <w:spacing w:lineRule="auto" w:line="360" w:before="0" w:after="0"/>
              <w:ind w:hanging="0" w:start="113" w:end="57"/>
              <w:jc w:val="start"/>
              <w:rPr/>
            </w:pPr>
            <w:r>
              <w:rPr/>
              <w:t>Asesoría, instalación y puesta en marcha</w:t>
            </w:r>
          </w:p>
        </w:tc>
        <w:tc>
          <w:tcPr>
            <w:tcW w:w="4884" w:type="dxa"/>
            <w:tcBorders/>
            <w:vAlign w:val="center"/>
          </w:tcPr>
          <w:p>
            <w:pPr>
              <w:pStyle w:val="Contenidodelatabla"/>
              <w:bidi w:val="0"/>
              <w:spacing w:before="0" w:after="0"/>
              <w:jc w:val="start"/>
              <w:rPr/>
            </w:pPr>
            <w:r>
              <w:rPr/>
              <w:t>$480.000.-</w:t>
            </w:r>
          </w:p>
        </w:tc>
      </w:tr>
      <w:tr>
        <w:trPr/>
        <w:tc>
          <w:tcPr>
            <w:tcW w:w="3849" w:type="dxa"/>
            <w:tcBorders/>
            <w:vAlign w:val="center"/>
          </w:tcPr>
          <w:p>
            <w:pPr>
              <w:pStyle w:val="Contenidodelatabla"/>
              <w:widowControl w:val="false"/>
              <w:suppressAutoHyphens w:val="true"/>
              <w:overflowPunct w:val="false"/>
              <w:bidi w:val="0"/>
              <w:spacing w:lineRule="auto" w:line="360" w:before="0" w:after="0"/>
              <w:ind w:hanging="0" w:start="113" w:end="57"/>
              <w:jc w:val="start"/>
              <w:rPr/>
            </w:pPr>
            <w:r>
              <w:rPr>
                <w:rStyle w:val="Strong"/>
              </w:rPr>
              <w:t>Total Etapa 2</w:t>
            </w:r>
          </w:p>
        </w:tc>
        <w:tc>
          <w:tcPr>
            <w:tcW w:w="4884" w:type="dxa"/>
            <w:tcBorders/>
            <w:vAlign w:val="center"/>
          </w:tcPr>
          <w:p>
            <w:pPr>
              <w:pStyle w:val="Contenidodelatabla"/>
              <w:bidi w:val="0"/>
              <w:spacing w:before="0" w:after="0"/>
              <w:jc w:val="start"/>
              <w:rPr/>
            </w:pPr>
            <w:r>
              <w:rPr>
                <w:rStyle w:val="Strong"/>
              </w:rPr>
              <w:t>$816.000 – $1.040.000</w:t>
            </w:r>
          </w:p>
        </w:tc>
      </w:tr>
    </w:tbl>
    <w:p>
      <w:pPr>
        <w:pStyle w:val="Lneahorizontal"/>
        <w:pBdr>
          <w:bottom w:val="double" w:sz="2" w:space="0" w:color="808080"/>
        </w:pBdr>
        <w:bidi w:val="0"/>
        <w:spacing w:before="0" w:after="0"/>
        <w:jc w:val="start"/>
        <w:rPr/>
      </w:pPr>
      <w:r>
        <w:rPr/>
      </w:r>
    </w:p>
    <w:p>
      <w:pPr>
        <w:pStyle w:val="Heading1"/>
        <w:bidi w:val="0"/>
        <w:spacing w:before="87" w:after="0"/>
        <w:ind w:hanging="0" w:start="0" w:end="0"/>
        <w:jc w:val="start"/>
        <w:rPr/>
      </w:pPr>
      <w:r>
        <w:rPr/>
        <w:t>Anexo C: Etapa 3 (Automatización on/off)</w:t>
      </w:r>
    </w:p>
    <w:p>
      <w:pPr>
        <w:pStyle w:val="BodyText"/>
        <w:bidi w:val="0"/>
        <w:spacing w:before="0" w:after="0"/>
        <w:jc w:val="start"/>
        <w:rPr/>
      </w:pPr>
      <w:r>
        <w:rPr>
          <w:rStyle w:val="Strong"/>
        </w:rPr>
        <w:t>Etapa:</w:t>
      </w:r>
      <w:r>
        <w:rPr/>
        <w:t xml:space="preserve"> Dejar de ir a prender — Comando automático de bomba por niveles</w:t>
        <w:br/>
      </w:r>
      <w:r>
        <w:rPr>
          <w:rStyle w:val="Strong"/>
        </w:rPr>
        <w:t>Cotización:</w:t>
      </w:r>
      <w:r>
        <w:rPr/>
        <w:t xml:space="preserve"> Mayo 2026 — Tasa estimada: AR$ 1.400 / USD</w:t>
        <w:br/>
      </w:r>
      <w:r>
        <w:rPr>
          <w:rStyle w:val="Strong"/>
        </w:rPr>
        <w:t>Dependencia:</w:t>
      </w:r>
      <w:r>
        <w:rPr/>
        <w:t xml:space="preserve"> Requiere Etapa 1 operativa; recomendada tras Etapa 2.</w:t>
      </w:r>
    </w:p>
    <w:p>
      <w:pPr>
        <w:pStyle w:val="Lneahorizontal"/>
        <w:pBdr>
          <w:bottom w:val="double" w:sz="2" w:space="0" w:color="808080"/>
        </w:pBdr>
        <w:bidi w:val="0"/>
        <w:spacing w:before="0" w:after="0"/>
        <w:jc w:val="start"/>
        <w:rPr/>
      </w:pPr>
      <w:r>
        <w:rPr/>
      </w:r>
    </w:p>
    <w:p>
      <w:pPr>
        <w:pStyle w:val="Heading2"/>
        <w:numPr>
          <w:ilvl w:val="0"/>
          <w:numId w:val="0"/>
        </w:numPr>
        <w:bidi w:val="0"/>
        <w:spacing w:before="51" w:after="0"/>
        <w:ind w:hanging="0" w:start="600" w:end="600"/>
        <w:jc w:val="start"/>
        <w:rPr/>
      </w:pPr>
      <w:r>
        <w:rPr/>
        <w:t>Descripción técnica resumida</w:t>
      </w:r>
    </w:p>
    <w:p>
      <w:pPr>
        <w:pStyle w:val="BodyText"/>
        <w:bidi w:val="0"/>
        <w:spacing w:before="0" w:after="0"/>
        <w:jc w:val="start"/>
        <w:rPr/>
      </w:pPr>
      <w:r>
        <w:rPr/>
        <w:t>Se intercala un relé industrial en el circuito de comando de la bomba. El microcontrolador decide el encendido/apagado según reglas programadas: cisterna baja → arranca; cisterna alta → para; pozo bajo → inhibe arranque. Se agrega un sensor de corriente no invasivo para confirmar que la bomba efectivamente respondió al comando y detectar fallas (por ejemplo, cavitación o disparo térmico).</w:t>
      </w:r>
    </w:p>
    <w:p>
      <w:pPr>
        <w:pStyle w:val="Lneahorizontal"/>
        <w:pBdr>
          <w:bottom w:val="double" w:sz="2" w:space="0" w:color="808080"/>
        </w:pBdr>
        <w:bidi w:val="0"/>
        <w:spacing w:before="0" w:after="0"/>
        <w:jc w:val="start"/>
        <w:rPr/>
      </w:pPr>
      <w:r>
        <w:rPr/>
      </w:r>
    </w:p>
    <w:p>
      <w:pPr>
        <w:pStyle w:val="Heading2"/>
        <w:numPr>
          <w:ilvl w:val="0"/>
          <w:numId w:val="0"/>
        </w:numPr>
        <w:bidi w:val="0"/>
        <w:spacing w:before="165" w:after="0"/>
        <w:ind w:hanging="0" w:start="600" w:end="600"/>
        <w:jc w:val="start"/>
        <w:rPr/>
      </w:pPr>
      <w:r>
        <w:rPr/>
        <w:t>Totales</w:t>
      </w:r>
    </w:p>
    <w:tbl>
      <w:tblPr>
        <w:tblW w:w="8633" w:type="dxa"/>
        <w:jc w:val="start"/>
        <w:tblInd w:w="575" w:type="dxa"/>
        <w:tblLayout w:type="fixed"/>
        <w:tblCellMar>
          <w:top w:w="28" w:type="dxa"/>
          <w:start w:w="28" w:type="dxa"/>
          <w:bottom w:w="28" w:type="dxa"/>
          <w:end w:w="28" w:type="dxa"/>
        </w:tblCellMar>
      </w:tblPr>
      <w:tblGrid>
        <w:gridCol w:w="4957"/>
        <w:gridCol w:w="3675"/>
      </w:tblGrid>
      <w:tr>
        <w:trPr>
          <w:tblHeader w:val="true"/>
        </w:trPr>
        <w:tc>
          <w:tcPr>
            <w:tcW w:w="4957" w:type="dxa"/>
            <w:tcBorders/>
            <w:vAlign w:val="center"/>
          </w:tcPr>
          <w:p>
            <w:pPr>
              <w:pStyle w:val="Ttulodelatabla"/>
              <w:suppressLineNumbers/>
              <w:bidi w:val="0"/>
              <w:spacing w:before="0" w:after="0"/>
              <w:jc w:val="start"/>
              <w:rPr/>
            </w:pPr>
            <w:r>
              <w:rPr/>
              <w:t>Concepto</w:t>
            </w:r>
          </w:p>
        </w:tc>
        <w:tc>
          <w:tcPr>
            <w:tcW w:w="3675" w:type="dxa"/>
            <w:tcBorders/>
            <w:vAlign w:val="center"/>
          </w:tcPr>
          <w:p>
            <w:pPr>
              <w:pStyle w:val="Ttulodelatabla"/>
              <w:suppressLineNumbers/>
              <w:bidi w:val="0"/>
              <w:spacing w:before="0" w:after="0"/>
              <w:jc w:val="start"/>
              <w:rPr/>
            </w:pPr>
            <w:r>
              <w:rPr/>
              <w:t>Importe ARS</w:t>
            </w:r>
          </w:p>
        </w:tc>
      </w:tr>
      <w:tr>
        <w:trPr/>
        <w:tc>
          <w:tcPr>
            <w:tcW w:w="4957" w:type="dxa"/>
            <w:tcBorders/>
            <w:vAlign w:val="center"/>
          </w:tcPr>
          <w:p>
            <w:pPr>
              <w:pStyle w:val="Contenidodelatabla"/>
              <w:bidi w:val="0"/>
              <w:spacing w:before="0" w:after="0"/>
              <w:jc w:val="start"/>
              <w:rPr/>
            </w:pPr>
            <w:r>
              <w:rPr/>
              <w:t>Equipamiento</w:t>
            </w:r>
          </w:p>
        </w:tc>
        <w:tc>
          <w:tcPr>
            <w:tcW w:w="3675" w:type="dxa"/>
            <w:tcBorders/>
            <w:vAlign w:val="center"/>
          </w:tcPr>
          <w:p>
            <w:pPr>
              <w:pStyle w:val="Contenidodelatabla"/>
              <w:bidi w:val="0"/>
              <w:spacing w:before="0" w:after="0"/>
              <w:jc w:val="start"/>
              <w:rPr/>
            </w:pPr>
            <w:r>
              <w:rPr/>
              <w:t>$119.000 – $199.000</w:t>
            </w:r>
          </w:p>
        </w:tc>
      </w:tr>
      <w:tr>
        <w:trPr/>
        <w:tc>
          <w:tcPr>
            <w:tcW w:w="4957" w:type="dxa"/>
            <w:tcBorders/>
            <w:vAlign w:val="center"/>
          </w:tcPr>
          <w:p>
            <w:pPr>
              <w:pStyle w:val="Contenidodelatabla"/>
              <w:bidi w:val="0"/>
              <w:spacing w:before="0" w:after="0"/>
              <w:jc w:val="start"/>
              <w:rPr/>
            </w:pPr>
            <w:r>
              <w:rPr/>
              <w:t>Asesoría, instalación y puesta en marcha</w:t>
            </w:r>
          </w:p>
        </w:tc>
        <w:tc>
          <w:tcPr>
            <w:tcW w:w="3675" w:type="dxa"/>
            <w:tcBorders/>
            <w:vAlign w:val="center"/>
          </w:tcPr>
          <w:p>
            <w:pPr>
              <w:pStyle w:val="Contenidodelatabla"/>
              <w:bidi w:val="0"/>
              <w:spacing w:before="0" w:after="0"/>
              <w:jc w:val="start"/>
              <w:rPr/>
            </w:pPr>
            <w:r>
              <w:rPr/>
              <w:t>$200.000.-</w:t>
            </w:r>
          </w:p>
        </w:tc>
      </w:tr>
      <w:tr>
        <w:trPr/>
        <w:tc>
          <w:tcPr>
            <w:tcW w:w="4957" w:type="dxa"/>
            <w:tcBorders/>
            <w:vAlign w:val="center"/>
          </w:tcPr>
          <w:p>
            <w:pPr>
              <w:pStyle w:val="Contenidodelatabla"/>
              <w:bidi w:val="0"/>
              <w:spacing w:before="0" w:after="0"/>
              <w:jc w:val="start"/>
              <w:rPr/>
            </w:pPr>
            <w:r>
              <w:rPr>
                <w:rStyle w:val="Strong"/>
              </w:rPr>
              <w:t>Total Etapa 3</w:t>
            </w:r>
          </w:p>
        </w:tc>
        <w:tc>
          <w:tcPr>
            <w:tcW w:w="3675" w:type="dxa"/>
            <w:tcBorders/>
            <w:vAlign w:val="center"/>
          </w:tcPr>
          <w:p>
            <w:pPr>
              <w:pStyle w:val="Contenidodelatabla"/>
              <w:bidi w:val="0"/>
              <w:spacing w:before="0" w:after="0"/>
              <w:jc w:val="start"/>
              <w:rPr/>
            </w:pPr>
            <w:r>
              <w:rPr>
                <w:rStyle w:val="Strong"/>
              </w:rPr>
              <w:t>$319.000 - $399.000</w:t>
            </w:r>
          </w:p>
        </w:tc>
      </w:tr>
    </w:tbl>
    <w:p>
      <w:pPr>
        <w:pStyle w:val="Lneahorizontal"/>
        <w:pBdr>
          <w:bottom w:val="double" w:sz="2" w:space="0" w:color="808080"/>
        </w:pBdr>
        <w:bidi w:val="0"/>
        <w:spacing w:before="0" w:after="0"/>
        <w:jc w:val="start"/>
        <w:rPr/>
      </w:pPr>
      <w:r>
        <w:rPr/>
      </w:r>
    </w:p>
    <w:p>
      <w:pPr>
        <w:pStyle w:val="Heading2"/>
        <w:numPr>
          <w:ilvl w:val="0"/>
          <w:numId w:val="0"/>
        </w:numPr>
        <w:bidi w:val="0"/>
        <w:spacing w:before="108" w:after="0"/>
        <w:ind w:hanging="0" w:start="600" w:end="600"/>
        <w:jc w:val="start"/>
        <w:rPr/>
      </w:pPr>
      <w:r>
        <w:rPr/>
      </w:r>
    </w:p>
    <w:p>
      <w:pPr>
        <w:pStyle w:val="Heading1"/>
        <w:bidi w:val="0"/>
        <w:spacing w:before="0" w:after="0"/>
        <w:ind w:hanging="0" w:start="0" w:end="0"/>
        <w:jc w:val="start"/>
        <w:rPr>
          <w:sz w:val="28"/>
          <w:szCs w:val="28"/>
        </w:rPr>
      </w:pPr>
      <w:r>
        <w:rPr>
          <w:sz w:val="28"/>
          <w:szCs w:val="28"/>
        </w:rPr>
        <w:t>Anexo D: Etapa 4 (VFD + presión constante)</w:t>
      </w:r>
    </w:p>
    <w:p>
      <w:pPr>
        <w:pStyle w:val="BodyText"/>
        <w:bidi w:val="0"/>
        <w:spacing w:before="0" w:after="0"/>
        <w:jc w:val="start"/>
        <w:rPr/>
      </w:pPr>
      <w:r>
        <w:rPr>
          <w:rStyle w:val="Strong"/>
        </w:rPr>
        <w:t>Etapa:</w:t>
      </w:r>
      <w:r>
        <w:rPr/>
        <w:t xml:space="preserve"> Bomba inteligente — Variador de frecuencia y control Proporcional Integrativo Derivativo de presión</w:t>
        <w:br/>
      </w:r>
      <w:r>
        <w:rPr>
          <w:rStyle w:val="Strong"/>
        </w:rPr>
        <w:t>Cotización:</w:t>
      </w:r>
      <w:r>
        <w:rPr/>
        <w:t xml:space="preserve"> Mayo 2026 — Tasa estimada: AR$ 1.400 / USD</w:t>
        <w:br/>
      </w:r>
      <w:r>
        <w:rPr>
          <w:rStyle w:val="Strong"/>
        </w:rPr>
        <w:t>Dependencia:</w:t>
      </w:r>
      <w:r>
        <w:rPr/>
        <w:t xml:space="preserve"> Requiere Etapa 3 operativa; motor caracterizado (monofásico o trifásico, potencia exacta).</w:t>
      </w:r>
    </w:p>
    <w:p>
      <w:pPr>
        <w:pStyle w:val="Lneahorizontal"/>
        <w:pBdr>
          <w:bottom w:val="double" w:sz="2" w:space="0" w:color="808080"/>
        </w:pBdr>
        <w:bidi w:val="0"/>
        <w:spacing w:before="0" w:after="226"/>
        <w:jc w:val="start"/>
        <w:rPr/>
      </w:pPr>
      <w:r>
        <w:rPr/>
      </w:r>
    </w:p>
    <w:p>
      <w:pPr>
        <w:pStyle w:val="Heading2"/>
        <w:numPr>
          <w:ilvl w:val="0"/>
          <w:numId w:val="0"/>
        </w:numPr>
        <w:bidi w:val="0"/>
        <w:spacing w:before="222" w:after="0"/>
        <w:ind w:hanging="0" w:start="600" w:end="600"/>
        <w:jc w:val="start"/>
        <w:rPr/>
      </w:pPr>
      <w:r>
        <w:rPr/>
        <w:t>Descripción técnica resumida</w:t>
      </w:r>
    </w:p>
    <w:p>
      <w:pPr>
        <w:pStyle w:val="BodyText"/>
        <w:bidi w:val="0"/>
        <w:spacing w:before="0" w:after="0"/>
        <w:jc w:val="start"/>
        <w:rPr/>
      </w:pPr>
      <w:r>
        <w:rPr/>
        <w:t>Se reemplaza el arranque directo por un variador de frecuencia (VFD) acorde al motor existente (~3 HP). El microcontrolador cierra un lazo PID leyendo un sensor de presión en la red de distribución y enviando una referencia de velocidad al variador. La bomba acelera o frena según la demanda, manteniendo la presión estable.</w:t>
      </w:r>
    </w:p>
    <w:p>
      <w:pPr>
        <w:pStyle w:val="Lneahorizontal"/>
        <w:pBdr>
          <w:bottom w:val="double" w:sz="2" w:space="0" w:color="808080"/>
        </w:pBdr>
        <w:bidi w:val="0"/>
        <w:spacing w:before="0" w:after="0"/>
        <w:jc w:val="start"/>
        <w:rPr/>
      </w:pPr>
      <w:r>
        <w:rPr/>
      </w:r>
    </w:p>
    <w:p>
      <w:pPr>
        <w:pStyle w:val="Heading2"/>
        <w:numPr>
          <w:ilvl w:val="0"/>
          <w:numId w:val="0"/>
        </w:numPr>
        <w:bidi w:val="0"/>
        <w:spacing w:before="450" w:after="120"/>
        <w:ind w:hanging="0" w:start="600" w:end="600"/>
        <w:jc w:val="start"/>
        <w:rPr/>
      </w:pPr>
      <w:r>
        <w:rPr/>
        <w:t>Totales</w:t>
      </w:r>
    </w:p>
    <w:tbl>
      <w:tblPr>
        <w:tblW w:w="8412" w:type="dxa"/>
        <w:jc w:val="start"/>
        <w:tblInd w:w="600" w:type="dxa"/>
        <w:tblLayout w:type="fixed"/>
        <w:tblCellMar>
          <w:top w:w="28" w:type="dxa"/>
          <w:start w:w="28" w:type="dxa"/>
          <w:bottom w:w="28" w:type="dxa"/>
          <w:end w:w="28" w:type="dxa"/>
        </w:tblCellMar>
      </w:tblPr>
      <w:tblGrid>
        <w:gridCol w:w="4164"/>
        <w:gridCol w:w="4247"/>
      </w:tblGrid>
      <w:tr>
        <w:trPr>
          <w:tblHeader w:val="true"/>
        </w:trPr>
        <w:tc>
          <w:tcPr>
            <w:tcW w:w="4164" w:type="dxa"/>
            <w:tcBorders/>
            <w:vAlign w:val="center"/>
          </w:tcPr>
          <w:p>
            <w:pPr>
              <w:pStyle w:val="Ttulodelatabla"/>
              <w:suppressLineNumbers/>
              <w:bidi w:val="0"/>
              <w:spacing w:before="0" w:after="0"/>
              <w:jc w:val="start"/>
              <w:rPr/>
            </w:pPr>
            <w:r>
              <w:rPr/>
              <w:t>Concepto</w:t>
            </w:r>
          </w:p>
        </w:tc>
        <w:tc>
          <w:tcPr>
            <w:tcW w:w="4247" w:type="dxa"/>
            <w:tcBorders/>
            <w:vAlign w:val="center"/>
          </w:tcPr>
          <w:p>
            <w:pPr>
              <w:pStyle w:val="Ttulodelatabla"/>
              <w:suppressLineNumbers/>
              <w:bidi w:val="0"/>
              <w:spacing w:before="0" w:after="0"/>
              <w:jc w:val="start"/>
              <w:rPr/>
            </w:pPr>
            <w:r>
              <w:rPr/>
              <w:t>Importe ARS</w:t>
            </w:r>
          </w:p>
        </w:tc>
      </w:tr>
      <w:tr>
        <w:trPr/>
        <w:tc>
          <w:tcPr>
            <w:tcW w:w="4164" w:type="dxa"/>
            <w:tcBorders/>
            <w:vAlign w:val="center"/>
          </w:tcPr>
          <w:p>
            <w:pPr>
              <w:pStyle w:val="Contenidodelatabla"/>
              <w:bidi w:val="0"/>
              <w:spacing w:before="0" w:after="0"/>
              <w:jc w:val="start"/>
              <w:rPr/>
            </w:pPr>
            <w:r>
              <w:rPr/>
              <w:t>Materiales</w:t>
            </w:r>
          </w:p>
        </w:tc>
        <w:tc>
          <w:tcPr>
            <w:tcW w:w="4247" w:type="dxa"/>
            <w:tcBorders/>
            <w:vAlign w:val="center"/>
          </w:tcPr>
          <w:p>
            <w:pPr>
              <w:pStyle w:val="Contenidodelatabla"/>
              <w:bidi w:val="0"/>
              <w:spacing w:before="0" w:after="0"/>
              <w:jc w:val="start"/>
              <w:rPr/>
            </w:pPr>
            <w:r>
              <w:rPr/>
              <w:t>$518.000 – $868.000</w:t>
            </w:r>
          </w:p>
        </w:tc>
      </w:tr>
      <w:tr>
        <w:trPr/>
        <w:tc>
          <w:tcPr>
            <w:tcW w:w="4164" w:type="dxa"/>
            <w:tcBorders/>
            <w:vAlign w:val="center"/>
          </w:tcPr>
          <w:p>
            <w:pPr>
              <w:pStyle w:val="Contenidodelatabla"/>
              <w:bidi w:val="0"/>
              <w:spacing w:before="0" w:after="0"/>
              <w:jc w:val="start"/>
              <w:rPr/>
            </w:pPr>
            <w:r>
              <w:rPr/>
              <w:t>Mano de obra e instalación</w:t>
            </w:r>
          </w:p>
        </w:tc>
        <w:tc>
          <w:tcPr>
            <w:tcW w:w="4247" w:type="dxa"/>
            <w:tcBorders/>
            <w:vAlign w:val="center"/>
          </w:tcPr>
          <w:p>
            <w:pPr>
              <w:pStyle w:val="Contenidodelatabla"/>
              <w:bidi w:val="0"/>
              <w:spacing w:before="0" w:after="0"/>
              <w:jc w:val="start"/>
              <w:rPr/>
            </w:pPr>
            <w:r>
              <w:rPr/>
              <w:t>$630.000.-</w:t>
            </w:r>
          </w:p>
        </w:tc>
      </w:tr>
      <w:tr>
        <w:trPr/>
        <w:tc>
          <w:tcPr>
            <w:tcW w:w="4164" w:type="dxa"/>
            <w:tcBorders/>
            <w:vAlign w:val="center"/>
          </w:tcPr>
          <w:p>
            <w:pPr>
              <w:pStyle w:val="Contenidodelatabla"/>
              <w:bidi w:val="0"/>
              <w:spacing w:before="0" w:after="0"/>
              <w:jc w:val="start"/>
              <w:rPr/>
            </w:pPr>
            <w:r>
              <w:rPr>
                <w:rStyle w:val="Strong"/>
              </w:rPr>
              <w:t>Total Etapa 4</w:t>
            </w:r>
          </w:p>
        </w:tc>
        <w:tc>
          <w:tcPr>
            <w:tcW w:w="4247" w:type="dxa"/>
            <w:tcBorders/>
            <w:vAlign w:val="center"/>
          </w:tcPr>
          <w:p>
            <w:pPr>
              <w:pStyle w:val="Contenidodelatabla"/>
              <w:bidi w:val="0"/>
              <w:spacing w:before="0" w:after="0"/>
              <w:jc w:val="start"/>
              <w:rPr/>
            </w:pPr>
            <w:r>
              <w:rPr>
                <w:rStyle w:val="Strong"/>
              </w:rPr>
              <w:t>$1.148.000 – $1.498.000</w:t>
            </w:r>
          </w:p>
        </w:tc>
      </w:tr>
    </w:tbl>
    <w:p>
      <w:pPr>
        <w:pStyle w:val="Lneahorizontal"/>
        <w:pBdr>
          <w:bottom w:val="double" w:sz="2" w:space="0" w:color="808080"/>
        </w:pBdr>
        <w:bidi w:val="0"/>
        <w:spacing w:before="0" w:after="283"/>
        <w:jc w:val="start"/>
        <w:rPr/>
      </w:pPr>
      <w:r>
        <w:rPr/>
      </w:r>
    </w:p>
    <w:p>
      <w:pPr>
        <w:pStyle w:val="Heading2"/>
        <w:numPr>
          <w:ilvl w:val="0"/>
          <w:numId w:val="0"/>
        </w:numPr>
        <w:bidi w:val="0"/>
        <w:spacing w:before="450" w:after="120"/>
        <w:ind w:hanging="0" w:start="600" w:end="600"/>
        <w:jc w:val="start"/>
        <w:rPr/>
      </w:pPr>
      <w:r>
        <w:rPr/>
        <w:t>Notas para el presupuesto</w:t>
      </w:r>
    </w:p>
    <w:p>
      <w:pPr>
        <w:pStyle w:val="BodyText"/>
        <w:numPr>
          <w:ilvl w:val="0"/>
          <w:numId w:val="8"/>
        </w:numPr>
        <w:tabs>
          <w:tab w:val="clear" w:pos="1134"/>
          <w:tab w:val="left" w:pos="1309" w:leader="none"/>
        </w:tabs>
        <w:bidi w:val="0"/>
        <w:spacing w:before="0" w:after="0"/>
        <w:ind w:hanging="283" w:start="1309" w:end="600"/>
        <w:jc w:val="start"/>
        <w:rPr/>
      </w:pPr>
      <w:r>
        <w:rPr/>
        <w:t xml:space="preserve">El precio del VFD varía significativamente según marca (Chint/Invt/ATV vs. ABB/Siemens). </w:t>
      </w:r>
    </w:p>
    <w:p>
      <w:pPr>
        <w:pStyle w:val="BodyText"/>
        <w:numPr>
          <w:ilvl w:val="0"/>
          <w:numId w:val="8"/>
        </w:numPr>
        <w:tabs>
          <w:tab w:val="clear" w:pos="1134"/>
          <w:tab w:val="left" w:pos="1309" w:leader="none"/>
        </w:tabs>
        <w:bidi w:val="0"/>
        <w:spacing w:before="0" w:after="0"/>
        <w:ind w:hanging="283" w:start="1309" w:end="600"/>
        <w:jc w:val="start"/>
        <w:rPr/>
      </w:pPr>
      <w:r>
        <w:rPr/>
        <w:t xml:space="preserve">Verificar exactamente si el motor es monofásico o trifásico y su corriente nominal antes de comprar. </w:t>
      </w:r>
    </w:p>
    <w:p>
      <w:pPr>
        <w:pStyle w:val="Heading1"/>
        <w:bidi w:val="0"/>
        <w:spacing w:before="0" w:after="0"/>
        <w:ind w:hanging="0" w:start="0" w:end="0"/>
        <w:jc w:val="start"/>
        <w:rPr>
          <w:sz w:val="28"/>
          <w:szCs w:val="28"/>
        </w:rPr>
      </w:pPr>
      <w:r>
        <w:rPr>
          <w:sz w:val="28"/>
          <w:szCs w:val="28"/>
        </w:rPr>
      </w:r>
    </w:p>
    <w:p>
      <w:pPr>
        <w:pStyle w:val="Heading1"/>
        <w:bidi w:val="0"/>
        <w:spacing w:before="0" w:after="0"/>
        <w:ind w:hanging="0" w:start="0" w:end="0"/>
        <w:jc w:val="start"/>
        <w:rPr/>
      </w:pPr>
      <w:r>
        <w:rPr>
          <w:sz w:val="28"/>
          <w:szCs w:val="28"/>
        </w:rPr>
        <w:t>Anexo E: Independización de infraestructura digital</w:t>
      </w:r>
    </w:p>
    <w:p>
      <w:pPr>
        <w:pStyle w:val="BodyText"/>
        <w:bidi w:val="0"/>
        <w:spacing w:before="0" w:after="0"/>
        <w:jc w:val="start"/>
        <w:rPr/>
      </w:pPr>
      <w:r>
        <w:rPr>
          <w:rStyle w:val="Strong"/>
        </w:rPr>
        <w:t>Anexo transversal:</w:t>
      </w:r>
      <w:r>
        <w:rPr/>
        <w:t xml:space="preserve"> Migración de Grafana e InfluxDB desde AlterMundi a servidor local propio</w:t>
        <w:br/>
      </w:r>
      <w:r>
        <w:rPr>
          <w:rStyle w:val="Strong"/>
        </w:rPr>
        <w:t>Cotización:</w:t>
      </w:r>
      <w:r>
        <w:rPr/>
        <w:t xml:space="preserve"> Mayo 2026 — Tasa estimada: AR$ 1.400 / USD</w:t>
        <w:br/>
      </w:r>
      <w:r>
        <w:rPr>
          <w:rStyle w:val="Strong"/>
        </w:rPr>
        <w:t>Dependencia:</w:t>
      </w:r>
      <w:r>
        <w:rPr/>
        <w:t xml:space="preserve"> Recomendada tras validar la Etapa 1; puede ejecutarse en cualquier momento.</w:t>
      </w:r>
    </w:p>
    <w:p>
      <w:pPr>
        <w:pStyle w:val="Lneahorizontal"/>
        <w:pBdr>
          <w:bottom w:val="double" w:sz="2" w:space="0" w:color="808080"/>
        </w:pBdr>
        <w:bidi w:val="0"/>
        <w:spacing w:before="0" w:after="0"/>
        <w:jc w:val="start"/>
        <w:rPr/>
      </w:pPr>
      <w:r>
        <w:rPr/>
      </w:r>
    </w:p>
    <w:p>
      <w:pPr>
        <w:pStyle w:val="Heading2"/>
        <w:numPr>
          <w:ilvl w:val="0"/>
          <w:numId w:val="0"/>
        </w:numPr>
        <w:bidi w:val="0"/>
        <w:spacing w:before="0" w:after="0"/>
        <w:ind w:hanging="0" w:start="600" w:end="600"/>
        <w:jc w:val="start"/>
        <w:rPr/>
      </w:pPr>
      <w:r>
        <w:rPr/>
        <w:t>Descripción técnica resumida</w:t>
      </w:r>
    </w:p>
    <w:p>
      <w:pPr>
        <w:pStyle w:val="BodyText"/>
        <w:bidi w:val="0"/>
        <w:spacing w:before="0" w:after="0"/>
        <w:jc w:val="start"/>
        <w:rPr/>
      </w:pPr>
      <w:r>
        <w:rPr/>
        <w:t>Se adquiere un minicomputador para ejecutar localmente el stack de telemetría: base de datos de series temporales y panel de visualización. Los datos históricos se respaldan y transfieren; los microcontroladores se reconfiguran para publicar en el servidor local.</w:t>
      </w:r>
    </w:p>
    <w:p>
      <w:pPr>
        <w:pStyle w:val="Lneahorizontal"/>
        <w:pBdr>
          <w:bottom w:val="double" w:sz="2" w:space="0" w:color="808080"/>
        </w:pBdr>
        <w:bidi w:val="0"/>
        <w:spacing w:before="0" w:after="0"/>
        <w:jc w:val="start"/>
        <w:rPr/>
      </w:pPr>
      <w:r>
        <w:rPr/>
      </w:r>
    </w:p>
    <w:p>
      <w:pPr>
        <w:pStyle w:val="Heading2"/>
        <w:numPr>
          <w:ilvl w:val="0"/>
          <w:numId w:val="0"/>
        </w:numPr>
        <w:bidi w:val="0"/>
        <w:spacing w:before="165" w:after="0"/>
        <w:ind w:hanging="0" w:start="600" w:end="600"/>
        <w:jc w:val="start"/>
        <w:rPr/>
      </w:pPr>
      <w:r>
        <w:rPr/>
        <w:t>Totales</w:t>
      </w:r>
    </w:p>
    <w:tbl>
      <w:tblPr>
        <w:tblW w:w="8825" w:type="dxa"/>
        <w:jc w:val="start"/>
        <w:tblInd w:w="583" w:type="dxa"/>
        <w:tblLayout w:type="fixed"/>
        <w:tblCellMar>
          <w:top w:w="28" w:type="dxa"/>
          <w:start w:w="28" w:type="dxa"/>
          <w:bottom w:w="28" w:type="dxa"/>
          <w:end w:w="28" w:type="dxa"/>
        </w:tblCellMar>
      </w:tblPr>
      <w:tblGrid>
        <w:gridCol w:w="4025"/>
        <w:gridCol w:w="4799"/>
      </w:tblGrid>
      <w:tr>
        <w:trPr>
          <w:tblHeader w:val="true"/>
        </w:trPr>
        <w:tc>
          <w:tcPr>
            <w:tcW w:w="4025" w:type="dxa"/>
            <w:tcBorders/>
            <w:vAlign w:val="center"/>
          </w:tcPr>
          <w:p>
            <w:pPr>
              <w:pStyle w:val="Ttulodelatabla"/>
              <w:suppressLineNumbers/>
              <w:bidi w:val="0"/>
              <w:spacing w:before="0" w:after="0"/>
              <w:jc w:val="start"/>
              <w:rPr/>
            </w:pPr>
            <w:r>
              <w:rPr/>
              <w:t>Concepto</w:t>
            </w:r>
          </w:p>
        </w:tc>
        <w:tc>
          <w:tcPr>
            <w:tcW w:w="4799" w:type="dxa"/>
            <w:tcBorders/>
            <w:vAlign w:val="center"/>
          </w:tcPr>
          <w:p>
            <w:pPr>
              <w:pStyle w:val="Ttulodelatabla"/>
              <w:suppressLineNumbers/>
              <w:bidi w:val="0"/>
              <w:spacing w:before="0" w:after="0"/>
              <w:jc w:val="start"/>
              <w:rPr/>
            </w:pPr>
            <w:r>
              <w:rPr/>
              <w:t>Importe ARS</w:t>
            </w:r>
          </w:p>
        </w:tc>
      </w:tr>
      <w:tr>
        <w:trPr/>
        <w:tc>
          <w:tcPr>
            <w:tcW w:w="4025" w:type="dxa"/>
            <w:tcBorders/>
            <w:vAlign w:val="center"/>
          </w:tcPr>
          <w:p>
            <w:pPr>
              <w:pStyle w:val="Contenidodelatabla"/>
              <w:bidi w:val="0"/>
              <w:spacing w:before="0" w:after="0"/>
              <w:jc w:val="start"/>
              <w:rPr/>
            </w:pPr>
            <w:r>
              <w:rPr/>
              <w:t>Equipamiento</w:t>
            </w:r>
          </w:p>
        </w:tc>
        <w:tc>
          <w:tcPr>
            <w:tcW w:w="4799" w:type="dxa"/>
            <w:tcBorders/>
            <w:vAlign w:val="center"/>
          </w:tcPr>
          <w:p>
            <w:pPr>
              <w:pStyle w:val="Contenidodelatabla"/>
              <w:bidi w:val="0"/>
              <w:spacing w:before="0" w:after="0"/>
              <w:jc w:val="start"/>
              <w:rPr/>
            </w:pPr>
            <w:r>
              <w:rPr/>
              <w:t>$175.000 – $304.000</w:t>
            </w:r>
          </w:p>
        </w:tc>
      </w:tr>
      <w:tr>
        <w:trPr/>
        <w:tc>
          <w:tcPr>
            <w:tcW w:w="4025" w:type="dxa"/>
            <w:tcBorders/>
            <w:vAlign w:val="center"/>
          </w:tcPr>
          <w:p>
            <w:pPr>
              <w:pStyle w:val="Contenidodelatabla"/>
              <w:bidi w:val="0"/>
              <w:spacing w:before="0" w:after="0"/>
              <w:jc w:val="start"/>
              <w:rPr/>
            </w:pPr>
            <w:r>
              <w:rPr/>
              <w:t xml:space="preserve">Implementación y migración </w:t>
            </w:r>
          </w:p>
        </w:tc>
        <w:tc>
          <w:tcPr>
            <w:tcW w:w="4799" w:type="dxa"/>
            <w:tcBorders/>
            <w:vAlign w:val="center"/>
          </w:tcPr>
          <w:p>
            <w:pPr>
              <w:pStyle w:val="Contenidodelatabla"/>
              <w:bidi w:val="0"/>
              <w:spacing w:before="0" w:after="0"/>
              <w:jc w:val="start"/>
              <w:rPr/>
            </w:pPr>
            <w:r>
              <w:rPr/>
              <w:t>$110.000</w:t>
            </w:r>
          </w:p>
        </w:tc>
      </w:tr>
      <w:tr>
        <w:trPr/>
        <w:tc>
          <w:tcPr>
            <w:tcW w:w="4025" w:type="dxa"/>
            <w:tcBorders/>
            <w:vAlign w:val="center"/>
          </w:tcPr>
          <w:p>
            <w:pPr>
              <w:pStyle w:val="Contenidodelatabla"/>
              <w:bidi w:val="0"/>
              <w:spacing w:before="0" w:after="0"/>
              <w:jc w:val="start"/>
              <w:rPr/>
            </w:pPr>
            <w:r>
              <w:rPr>
                <w:rStyle w:val="Strong"/>
              </w:rPr>
              <w:t>Total Independización</w:t>
            </w:r>
          </w:p>
        </w:tc>
        <w:tc>
          <w:tcPr>
            <w:tcW w:w="4799" w:type="dxa"/>
            <w:tcBorders/>
            <w:vAlign w:val="center"/>
          </w:tcPr>
          <w:p>
            <w:pPr>
              <w:pStyle w:val="Contenidodelatabla"/>
              <w:bidi w:val="0"/>
              <w:spacing w:before="0" w:after="0"/>
              <w:jc w:val="start"/>
              <w:rPr/>
            </w:pPr>
            <w:r>
              <w:rPr>
                <w:rStyle w:val="Strong"/>
              </w:rPr>
              <w:t>$285.000 – $414.000</w:t>
            </w:r>
          </w:p>
        </w:tc>
      </w:tr>
    </w:tbl>
    <w:p>
      <w:pPr>
        <w:pStyle w:val="Lneahorizontal"/>
        <w:pBdr>
          <w:bottom w:val="double" w:sz="2" w:space="0" w:color="808080"/>
        </w:pBdr>
        <w:bidi w:val="0"/>
        <w:spacing w:before="0" w:after="283"/>
        <w:jc w:val="start"/>
        <w:rPr/>
      </w:pPr>
      <w:r>
        <w:rPr/>
      </w:r>
    </w:p>
    <w:p>
      <w:pPr>
        <w:pStyle w:val="Heading1"/>
        <w:bidi w:val="0"/>
        <w:spacing w:before="372" w:after="55"/>
        <w:ind w:hanging="0" w:start="0" w:end="0"/>
        <w:jc w:val="start"/>
        <w:rPr>
          <w:sz w:val="28"/>
          <w:szCs w:val="28"/>
        </w:rPr>
      </w:pPr>
      <w:r>
        <w:rPr>
          <w:sz w:val="28"/>
          <w:szCs w:val="28"/>
        </w:rPr>
        <w:t>Anexo F: Resumen de inversión acumulada y roadmap</w:t>
      </w:r>
    </w:p>
    <w:p>
      <w:pPr>
        <w:pStyle w:val="BodyText"/>
        <w:bidi w:val="0"/>
        <w:spacing w:before="0" w:after="0"/>
        <w:jc w:val="start"/>
        <w:rPr/>
      </w:pPr>
      <w:r>
        <w:rPr>
          <w:rStyle w:val="Strong"/>
        </w:rPr>
        <w:t>Cotización:</w:t>
      </w:r>
      <w:r>
        <w:rPr/>
        <w:t xml:space="preserve"> Mayo 2026 — Tasa estimada: AR$ 1.400 / USD</w:t>
      </w:r>
    </w:p>
    <w:p>
      <w:pPr>
        <w:pStyle w:val="Lneahorizontal"/>
        <w:pBdr>
          <w:bottom w:val="double" w:sz="2" w:space="0" w:color="808080"/>
        </w:pBdr>
        <w:bidi w:val="0"/>
        <w:spacing w:before="0" w:after="0"/>
        <w:jc w:val="start"/>
        <w:rPr/>
      </w:pPr>
      <w:r>
        <w:rPr/>
      </w:r>
    </w:p>
    <w:p>
      <w:pPr>
        <w:pStyle w:val="Heading2"/>
        <w:numPr>
          <w:ilvl w:val="0"/>
          <w:numId w:val="0"/>
        </w:numPr>
        <w:bidi w:val="0"/>
        <w:spacing w:before="165" w:after="0"/>
        <w:ind w:hanging="0" w:start="600" w:end="600"/>
        <w:jc w:val="start"/>
        <w:rPr/>
      </w:pPr>
      <w:r>
        <w:rPr/>
        <w:t>Tabla resumen por etapa</w:t>
      </w:r>
    </w:p>
    <w:tbl>
      <w:tblPr>
        <w:tblW w:w="9831" w:type="dxa"/>
        <w:jc w:val="start"/>
        <w:tblInd w:w="346" w:type="dxa"/>
        <w:tblLayout w:type="fixed"/>
        <w:tblCellMar>
          <w:top w:w="28" w:type="dxa"/>
          <w:start w:w="28" w:type="dxa"/>
          <w:bottom w:w="28" w:type="dxa"/>
          <w:end w:w="28" w:type="dxa"/>
        </w:tblCellMar>
      </w:tblPr>
      <w:tblGrid>
        <w:gridCol w:w="528"/>
        <w:gridCol w:w="3207"/>
        <w:gridCol w:w="2204"/>
        <w:gridCol w:w="2331"/>
        <w:gridCol w:w="1561"/>
      </w:tblGrid>
      <w:tr>
        <w:trPr>
          <w:tblHeader w:val="true"/>
        </w:trPr>
        <w:tc>
          <w:tcPr>
            <w:tcW w:w="528" w:type="dxa"/>
            <w:tcBorders>
              <w:top w:val="single" w:sz="2" w:space="0" w:color="666666"/>
              <w:start w:val="single" w:sz="2" w:space="0" w:color="666666"/>
              <w:bottom w:val="single" w:sz="2" w:space="0" w:color="666666"/>
            </w:tcBorders>
            <w:vAlign w:val="center"/>
          </w:tcPr>
          <w:p>
            <w:pPr>
              <w:pStyle w:val="Ttulodelatabla"/>
              <w:spacing w:before="0" w:after="283"/>
              <w:ind w:hanging="0" w:start="0" w:end="0"/>
              <w:jc w:val="start"/>
              <w:rPr>
                <w:sz w:val="18"/>
                <w:szCs w:val="18"/>
              </w:rPr>
            </w:pPr>
            <w:r>
              <w:rPr>
                <w:sz w:val="18"/>
                <w:szCs w:val="18"/>
              </w:rPr>
              <w:t>Etapa</w:t>
            </w:r>
          </w:p>
        </w:tc>
        <w:tc>
          <w:tcPr>
            <w:tcW w:w="3207" w:type="dxa"/>
            <w:tcBorders>
              <w:top w:val="single" w:sz="2" w:space="0" w:color="666666"/>
              <w:start w:val="single" w:sz="2" w:space="0" w:color="666666"/>
              <w:bottom w:val="single" w:sz="2" w:space="0" w:color="666666"/>
            </w:tcBorders>
            <w:vAlign w:val="center"/>
          </w:tcPr>
          <w:p>
            <w:pPr>
              <w:pStyle w:val="Ttulodelatabla"/>
              <w:spacing w:before="0" w:after="283"/>
              <w:ind w:hanging="0" w:start="0" w:end="0"/>
              <w:jc w:val="start"/>
              <w:rPr/>
            </w:pPr>
            <w:r>
              <w:rPr/>
              <w:t>Concepto</w:t>
            </w:r>
          </w:p>
        </w:tc>
        <w:tc>
          <w:tcPr>
            <w:tcW w:w="2204" w:type="dxa"/>
            <w:tcBorders>
              <w:top w:val="single" w:sz="2" w:space="0" w:color="666666"/>
              <w:start w:val="single" w:sz="2" w:space="0" w:color="666666"/>
              <w:bottom w:val="single" w:sz="2" w:space="0" w:color="666666"/>
            </w:tcBorders>
            <w:vAlign w:val="center"/>
          </w:tcPr>
          <w:p>
            <w:pPr>
              <w:pStyle w:val="Ttulodelatabla"/>
              <w:spacing w:before="0" w:after="283"/>
              <w:ind w:hanging="0" w:start="0" w:end="0"/>
              <w:jc w:val="start"/>
              <w:rPr/>
            </w:pPr>
            <w:r>
              <w:rPr/>
              <w:t>Inversión ARS</w:t>
            </w:r>
          </w:p>
        </w:tc>
        <w:tc>
          <w:tcPr>
            <w:tcW w:w="2331" w:type="dxa"/>
            <w:tcBorders>
              <w:top w:val="single" w:sz="2" w:space="0" w:color="666666"/>
              <w:start w:val="single" w:sz="2" w:space="0" w:color="666666"/>
              <w:bottom w:val="single" w:sz="2" w:space="0" w:color="666666"/>
            </w:tcBorders>
            <w:vAlign w:val="center"/>
          </w:tcPr>
          <w:p>
            <w:pPr>
              <w:pStyle w:val="Ttulodelatabla"/>
              <w:spacing w:before="0" w:after="283"/>
              <w:ind w:hanging="0" w:start="0" w:end="0"/>
              <w:jc w:val="start"/>
              <w:rPr/>
            </w:pPr>
            <w:r>
              <w:rPr/>
              <w:t>Acumulado ARS</w:t>
            </w:r>
          </w:p>
        </w:tc>
        <w:tc>
          <w:tcPr>
            <w:tcW w:w="1561" w:type="dxa"/>
            <w:tcBorders>
              <w:top w:val="single" w:sz="2" w:space="0" w:color="666666"/>
              <w:start w:val="single" w:sz="2" w:space="0" w:color="666666"/>
              <w:bottom w:val="single" w:sz="2" w:space="0" w:color="666666"/>
              <w:end w:val="single" w:sz="2" w:space="0" w:color="666666"/>
            </w:tcBorders>
            <w:vAlign w:val="center"/>
          </w:tcPr>
          <w:p>
            <w:pPr>
              <w:pStyle w:val="Ttulodelatabla"/>
              <w:spacing w:before="0" w:after="283"/>
              <w:ind w:hanging="0" w:start="0" w:end="0"/>
              <w:jc w:val="start"/>
              <w:rPr/>
            </w:pPr>
            <w:r>
              <w:rPr/>
              <w:t>Plazo estimado</w:t>
            </w:r>
          </w:p>
        </w:tc>
      </w:tr>
      <w:tr>
        <w:trPr/>
        <w:tc>
          <w:tcPr>
            <w:tcW w:w="528" w:type="dxa"/>
            <w:tcBorders>
              <w:start w:val="single" w:sz="2" w:space="0" w:color="666666"/>
              <w:bottom w:val="single" w:sz="2" w:space="0" w:color="666666"/>
            </w:tcBorders>
            <w:vAlign w:val="center"/>
          </w:tcPr>
          <w:p>
            <w:pPr>
              <w:pStyle w:val="Contenidodelatabla"/>
              <w:spacing w:before="0" w:after="283"/>
              <w:ind w:hanging="0" w:start="0" w:end="0"/>
              <w:rPr/>
            </w:pPr>
            <w:r>
              <w:rPr/>
              <w:t>1</w:t>
            </w:r>
          </w:p>
        </w:tc>
        <w:tc>
          <w:tcPr>
            <w:tcW w:w="3207" w:type="dxa"/>
            <w:tcBorders>
              <w:start w:val="single" w:sz="2" w:space="0" w:color="666666"/>
              <w:bottom w:val="single" w:sz="2" w:space="0" w:color="666666"/>
            </w:tcBorders>
            <w:vAlign w:val="center"/>
          </w:tcPr>
          <w:p>
            <w:pPr>
              <w:pStyle w:val="Contenidodelatabla"/>
              <w:spacing w:before="0" w:after="283"/>
              <w:ind w:hanging="0" w:start="0" w:end="0"/>
              <w:rPr/>
            </w:pPr>
            <w:r>
              <w:rPr/>
              <w:t>MVP Monitoreo (2 cisternas)</w:t>
            </w:r>
          </w:p>
        </w:tc>
        <w:tc>
          <w:tcPr>
            <w:tcW w:w="2204" w:type="dxa"/>
            <w:tcBorders>
              <w:start w:val="single" w:sz="2" w:space="0" w:color="666666"/>
              <w:bottom w:val="single" w:sz="2" w:space="0" w:color="666666"/>
            </w:tcBorders>
            <w:vAlign w:val="center"/>
          </w:tcPr>
          <w:p>
            <w:pPr>
              <w:pStyle w:val="Contenidodelatabla"/>
              <w:spacing w:before="0" w:after="283"/>
              <w:ind w:hanging="0" w:start="0" w:end="0"/>
              <w:rPr/>
            </w:pPr>
            <w:r>
              <w:rPr/>
              <w:t>$402.000–$500.000</w:t>
            </w:r>
          </w:p>
        </w:tc>
        <w:tc>
          <w:tcPr>
            <w:tcW w:w="2331" w:type="dxa"/>
            <w:tcBorders>
              <w:start w:val="single" w:sz="2" w:space="0" w:color="666666"/>
              <w:bottom w:val="single" w:sz="2" w:space="0" w:color="666666"/>
            </w:tcBorders>
            <w:vAlign w:val="center"/>
          </w:tcPr>
          <w:p>
            <w:pPr>
              <w:pStyle w:val="Contenidodelatabla"/>
              <w:spacing w:before="0" w:after="283"/>
              <w:ind w:hanging="0" w:start="0" w:end="0"/>
              <w:rPr/>
            </w:pPr>
            <w:r>
              <w:rPr/>
              <w:t>$402.000–$500.000</w:t>
            </w:r>
          </w:p>
        </w:tc>
        <w:tc>
          <w:tcPr>
            <w:tcW w:w="1561" w:type="dxa"/>
            <w:tcBorders>
              <w:start w:val="single" w:sz="2" w:space="0" w:color="666666"/>
              <w:bottom w:val="single" w:sz="2" w:space="0" w:color="666666"/>
              <w:end w:val="single" w:sz="2" w:space="0" w:color="666666"/>
            </w:tcBorders>
            <w:vAlign w:val="center"/>
          </w:tcPr>
          <w:p>
            <w:pPr>
              <w:pStyle w:val="Contenidodelatabla"/>
              <w:spacing w:before="0" w:after="283"/>
              <w:ind w:hanging="0" w:start="0" w:end="0"/>
              <w:rPr/>
            </w:pPr>
            <w:r>
              <w:rPr/>
              <w:t>15–30 días</w:t>
            </w:r>
          </w:p>
        </w:tc>
      </w:tr>
      <w:tr>
        <w:trPr/>
        <w:tc>
          <w:tcPr>
            <w:tcW w:w="528" w:type="dxa"/>
            <w:tcBorders>
              <w:start w:val="single" w:sz="2" w:space="0" w:color="666666"/>
              <w:bottom w:val="single" w:sz="2" w:space="0" w:color="666666"/>
            </w:tcBorders>
            <w:vAlign w:val="center"/>
          </w:tcPr>
          <w:p>
            <w:pPr>
              <w:pStyle w:val="Contenidodelatabla"/>
              <w:spacing w:before="0" w:after="283"/>
              <w:ind w:hanging="0" w:start="0" w:end="0"/>
              <w:rPr/>
            </w:pPr>
            <w:r>
              <w:rPr/>
              <w:t>2</w:t>
            </w:r>
          </w:p>
        </w:tc>
        <w:tc>
          <w:tcPr>
            <w:tcW w:w="3207" w:type="dxa"/>
            <w:tcBorders>
              <w:start w:val="single" w:sz="2" w:space="0" w:color="666666"/>
              <w:bottom w:val="single" w:sz="2" w:space="0" w:color="666666"/>
            </w:tcBorders>
            <w:vAlign w:val="center"/>
          </w:tcPr>
          <w:p>
            <w:pPr>
              <w:pStyle w:val="Contenidodelatabla"/>
              <w:spacing w:before="0" w:after="283"/>
              <w:ind w:hanging="0" w:start="0" w:end="0"/>
              <w:rPr/>
            </w:pPr>
            <w:r>
              <w:rPr/>
              <w:t>Pozos, válvulas y caudal</w:t>
            </w:r>
          </w:p>
        </w:tc>
        <w:tc>
          <w:tcPr>
            <w:tcW w:w="2204" w:type="dxa"/>
            <w:tcBorders>
              <w:start w:val="single" w:sz="2" w:space="0" w:color="666666"/>
              <w:bottom w:val="single" w:sz="2" w:space="0" w:color="666666"/>
            </w:tcBorders>
            <w:vAlign w:val="center"/>
          </w:tcPr>
          <w:p>
            <w:pPr>
              <w:pStyle w:val="Contenidodelatabla"/>
              <w:spacing w:before="0" w:after="283"/>
              <w:ind w:hanging="0" w:start="0" w:end="0"/>
              <w:rPr/>
            </w:pPr>
            <w:r>
              <w:rPr/>
              <w:t>$816.000–$1.040.000</w:t>
            </w:r>
          </w:p>
        </w:tc>
        <w:tc>
          <w:tcPr>
            <w:tcW w:w="2331" w:type="dxa"/>
            <w:tcBorders>
              <w:start w:val="single" w:sz="2" w:space="0" w:color="666666"/>
              <w:bottom w:val="single" w:sz="2" w:space="0" w:color="666666"/>
            </w:tcBorders>
            <w:vAlign w:val="center"/>
          </w:tcPr>
          <w:p>
            <w:pPr>
              <w:pStyle w:val="Contenidodelatabla"/>
              <w:spacing w:before="0" w:after="283"/>
              <w:ind w:hanging="0" w:start="0" w:end="0"/>
              <w:rPr/>
            </w:pPr>
            <w:r>
              <w:rPr/>
              <w:t>$1.218.000–$1.540.000</w:t>
            </w:r>
          </w:p>
        </w:tc>
        <w:tc>
          <w:tcPr>
            <w:tcW w:w="1561" w:type="dxa"/>
            <w:tcBorders>
              <w:start w:val="single" w:sz="2" w:space="0" w:color="666666"/>
              <w:bottom w:val="single" w:sz="2" w:space="0" w:color="666666"/>
              <w:end w:val="single" w:sz="2" w:space="0" w:color="666666"/>
            </w:tcBorders>
            <w:vAlign w:val="center"/>
          </w:tcPr>
          <w:p>
            <w:pPr>
              <w:pStyle w:val="Contenidodelatabla"/>
              <w:spacing w:before="0" w:after="283"/>
              <w:ind w:hanging="0" w:start="0" w:end="0"/>
              <w:rPr/>
            </w:pPr>
            <w:r>
              <w:rPr/>
              <w:t>1-2 meses</w:t>
            </w:r>
          </w:p>
        </w:tc>
      </w:tr>
      <w:tr>
        <w:trPr/>
        <w:tc>
          <w:tcPr>
            <w:tcW w:w="528" w:type="dxa"/>
            <w:tcBorders>
              <w:start w:val="single" w:sz="2" w:space="0" w:color="666666"/>
              <w:bottom w:val="single" w:sz="2" w:space="0" w:color="666666"/>
            </w:tcBorders>
            <w:vAlign w:val="center"/>
          </w:tcPr>
          <w:p>
            <w:pPr>
              <w:pStyle w:val="Contenidodelatabla"/>
              <w:spacing w:before="0" w:after="283"/>
              <w:ind w:hanging="0" w:start="0" w:end="0"/>
              <w:rPr/>
            </w:pPr>
            <w:r>
              <w:rPr/>
              <w:t>3</w:t>
            </w:r>
          </w:p>
        </w:tc>
        <w:tc>
          <w:tcPr>
            <w:tcW w:w="3207" w:type="dxa"/>
            <w:tcBorders>
              <w:start w:val="single" w:sz="2" w:space="0" w:color="666666"/>
              <w:bottom w:val="single" w:sz="2" w:space="0" w:color="666666"/>
            </w:tcBorders>
            <w:vAlign w:val="center"/>
          </w:tcPr>
          <w:p>
            <w:pPr>
              <w:pStyle w:val="Contenidodelatabla"/>
              <w:spacing w:before="0" w:after="283"/>
              <w:ind w:hanging="0" w:start="0" w:end="0"/>
              <w:rPr/>
            </w:pPr>
            <w:r>
              <w:rPr/>
              <w:t>Automatización on/off</w:t>
            </w:r>
          </w:p>
        </w:tc>
        <w:tc>
          <w:tcPr>
            <w:tcW w:w="2204" w:type="dxa"/>
            <w:tcBorders>
              <w:start w:val="single" w:sz="2" w:space="0" w:color="666666"/>
              <w:bottom w:val="single" w:sz="2" w:space="0" w:color="666666"/>
            </w:tcBorders>
            <w:vAlign w:val="center"/>
          </w:tcPr>
          <w:p>
            <w:pPr>
              <w:pStyle w:val="Contenidodelatabla"/>
              <w:spacing w:before="0" w:after="283"/>
              <w:ind w:hanging="0" w:start="0" w:end="0"/>
              <w:rPr/>
            </w:pPr>
            <w:r>
              <w:rPr/>
              <w:t>$319.000–$399.000</w:t>
            </w:r>
          </w:p>
        </w:tc>
        <w:tc>
          <w:tcPr>
            <w:tcW w:w="2331" w:type="dxa"/>
            <w:tcBorders>
              <w:start w:val="single" w:sz="2" w:space="0" w:color="666666"/>
              <w:bottom w:val="single" w:sz="2" w:space="0" w:color="666666"/>
            </w:tcBorders>
            <w:vAlign w:val="center"/>
          </w:tcPr>
          <w:p>
            <w:pPr>
              <w:pStyle w:val="Contenidodelatabla"/>
              <w:spacing w:before="0" w:after="283"/>
              <w:ind w:hanging="0" w:start="0" w:end="0"/>
              <w:rPr/>
            </w:pPr>
            <w:r>
              <w:rPr/>
              <w:t>$1.537.000–$1.939.000</w:t>
            </w:r>
          </w:p>
        </w:tc>
        <w:tc>
          <w:tcPr>
            <w:tcW w:w="1561" w:type="dxa"/>
            <w:tcBorders>
              <w:start w:val="single" w:sz="2" w:space="0" w:color="666666"/>
              <w:bottom w:val="single" w:sz="2" w:space="0" w:color="666666"/>
              <w:end w:val="single" w:sz="2" w:space="0" w:color="666666"/>
            </w:tcBorders>
            <w:vAlign w:val="center"/>
          </w:tcPr>
          <w:p>
            <w:pPr>
              <w:pStyle w:val="Contenidodelatabla"/>
              <w:spacing w:before="0" w:after="283"/>
              <w:ind w:hanging="0" w:start="0" w:end="0"/>
              <w:rPr/>
            </w:pPr>
            <w:r>
              <w:rPr/>
              <w:t>15–30 días</w:t>
            </w:r>
          </w:p>
        </w:tc>
      </w:tr>
      <w:tr>
        <w:trPr/>
        <w:tc>
          <w:tcPr>
            <w:tcW w:w="528" w:type="dxa"/>
            <w:tcBorders>
              <w:start w:val="single" w:sz="2" w:space="0" w:color="666666"/>
              <w:bottom w:val="single" w:sz="2" w:space="0" w:color="666666"/>
            </w:tcBorders>
            <w:vAlign w:val="center"/>
          </w:tcPr>
          <w:p>
            <w:pPr>
              <w:pStyle w:val="Contenidodelatabla"/>
              <w:spacing w:before="0" w:after="283"/>
              <w:ind w:hanging="0" w:start="0" w:end="0"/>
              <w:rPr/>
            </w:pPr>
            <w:r>
              <w:rPr/>
              <w:t>4</w:t>
            </w:r>
          </w:p>
        </w:tc>
        <w:tc>
          <w:tcPr>
            <w:tcW w:w="3207" w:type="dxa"/>
            <w:tcBorders>
              <w:start w:val="single" w:sz="2" w:space="0" w:color="666666"/>
              <w:bottom w:val="single" w:sz="2" w:space="0" w:color="666666"/>
            </w:tcBorders>
            <w:vAlign w:val="center"/>
          </w:tcPr>
          <w:p>
            <w:pPr>
              <w:pStyle w:val="Contenidodelatabla"/>
              <w:spacing w:before="0" w:after="283"/>
              <w:ind w:hanging="0" w:start="0" w:end="0"/>
              <w:rPr/>
            </w:pPr>
            <w:r>
              <w:rPr/>
              <w:t>VFD + presión constante</w:t>
            </w:r>
          </w:p>
        </w:tc>
        <w:tc>
          <w:tcPr>
            <w:tcW w:w="2204" w:type="dxa"/>
            <w:tcBorders>
              <w:start w:val="single" w:sz="2" w:space="0" w:color="666666"/>
              <w:bottom w:val="single" w:sz="2" w:space="0" w:color="666666"/>
            </w:tcBorders>
            <w:vAlign w:val="center"/>
          </w:tcPr>
          <w:p>
            <w:pPr>
              <w:pStyle w:val="Contenidodelatabla"/>
              <w:spacing w:before="0" w:after="283"/>
              <w:ind w:hanging="0" w:start="0" w:end="0"/>
              <w:rPr/>
            </w:pPr>
            <w:r>
              <w:rPr/>
              <w:t>$1.148.000–$1.498.000</w:t>
            </w:r>
          </w:p>
        </w:tc>
        <w:tc>
          <w:tcPr>
            <w:tcW w:w="2331" w:type="dxa"/>
            <w:tcBorders>
              <w:start w:val="single" w:sz="2" w:space="0" w:color="666666"/>
              <w:bottom w:val="single" w:sz="2" w:space="0" w:color="666666"/>
            </w:tcBorders>
            <w:vAlign w:val="center"/>
          </w:tcPr>
          <w:p>
            <w:pPr>
              <w:pStyle w:val="Contenidodelatabla"/>
              <w:spacing w:before="0" w:after="283"/>
              <w:ind w:hanging="0" w:start="0" w:end="0"/>
              <w:rPr/>
            </w:pPr>
            <w:r>
              <w:rPr/>
              <w:t>$2.685.000–$3.437.000</w:t>
            </w:r>
          </w:p>
        </w:tc>
        <w:tc>
          <w:tcPr>
            <w:tcW w:w="1561" w:type="dxa"/>
            <w:tcBorders>
              <w:start w:val="single" w:sz="2" w:space="0" w:color="666666"/>
              <w:bottom w:val="single" w:sz="2" w:space="0" w:color="666666"/>
              <w:end w:val="single" w:sz="2" w:space="0" w:color="666666"/>
            </w:tcBorders>
            <w:vAlign w:val="center"/>
          </w:tcPr>
          <w:p>
            <w:pPr>
              <w:pStyle w:val="Contenidodelatabla"/>
              <w:spacing w:before="0" w:after="283"/>
              <w:ind w:hanging="0" w:start="0" w:end="0"/>
              <w:rPr/>
            </w:pPr>
            <w:r>
              <w:rPr/>
              <w:t>1 mes</w:t>
            </w:r>
          </w:p>
        </w:tc>
      </w:tr>
      <w:tr>
        <w:trPr/>
        <w:tc>
          <w:tcPr>
            <w:tcW w:w="528" w:type="dxa"/>
            <w:tcBorders>
              <w:start w:val="single" w:sz="2" w:space="0" w:color="666666"/>
              <w:bottom w:val="single" w:sz="2" w:space="0" w:color="666666"/>
            </w:tcBorders>
            <w:vAlign w:val="center"/>
          </w:tcPr>
          <w:p>
            <w:pPr>
              <w:pStyle w:val="Contenidodelatabla"/>
              <w:spacing w:before="0" w:after="283"/>
              <w:ind w:hanging="0" w:start="0" w:end="0"/>
              <w:rPr/>
            </w:pPr>
            <w:r>
              <w:rPr>
                <w:rStyle w:val="Strong"/>
                <w:b w:val="false"/>
                <w:bCs w:val="false"/>
              </w:rPr>
              <w:t>T</w:t>
            </w:r>
          </w:p>
        </w:tc>
        <w:tc>
          <w:tcPr>
            <w:tcW w:w="3207" w:type="dxa"/>
            <w:tcBorders>
              <w:start w:val="single" w:sz="2" w:space="0" w:color="666666"/>
              <w:bottom w:val="single" w:sz="2" w:space="0" w:color="666666"/>
            </w:tcBorders>
            <w:vAlign w:val="center"/>
          </w:tcPr>
          <w:p>
            <w:pPr>
              <w:pStyle w:val="Contenidodelatabla"/>
              <w:spacing w:before="0" w:after="283"/>
              <w:ind w:hanging="0" w:start="0" w:end="0"/>
              <w:rPr/>
            </w:pPr>
            <w:r>
              <w:rPr>
                <w:rStyle w:val="Strong"/>
                <w:b w:val="false"/>
                <w:bCs w:val="false"/>
              </w:rPr>
              <w:t>Independización infraestructura</w:t>
            </w:r>
          </w:p>
        </w:tc>
        <w:tc>
          <w:tcPr>
            <w:tcW w:w="2204" w:type="dxa"/>
            <w:tcBorders>
              <w:start w:val="single" w:sz="2" w:space="0" w:color="666666"/>
              <w:bottom w:val="single" w:sz="2" w:space="0" w:color="666666"/>
            </w:tcBorders>
            <w:vAlign w:val="center"/>
          </w:tcPr>
          <w:p>
            <w:pPr>
              <w:pStyle w:val="Contenidodelatabla"/>
              <w:spacing w:before="0" w:after="283"/>
              <w:ind w:hanging="0" w:start="0" w:end="0"/>
              <w:rPr/>
            </w:pPr>
            <w:r>
              <w:rPr>
                <w:rStyle w:val="Strong"/>
                <w:b w:val="false"/>
                <w:bCs w:val="false"/>
              </w:rPr>
              <w:t>$285.000–$414.000</w:t>
            </w:r>
          </w:p>
        </w:tc>
        <w:tc>
          <w:tcPr>
            <w:tcW w:w="2331" w:type="dxa"/>
            <w:tcBorders>
              <w:start w:val="single" w:sz="2" w:space="0" w:color="666666"/>
              <w:bottom w:val="single" w:sz="2" w:space="0" w:color="666666"/>
            </w:tcBorders>
            <w:vAlign w:val="center"/>
          </w:tcPr>
          <w:p>
            <w:pPr>
              <w:pStyle w:val="Contenidodelatabla"/>
              <w:spacing w:before="0" w:after="283"/>
              <w:ind w:hanging="0" w:start="0" w:end="0"/>
              <w:rPr/>
            </w:pPr>
            <w:r>
              <w:rPr>
                <w:rStyle w:val="Emphasis"/>
                <w:i w:val="false"/>
                <w:iCs w:val="false"/>
              </w:rPr>
              <w:t>$2.970.000 - $3.851.000</w:t>
            </w:r>
          </w:p>
        </w:tc>
        <w:tc>
          <w:tcPr>
            <w:tcW w:w="1561" w:type="dxa"/>
            <w:tcBorders>
              <w:start w:val="single" w:sz="2" w:space="0" w:color="666666"/>
              <w:bottom w:val="single" w:sz="2" w:space="0" w:color="666666"/>
              <w:end w:val="single" w:sz="2" w:space="0" w:color="666666"/>
            </w:tcBorders>
            <w:vAlign w:val="center"/>
          </w:tcPr>
          <w:p>
            <w:pPr>
              <w:pStyle w:val="Contenidodelatabla"/>
              <w:spacing w:before="0" w:after="283"/>
              <w:ind w:hanging="0" w:start="0" w:end="0"/>
              <w:rPr/>
            </w:pPr>
            <w:r>
              <w:rPr/>
              <w:t>15–30 días</w:t>
            </w:r>
          </w:p>
        </w:tc>
      </w:tr>
    </w:tbl>
    <w:p>
      <w:pPr>
        <w:pStyle w:val="Lneahorizontal"/>
        <w:pBdr>
          <w:bottom w:val="double" w:sz="2" w:space="0" w:color="808080"/>
        </w:pBdr>
        <w:bidi w:val="0"/>
        <w:spacing w:before="0" w:after="283"/>
        <w:jc w:val="start"/>
        <w:rPr/>
      </w:pPr>
      <w:r>
        <w:rPr/>
      </w:r>
    </w:p>
    <w:p>
      <w:pPr>
        <w:pStyle w:val="Heading2"/>
        <w:numPr>
          <w:ilvl w:val="0"/>
          <w:numId w:val="0"/>
        </w:numPr>
        <w:bidi w:val="0"/>
        <w:spacing w:before="108" w:after="0"/>
        <w:ind w:hanging="0" w:start="600" w:end="600"/>
        <w:jc w:val="start"/>
        <w:rPr/>
      </w:pPr>
      <w:r>
        <w:rPr/>
        <w:t>Inversión mínima y máxima según escenario</w:t>
      </w:r>
    </w:p>
    <w:tbl>
      <w:tblPr>
        <w:tblW w:w="9877" w:type="dxa"/>
        <w:jc w:val="start"/>
        <w:tblInd w:w="289" w:type="dxa"/>
        <w:tblLayout w:type="fixed"/>
        <w:tblCellMar>
          <w:top w:w="28" w:type="dxa"/>
          <w:start w:w="28" w:type="dxa"/>
          <w:bottom w:w="28" w:type="dxa"/>
          <w:end w:w="28" w:type="dxa"/>
        </w:tblCellMar>
      </w:tblPr>
      <w:tblGrid>
        <w:gridCol w:w="4165"/>
        <w:gridCol w:w="1636"/>
        <w:gridCol w:w="4076"/>
      </w:tblGrid>
      <w:tr>
        <w:trPr>
          <w:tblHeader w:val="true"/>
        </w:trPr>
        <w:tc>
          <w:tcPr>
            <w:tcW w:w="4165" w:type="dxa"/>
            <w:tcBorders>
              <w:top w:val="single" w:sz="2" w:space="0" w:color="666666"/>
              <w:start w:val="single" w:sz="2" w:space="0" w:color="666666"/>
              <w:bottom w:val="single" w:sz="2" w:space="0" w:color="666666"/>
            </w:tcBorders>
            <w:vAlign w:val="center"/>
          </w:tcPr>
          <w:p>
            <w:pPr>
              <w:pStyle w:val="Ttulodelatabla"/>
              <w:spacing w:before="0" w:after="283"/>
              <w:ind w:hanging="0" w:start="0" w:end="0"/>
              <w:jc w:val="start"/>
              <w:rPr/>
            </w:pPr>
            <w:r>
              <w:rPr/>
              <w:t>Escenario</w:t>
            </w:r>
          </w:p>
        </w:tc>
        <w:tc>
          <w:tcPr>
            <w:tcW w:w="1636" w:type="dxa"/>
            <w:tcBorders>
              <w:top w:val="single" w:sz="2" w:space="0" w:color="666666"/>
              <w:start w:val="single" w:sz="2" w:space="0" w:color="666666"/>
              <w:bottom w:val="single" w:sz="2" w:space="0" w:color="666666"/>
            </w:tcBorders>
            <w:vAlign w:val="center"/>
          </w:tcPr>
          <w:p>
            <w:pPr>
              <w:pStyle w:val="Ttulodelatabla"/>
              <w:spacing w:before="0" w:after="283"/>
              <w:ind w:hanging="0" w:start="0" w:end="0"/>
              <w:jc w:val="start"/>
              <w:rPr/>
            </w:pPr>
            <w:r>
              <w:rPr/>
              <w:t>Etapas incluidas</w:t>
            </w:r>
          </w:p>
        </w:tc>
        <w:tc>
          <w:tcPr>
            <w:tcW w:w="4076" w:type="dxa"/>
            <w:tcBorders>
              <w:top w:val="single" w:sz="2" w:space="0" w:color="666666"/>
              <w:start w:val="single" w:sz="2" w:space="0" w:color="666666"/>
              <w:bottom w:val="single" w:sz="2" w:space="0" w:color="666666"/>
              <w:end w:val="single" w:sz="2" w:space="0" w:color="666666"/>
            </w:tcBorders>
            <w:vAlign w:val="center"/>
          </w:tcPr>
          <w:p>
            <w:pPr>
              <w:pStyle w:val="Ttulodelatabla"/>
              <w:spacing w:before="0" w:after="283"/>
              <w:jc w:val="start"/>
              <w:rPr/>
            </w:pPr>
            <w:r>
              <w:rPr/>
              <w:t>Inversión total ARS</w:t>
            </w:r>
          </w:p>
        </w:tc>
      </w:tr>
      <w:tr>
        <w:trPr/>
        <w:tc>
          <w:tcPr>
            <w:tcW w:w="4165" w:type="dxa"/>
            <w:tcBorders>
              <w:start w:val="single" w:sz="2" w:space="0" w:color="666666"/>
              <w:bottom w:val="single" w:sz="2" w:space="0" w:color="666666"/>
            </w:tcBorders>
            <w:vAlign w:val="center"/>
          </w:tcPr>
          <w:p>
            <w:pPr>
              <w:pStyle w:val="Contenidodelatabla"/>
              <w:spacing w:before="0" w:after="283"/>
              <w:ind w:hanging="0" w:start="0" w:end="0"/>
              <w:rPr/>
            </w:pPr>
            <w:r>
              <w:rPr/>
              <w:t>Mínimo viable (Etapa 1 + independización)</w:t>
            </w:r>
          </w:p>
        </w:tc>
        <w:tc>
          <w:tcPr>
            <w:tcW w:w="1636" w:type="dxa"/>
            <w:tcBorders>
              <w:start w:val="single" w:sz="2" w:space="0" w:color="666666"/>
              <w:bottom w:val="single" w:sz="2" w:space="0" w:color="666666"/>
            </w:tcBorders>
            <w:vAlign w:val="center"/>
          </w:tcPr>
          <w:p>
            <w:pPr>
              <w:pStyle w:val="Contenidodelatabla"/>
              <w:spacing w:before="0" w:after="283"/>
              <w:ind w:hanging="0" w:start="0" w:end="0"/>
              <w:rPr/>
            </w:pPr>
            <w:r>
              <w:rPr/>
              <w:t>1 + T</w:t>
            </w:r>
          </w:p>
        </w:tc>
        <w:tc>
          <w:tcPr>
            <w:tcW w:w="4076" w:type="dxa"/>
            <w:tcBorders>
              <w:start w:val="single" w:sz="2" w:space="0" w:color="666666"/>
              <w:bottom w:val="single" w:sz="2" w:space="0" w:color="666666"/>
              <w:end w:val="single" w:sz="2" w:space="0" w:color="666666"/>
            </w:tcBorders>
            <w:vAlign w:val="center"/>
          </w:tcPr>
          <w:p>
            <w:pPr>
              <w:pStyle w:val="Contenidodelatabla"/>
              <w:spacing w:before="0" w:after="283"/>
              <w:rPr/>
            </w:pPr>
            <w:r>
              <w:rPr/>
              <w:t>$687.000 – $914.000</w:t>
            </w:r>
          </w:p>
        </w:tc>
      </w:tr>
      <w:tr>
        <w:trPr/>
        <w:tc>
          <w:tcPr>
            <w:tcW w:w="4165" w:type="dxa"/>
            <w:tcBorders>
              <w:start w:val="single" w:sz="2" w:space="0" w:color="666666"/>
              <w:bottom w:val="single" w:sz="2" w:space="0" w:color="666666"/>
            </w:tcBorders>
            <w:vAlign w:val="center"/>
          </w:tcPr>
          <w:p>
            <w:pPr>
              <w:pStyle w:val="Contenidodelatabla"/>
              <w:spacing w:before="0" w:after="283"/>
              <w:ind w:hanging="0" w:start="0" w:end="0"/>
              <w:rPr/>
            </w:pPr>
            <w:r>
              <w:rPr/>
              <w:t>Completo con automatización (1 + 2 + 3 + T)</w:t>
            </w:r>
          </w:p>
        </w:tc>
        <w:tc>
          <w:tcPr>
            <w:tcW w:w="1636" w:type="dxa"/>
            <w:tcBorders>
              <w:start w:val="single" w:sz="2" w:space="0" w:color="666666"/>
              <w:bottom w:val="single" w:sz="2" w:space="0" w:color="666666"/>
            </w:tcBorders>
            <w:vAlign w:val="center"/>
          </w:tcPr>
          <w:p>
            <w:pPr>
              <w:pStyle w:val="Contenidodelatabla"/>
              <w:spacing w:before="0" w:after="283"/>
              <w:ind w:hanging="0" w:start="0" w:end="0"/>
              <w:rPr/>
            </w:pPr>
            <w:r>
              <w:rPr/>
              <w:t>1, 2, 3, T</w:t>
            </w:r>
          </w:p>
        </w:tc>
        <w:tc>
          <w:tcPr>
            <w:tcW w:w="4076" w:type="dxa"/>
            <w:tcBorders>
              <w:start w:val="single" w:sz="2" w:space="0" w:color="666666"/>
              <w:bottom w:val="single" w:sz="2" w:space="0" w:color="666666"/>
              <w:end w:val="single" w:sz="2" w:space="0" w:color="666666"/>
            </w:tcBorders>
            <w:vAlign w:val="center"/>
          </w:tcPr>
          <w:p>
            <w:pPr>
              <w:pStyle w:val="Contenidodelatabla"/>
              <w:spacing w:before="0" w:after="283"/>
              <w:rPr/>
            </w:pPr>
            <w:r>
              <w:rPr/>
              <w:t>$1.822.000 – $2.353.000</w:t>
            </w:r>
          </w:p>
        </w:tc>
      </w:tr>
      <w:tr>
        <w:trPr/>
        <w:tc>
          <w:tcPr>
            <w:tcW w:w="4165" w:type="dxa"/>
            <w:tcBorders>
              <w:start w:val="single" w:sz="2" w:space="0" w:color="666666"/>
              <w:bottom w:val="single" w:sz="2" w:space="0" w:color="666666"/>
            </w:tcBorders>
            <w:vAlign w:val="center"/>
          </w:tcPr>
          <w:p>
            <w:pPr>
              <w:pStyle w:val="Contenidodelatabla"/>
              <w:spacing w:before="0" w:after="283"/>
              <w:ind w:hanging="0" w:start="0" w:end="0"/>
              <w:rPr/>
            </w:pPr>
            <w:r>
              <w:rPr/>
              <w:t>Completo optimizado (todas las etapas)</w:t>
            </w:r>
          </w:p>
        </w:tc>
        <w:tc>
          <w:tcPr>
            <w:tcW w:w="1636" w:type="dxa"/>
            <w:tcBorders>
              <w:start w:val="single" w:sz="2" w:space="0" w:color="666666"/>
              <w:bottom w:val="single" w:sz="2" w:space="0" w:color="666666"/>
            </w:tcBorders>
            <w:vAlign w:val="center"/>
          </w:tcPr>
          <w:p>
            <w:pPr>
              <w:pStyle w:val="Contenidodelatabla"/>
              <w:spacing w:before="0" w:after="283"/>
              <w:ind w:hanging="0" w:start="0" w:end="0"/>
              <w:rPr/>
            </w:pPr>
            <w:r>
              <w:rPr/>
              <w:t>1, 2, 3, 4, T</w:t>
            </w:r>
          </w:p>
        </w:tc>
        <w:tc>
          <w:tcPr>
            <w:tcW w:w="4076" w:type="dxa"/>
            <w:tcBorders>
              <w:start w:val="single" w:sz="2" w:space="0" w:color="666666"/>
              <w:bottom w:val="single" w:sz="2" w:space="0" w:color="666666"/>
              <w:end w:val="single" w:sz="2" w:space="0" w:color="666666"/>
            </w:tcBorders>
            <w:vAlign w:val="center"/>
          </w:tcPr>
          <w:p>
            <w:pPr>
              <w:pStyle w:val="Contenidodelatabla"/>
              <w:spacing w:before="0" w:after="283"/>
              <w:rPr/>
            </w:pPr>
            <w:r>
              <w:rPr/>
              <w:t>$2.970.000 – $3.851.000</w:t>
            </w:r>
          </w:p>
        </w:tc>
      </w:tr>
    </w:tbl>
    <w:p>
      <w:pPr>
        <w:pStyle w:val="Heading2"/>
        <w:numPr>
          <w:ilvl w:val="0"/>
          <w:numId w:val="0"/>
        </w:numPr>
        <w:bidi w:val="0"/>
        <w:spacing w:lineRule="auto" w:line="240" w:before="51" w:after="0"/>
        <w:ind w:hanging="0" w:start="600" w:end="600"/>
        <w:jc w:val="start"/>
        <w:rPr/>
      </w:pPr>
      <w:r>
        <w:rPr/>
      </w:r>
    </w:p>
    <w:p>
      <w:pPr>
        <w:pStyle w:val="Heading2"/>
        <w:numPr>
          <w:ilvl w:val="0"/>
          <w:numId w:val="0"/>
        </w:numPr>
        <w:bidi w:val="0"/>
        <w:spacing w:lineRule="auto" w:line="240" w:before="51" w:after="0"/>
        <w:ind w:hanging="0" w:start="600" w:end="600"/>
        <w:jc w:val="start"/>
        <w:rPr/>
      </w:pPr>
      <w:r>
        <w:rPr/>
        <w:t>Roadmap visual</w:t>
      </w:r>
    </w:p>
    <w:p>
      <w:pPr>
        <w:pStyle w:val="Textopreformateado"/>
        <w:bidi w:val="0"/>
        <w:spacing w:lineRule="auto" w:line="240" w:before="0" w:after="0"/>
        <w:jc w:val="start"/>
        <w:rPr/>
      </w:pPr>
      <w:r>
        <w:rPr>
          <w:rStyle w:val="Textooriginal"/>
        </w:rPr>
        <w:t>Mes 1-2    Etapa 1: MVP Monitoreo → validación operativa</w:t>
      </w:r>
    </w:p>
    <w:p>
      <w:pPr>
        <w:pStyle w:val="Textopreformateado"/>
        <w:bidi w:val="0"/>
        <w:spacing w:lineRule="auto" w:line="240" w:before="87" w:after="0"/>
        <w:jc w:val="start"/>
        <w:rPr/>
      </w:pPr>
      <w:r>
        <w:rPr>
          <w:rStyle w:val="Textooriginal"/>
        </w:rPr>
        <w:t>Mes 3-4    Etapa 2: Pozos y válvulas + Independización (paralelo o post Etapa 1)</w:t>
      </w:r>
    </w:p>
    <w:p>
      <w:pPr>
        <w:pStyle w:val="Textopreformateado"/>
        <w:bidi w:val="0"/>
        <w:spacing w:lineRule="auto" w:line="240" w:before="87" w:after="0"/>
        <w:jc w:val="start"/>
        <w:rPr/>
      </w:pPr>
      <w:r>
        <w:rPr>
          <w:rStyle w:val="Textooriginal"/>
        </w:rPr>
        <w:t>Mes 4-5    Etapa 3: Automatización on/off</w:t>
      </w:r>
    </w:p>
    <w:p>
      <w:pPr>
        <w:pStyle w:val="Textopreformateado"/>
        <w:bidi w:val="0"/>
        <w:spacing w:lineRule="auto" w:line="240" w:before="87" w:after="0"/>
        <w:jc w:val="start"/>
        <w:rPr/>
      </w:pPr>
      <w:r>
        <w:rPr>
          <w:rStyle w:val="Textooriginal"/>
        </w:rPr>
        <w:t xml:space="preserve">Mes 6-12   Etapa 4: VFD + Posible postulación a fondos con datos de 6 meses   </w:t>
      </w:r>
    </w:p>
    <w:p>
      <w:pPr>
        <w:pStyle w:val="Lneahorizontal"/>
        <w:pBdr>
          <w:bottom w:val="double" w:sz="2" w:space="0" w:color="808080"/>
        </w:pBdr>
        <w:bidi w:val="0"/>
        <w:spacing w:lineRule="auto" w:line="240" w:before="0" w:after="283"/>
        <w:jc w:val="start"/>
        <w:rPr/>
      </w:pPr>
      <w:r>
        <w:rPr/>
      </w:r>
    </w:p>
    <w:p>
      <w:pPr>
        <w:pStyle w:val="Heading2"/>
        <w:numPr>
          <w:ilvl w:val="0"/>
          <w:numId w:val="0"/>
        </w:numPr>
        <w:bidi w:val="0"/>
        <w:spacing w:lineRule="auto" w:line="240" w:before="222" w:after="0"/>
        <w:ind w:hanging="0" w:start="600" w:end="600"/>
        <w:jc w:val="start"/>
        <w:rPr/>
      </w:pPr>
      <w:r>
        <w:rPr/>
        <w:t>Nota sobre variación de costos</w:t>
      </w:r>
    </w:p>
    <w:p>
      <w:pPr>
        <w:pStyle w:val="BodyText"/>
        <w:numPr>
          <w:ilvl w:val="0"/>
          <w:numId w:val="9"/>
        </w:numPr>
        <w:tabs>
          <w:tab w:val="clear" w:pos="1134"/>
          <w:tab w:val="left" w:pos="1309" w:leader="none"/>
        </w:tabs>
        <w:bidi w:val="0"/>
        <w:spacing w:before="0" w:after="0"/>
        <w:ind w:hanging="283" w:start="1309" w:end="600"/>
        <w:jc w:val="start"/>
        <w:rPr/>
      </w:pPr>
      <w:r>
        <w:rPr/>
        <w:t xml:space="preserve">Los rangos reflejan incertidumbre de importación, logística y disponibilidad de modelos específicos. </w:t>
      </w:r>
    </w:p>
    <w:p>
      <w:pPr>
        <w:pStyle w:val="BodyText"/>
        <w:numPr>
          <w:ilvl w:val="0"/>
          <w:numId w:val="9"/>
        </w:numPr>
        <w:tabs>
          <w:tab w:val="clear" w:pos="1134"/>
          <w:tab w:val="left" w:pos="1309" w:leader="none"/>
        </w:tabs>
        <w:bidi w:val="0"/>
        <w:spacing w:before="0" w:after="283"/>
        <w:ind w:hanging="283" w:start="1309" w:end="600"/>
        <w:jc w:val="start"/>
        <w:rPr/>
      </w:pPr>
      <w:r>
        <w:rPr/>
        <w:t xml:space="preserve">La tasa de AR$ 1.400 / USD a revisar si el plazo entre aprobación y compra supera los 15 días.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686" w:right="456" w:gutter="0" w:header="567" w:top="1576" w:footer="567" w:bottom="1350"/>
      <w:pgNumType w:fmt="decimal"/>
      <w:formProt w:val="false"/>
      <w:titlePg/>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oto Sans">
    <w:charset w:val="01" w:characterSet="utf-8"/>
    <w:family w:val="swiss"/>
    <w:pitch w:val="variable"/>
  </w:font>
  <w:font w:name="Liberation Serif">
    <w:altName w:val="Times New Roman"/>
    <w:charset w:val="01" w:characterSet="utf-8"/>
    <w:family w:val="swiss"/>
    <w:pitch w:val="variable"/>
  </w:font>
  <w:font w:name="Liberation Mono">
    <w:altName w:val="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600" w:after="6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201" w:after="0"/>
      <w:ind w:hanging="0" w:start="0" w:end="0"/>
      <w:jc w:val="end"/>
      <w:rPr/>
    </w:pPr>
    <w:bookmarkStart w:id="0" w:name="PageNumWizard_FOOTER_Estilo_de_página_pr"/>
    <w:r>
      <w:rPr/>
      <w:fldChar w:fldCharType="begin"/>
    </w:r>
    <w:r>
      <w:rPr/>
      <w:instrText xml:space="preserve"> PAGE </w:instrText>
    </w:r>
    <w:r>
      <w:rPr/>
      <w:fldChar w:fldCharType="separate"/>
    </w:r>
    <w:r>
      <w:rPr/>
      <w:t>10</w:t>
    </w:r>
    <w:r>
      <w:rPr/>
      <w:fldChar w:fldCharType="end"/>
    </w:r>
    <w:r>
      <w:rPr/>
      <w:t xml:space="preserve"> </w:t>
    </w:r>
    <w:r>
      <w:rPr/>
      <w:t xml:space="preserve">/ </w:t>
    </w:r>
    <w:r>
      <w:rPr/>
      <w:fldChar w:fldCharType="begin"/>
    </w:r>
    <w:r>
      <w:rPr/>
      <w:instrText xml:space="preserve"> NUMPAGES </w:instrText>
    </w:r>
    <w:r>
      <w:rPr/>
      <w:fldChar w:fldCharType="separate"/>
    </w:r>
    <w:r>
      <w:rPr/>
      <w:t>10</w:t>
    </w:r>
    <w:r>
      <w:rPr/>
      <w:fldChar w:fldCharType="end"/>
    </w:r>
    <w:bookmarkEnd w:id="0"/>
  </w:p>
  <w:p>
    <w:pPr>
      <w:pStyle w:val="BodyText"/>
      <w:bidi w:val="0"/>
      <w:spacing w:before="201" w:after="0"/>
      <w:ind w:hanging="0" w:start="0" w:end="0"/>
      <w:jc w:val="start"/>
      <w:rPr>
        <w:sz w:val="24"/>
        <w:szCs w:val="24"/>
      </w:rPr>
    </w:pPr>
    <w:r>
      <w:rPr>
        <w:sz w:val="24"/>
        <w:szCs w:val="24"/>
      </w:rPr>
      <w:t xml:space="preserve">Pablo Gabriel Bustos -- </w:t>
    </w:r>
    <w:hyperlink r:id="rId1">
      <w:r>
        <w:rPr>
          <w:rStyle w:val="Hyperlink"/>
          <w:sz w:val="24"/>
          <w:szCs w:val="24"/>
        </w:rPr>
        <w:t>pablobustos@gmail.com</w:t>
      </w:r>
    </w:hyperlink>
    <w:r>
      <w:rPr>
        <w:sz w:val="24"/>
        <w:szCs w:val="24"/>
      </w:rPr>
      <w:t xml:space="preserve"> -- Cel: 351 235-9422</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bidi w:val="0"/>
      <w:spacing w:before="201" w:after="0"/>
      <w:ind w:hanging="0" w:start="0" w:end="0"/>
      <w:jc w:val="end"/>
      <w:rPr/>
    </w:pPr>
    <w:bookmarkStart w:id="1" w:name="PageNumWizard_FOOTER_Estilo_de_página_p1"/>
    <w:r>
      <w:rPr/>
      <w:fldChar w:fldCharType="begin"/>
    </w:r>
    <w:r>
      <w:rPr/>
      <w:instrText xml:space="preserve"> PAGE </w:instrText>
    </w:r>
    <w:r>
      <w:rPr/>
      <w:fldChar w:fldCharType="separate"/>
    </w:r>
    <w:r>
      <w:rPr/>
      <w:t>1</w:t>
    </w:r>
    <w:r>
      <w:rPr/>
      <w:fldChar w:fldCharType="end"/>
    </w:r>
    <w:r>
      <w:rPr/>
      <w:t xml:space="preserve"> </w:t>
    </w:r>
    <w:r>
      <w:rPr/>
      <w:t xml:space="preserve">/ </w:t>
    </w:r>
    <w:r>
      <w:rPr/>
      <w:fldChar w:fldCharType="begin"/>
    </w:r>
    <w:r>
      <w:rPr/>
      <w:instrText xml:space="preserve"> NUMPAGES </w:instrText>
    </w:r>
    <w:r>
      <w:rPr/>
      <w:fldChar w:fldCharType="separate"/>
    </w:r>
    <w:r>
      <w:rPr/>
      <w:t>10</w:t>
    </w:r>
    <w:r>
      <w:rPr/>
      <w:fldChar w:fldCharType="end"/>
    </w:r>
    <w:bookmarkEnd w:id="1"/>
  </w:p>
  <w:p>
    <w:pPr>
      <w:pStyle w:val="BodyText"/>
      <w:bidi w:val="0"/>
      <w:spacing w:before="201" w:after="0"/>
      <w:ind w:hanging="0" w:start="0" w:end="0"/>
      <w:jc w:val="start"/>
      <w:rPr>
        <w:sz w:val="24"/>
        <w:szCs w:val="24"/>
      </w:rPr>
    </w:pPr>
    <w:r>
      <w:rPr>
        <w:sz w:val="24"/>
        <w:szCs w:val="24"/>
      </w:rPr>
      <w:t xml:space="preserve">Pablo Gabriel Bustos -- </w:t>
    </w:r>
    <w:hyperlink r:id="rId1">
      <w:r>
        <w:rPr>
          <w:rStyle w:val="Hyperlink"/>
          <w:sz w:val="24"/>
          <w:szCs w:val="24"/>
        </w:rPr>
        <w:t>pablobustos@gmail.com</w:t>
      </w:r>
    </w:hyperlink>
    <w:r>
      <w:rPr>
        <w:sz w:val="24"/>
        <w:szCs w:val="24"/>
      </w:rPr>
      <w:t xml:space="preserve"> -- Cel: 351 235-9422</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0" w:after="60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0" w:after="600"/>
      <w:rPr>
        <w:sz w:val="22"/>
        <w:szCs w:val="22"/>
      </w:rPr>
    </w:pPr>
    <w:r>
      <w:rPr>
        <w:sz w:val="22"/>
        <w:szCs w:val="22"/>
      </w:rPr>
      <w:t>- Propuesta Técnica: Sistema de Monitoreo Remoto de Niveles y semiautomatización del bombeo</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600" w:after="600"/>
      <w:rPr>
        <w:sz w:val="18"/>
        <w:szCs w:val="18"/>
      </w:rPr>
    </w:pPr>
    <w:r>
      <w:rPr>
        <w:sz w:val="18"/>
        <w:szCs w:val="18"/>
      </w:rPr>
      <w:t>- Propuesta Técnica: Sistema de Monitoreo Remoto de Niveles y semiautomatización del bombeo</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200"/>
  <w:defaultTabStop w:val="1134"/>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s-AR" w:eastAsia="zh-CN" w:bidi="hi-IN"/>
      </w:rPr>
    </w:rPrDefault>
    <w:pPrDefault>
      <w:pPr>
        <w:suppressAutoHyphens w:val="true"/>
      </w:pPr>
    </w:pPrDefault>
  </w:docDefaults>
  <w:style w:type="paragraph" w:styleId="Normal">
    <w:name w:val="Normal"/>
    <w:qFormat/>
    <w:pPr>
      <w:widowControl w:val="false"/>
      <w:suppressAutoHyphens w:val="true"/>
      <w:overflowPunct w:val="false"/>
      <w:bidi w:val="0"/>
      <w:spacing w:lineRule="auto" w:line="360" w:before="600" w:after="600"/>
      <w:ind w:start="600" w:end="600"/>
      <w:jc w:val="start"/>
    </w:pPr>
    <w:rPr>
      <w:rFonts w:ascii="Liberation Serif;Georgia;serif" w:hAnsi="Liberation Serif;Georgia;serif" w:eastAsia="Liberation Serif;Georgia;serif" w:cs="Liberation Serif;Georgia;serif"/>
      <w:color w:val="111111"/>
      <w:kern w:val="0"/>
      <w:sz w:val="22"/>
      <w:szCs w:val="22"/>
      <w:lang w:val="es-AR" w:eastAsia="zh-CN" w:bidi="hi-IN"/>
    </w:rPr>
  </w:style>
  <w:style w:type="paragraph" w:styleId="Heading1">
    <w:name w:val="Heading 1"/>
    <w:basedOn w:val="Ttulo"/>
    <w:next w:val="BodyText"/>
    <w:qFormat/>
    <w:pPr>
      <w:pBdr>
        <w:bottom w:val="single" w:sz="12" w:space="5" w:color="333333"/>
      </w:pBdr>
      <w:spacing w:before="600" w:after="283"/>
    </w:pPr>
    <w:rPr>
      <w:rFonts w:ascii="Noto Sans" w:hAnsi="Noto Sans"/>
      <w:b/>
      <w:bCs/>
      <w:sz w:val="32"/>
      <w:szCs w:val="32"/>
    </w:rPr>
  </w:style>
  <w:style w:type="paragraph" w:styleId="Heading2">
    <w:name w:val="Heading 2"/>
    <w:basedOn w:val="Ttulo"/>
    <w:next w:val="BodyText"/>
    <w:qFormat/>
    <w:pPr>
      <w:numPr>
        <w:ilvl w:val="0"/>
        <w:numId w:val="0"/>
      </w:numPr>
      <w:spacing w:before="450" w:after="120"/>
      <w:ind w:start="600"/>
      <w:outlineLvl w:val="1"/>
    </w:pPr>
    <w:rPr>
      <w:rFonts w:ascii="Liberation Serif" w:hAnsi="Liberation Serif" w:eastAsia="Noto Serif CJK SC" w:cs="Noto Sans Devanagari"/>
      <w:b/>
      <w:bCs/>
      <w:color w:val="222222"/>
      <w:sz w:val="26"/>
      <w:szCs w:val="26"/>
    </w:rPr>
  </w:style>
  <w:style w:type="paragraph" w:styleId="Heading3">
    <w:name w:val="Heading 3"/>
    <w:basedOn w:val="Ttulo"/>
    <w:next w:val="BodyText"/>
    <w:qFormat/>
    <w:pPr>
      <w:numPr>
        <w:ilvl w:val="0"/>
        <w:numId w:val="0"/>
      </w:numPr>
      <w:spacing w:before="300" w:after="120"/>
      <w:ind w:start="600"/>
      <w:outlineLvl w:val="2"/>
    </w:pPr>
    <w:rPr>
      <w:rFonts w:ascii="Liberation Serif" w:hAnsi="Liberation Serif" w:eastAsia="Noto Serif CJK SC" w:cs="Noto Sans Devanagari"/>
      <w:b/>
      <w:bCs/>
      <w:i/>
      <w:iCs/>
      <w:sz w:val="22"/>
      <w:szCs w:val="22"/>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Textooriginal">
    <w:name w:val="Texto original"/>
    <w:qFormat/>
    <w:rPr>
      <w:rFonts w:ascii="Liberation Mono;monospace" w:hAnsi="Liberation Mono;monospace" w:eastAsia="Liberation Mono;monospace" w:cs="Liberation Mono;monospace"/>
      <w:sz w:val="19"/>
      <w:szCs w:val="19"/>
      <w:shd w:fill="F4F4F4" w:val="clear"/>
    </w:rPr>
  </w:style>
  <w:style w:type="character" w:styleId="Strong">
    <w:name w:val="Strong"/>
    <w:qFormat/>
    <w:rPr>
      <w:b/>
      <w:bCs/>
    </w:rPr>
  </w:style>
  <w:style w:type="character" w:styleId="Emphasis">
    <w:name w:val="Emphasis"/>
    <w:qFormat/>
    <w:rPr>
      <w:i/>
      <w:iCs/>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FollowedHyperlink">
    <w:name w:val="FollowedHyperlink"/>
    <w:rPr>
      <w:color w:val="800000"/>
      <w:u w:val="single"/>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spacing w:before="0" w:after="283"/>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rPr/>
  </w:style>
  <w:style w:type="paragraph" w:styleId="Cabeceraypie">
    <w:name w:val="Cabecera y pie"/>
    <w:basedOn w:val="Normal"/>
    <w:qFormat/>
    <w:pPr>
      <w:suppressLineNumbers/>
      <w:tabs>
        <w:tab w:val="clear" w:pos="1134"/>
        <w:tab w:val="center" w:pos="5419" w:leader="none"/>
        <w:tab w:val="right" w:pos="10238" w:leader="none"/>
      </w:tabs>
    </w:pPr>
    <w:rPr/>
  </w:style>
  <w:style w:type="paragraph" w:styleId="Footer">
    <w:name w:val="Footer"/>
    <w:basedOn w:val="Normal"/>
    <w:pPr>
      <w:suppressLineNumbers/>
      <w:tabs>
        <w:tab w:val="clear" w:pos="1134"/>
        <w:tab w:val="center" w:pos="5418" w:leader="none"/>
        <w:tab w:val="right" w:pos="10237" w:leader="none"/>
      </w:tabs>
    </w:pPr>
    <w:rPr/>
  </w:style>
  <w:style w:type="paragraph" w:styleId="Header">
    <w:name w:val="Header"/>
    <w:basedOn w:val="Normal"/>
    <w:pPr>
      <w:suppressLineNumbers/>
      <w:tabs>
        <w:tab w:val="clear" w:pos="1134"/>
        <w:tab w:val="center" w:pos="5418" w:leader="none"/>
        <w:tab w:val="right" w:pos="10237" w:leader="none"/>
      </w:tabs>
    </w:pPr>
    <w:rPr/>
  </w:style>
  <w:style w:type="paragraph" w:styleId="Textopreformateado">
    <w:name w:val="Texto preformateado"/>
    <w:basedOn w:val="Normal"/>
    <w:qFormat/>
    <w:pPr>
      <w:spacing w:before="600" w:after="0"/>
    </w:pPr>
    <w:rPr>
      <w:rFonts w:ascii="Liberation Mono;monospace" w:hAnsi="Liberation Mono;monospace" w:eastAsia="Liberation Mono;monospace" w:cs="Liberation Mono;monospace"/>
      <w:sz w:val="19"/>
      <w:szCs w:val="19"/>
    </w:rPr>
  </w:style>
  <w:style w:type="paragraph" w:styleId="Ttulodelatabla">
    <w:name w:val="Título de la tabla"/>
    <w:basedOn w:val="Contenidodelatabla"/>
    <w:qFormat/>
    <w:pPr>
      <w:suppressLineNumbers/>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pablobustos@gmail.com" TargetMode="External"/>
</Relationships>
</file>

<file path=word/_rels/footer3.xml.rels><?xml version="1.0" encoding="UTF-8"?>
<Relationships xmlns="http://schemas.openxmlformats.org/package/2006/relationships"><Relationship Id="rId1" Type="http://schemas.openxmlformats.org/officeDocument/2006/relationships/hyperlink" Target="mailto:pablobustos@gmail.com"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78</TotalTime>
  <Application>LibreOffice/24.2.7.2$Linux_X86_64 LibreOffice_project/420$Build-2</Application>
  <AppVersion>15.0000</AppVersion>
  <Pages>10</Pages>
  <Words>2223</Words>
  <Characters>12203</Characters>
  <CharactersWithSpaces>14243</CharactersWithSpaces>
  <Paragraphs>211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cp:lastPrinted>2026-05-24T18:11:50Z</cp:lastPrinted>
  <dcterms:modified xsi:type="dcterms:W3CDTF">2026-05-24T18:33:04Z</dcterms:modified>
  <cp:revision>16</cp:revision>
  <dc:subject/>
  <dc:title>Propuesta Técnica — Coope San Jorge</dc:title>
</cp:coreProperties>
</file>

<file path=docProps/custom.xml><?xml version="1.0" encoding="utf-8"?>
<Properties xmlns="http://schemas.openxmlformats.org/officeDocument/2006/custom-properties" xmlns:vt="http://schemas.openxmlformats.org/officeDocument/2006/docPropsVTypes"/>
</file>