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284" w:firstLine="0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Remover Artigo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artigos.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Lines w:val="1"/>
              <w:numPr>
                <w:ilvl w:val="0"/>
                <w:numId w:val="1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aciona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remover artigo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um artigo em específico..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pedindo para confirmar a remoção.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1"/>
              </w:numPr>
              <w:spacing w:after="16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 artigo foi removido.</w:t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ind w:left="567" w:firstLine="0"/>
        <w:rPr/>
      </w:pPr>
      <w:bookmarkStart w:colFirst="0" w:colLast="0" w:name="_heading=h.dmpqecsrrir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567" w:firstLine="0"/>
        <w:rPr/>
      </w:pPr>
      <w:bookmarkStart w:colFirst="0" w:colLast="0" w:name="_heading=h.53mzasjtfoz8" w:id="2"/>
      <w:bookmarkEnd w:id="2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001 - O secretário cancelou a opção de remover o artigo.</w:t>
      </w:r>
    </w:p>
    <w:p w:rsidR="00000000" w:rsidDel="00000000" w:rsidP="00000000" w:rsidRDefault="00000000" w:rsidRPr="00000000" w14:paraId="0000000D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numPr>
                <w:ilvl w:val="0"/>
                <w:numId w:val="4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numPr>
                <w:ilvl w:val="0"/>
                <w:numId w:val="2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de remover artigo.</w:t>
            </w:r>
          </w:p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remoção de artigo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de remoção de artigos.</w:t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2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artigos.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ind w:left="567" w:firstLine="0"/>
        <w:rPr>
          <w:b w:val="0"/>
          <w:i w:val="0"/>
          <w:sz w:val="32"/>
          <w:szCs w:val="32"/>
        </w:rPr>
      </w:pPr>
      <w:bookmarkStart w:colFirst="0" w:colLast="0" w:name="_heading=h.gjnyd5azsblg" w:id="3"/>
      <w:bookmarkEnd w:id="3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567" w:firstLine="0"/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567" w:firstLine="0"/>
              <w:rPr/>
            </w:pPr>
            <w:r w:rsidDel="00000000" w:rsidR="00000000" w:rsidRPr="00000000">
              <w:rPr>
                <w:rtl w:val="0"/>
              </w:rPr>
              <w:t xml:space="preserve">(RN1) Um artigo já deve estar cadastrado para que seja feita a remoção do artigo.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ind w:left="0" w:firstLine="720"/>
        <w:rPr/>
      </w:pPr>
      <w:bookmarkStart w:colFirst="0" w:colLast="0" w:name="_heading=h.e3o3wyd9ykv7" w:id="5"/>
      <w:bookmarkEnd w:id="5"/>
      <w:r w:rsidDel="00000000" w:rsidR="00000000" w:rsidRPr="00000000">
        <w:rPr>
          <w:rtl w:val="0"/>
        </w:rPr>
        <w:t xml:space="preserve"> Observações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80" w:before="8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Será feito uma exclusão lógica de artigos, usaremos uma flag para saber se o artigo está ativo(1) ou inativo(0).</w:t>
            </w:r>
          </w:p>
        </w:tc>
      </w:tr>
    </w:tbl>
    <w:p w:rsidR="00000000" w:rsidDel="00000000" w:rsidP="00000000" w:rsidRDefault="00000000" w:rsidRPr="00000000" w14:paraId="00000020">
      <w:pPr>
        <w:keepLines w:val="1"/>
        <w:spacing w:after="80" w:before="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7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70" w:firstLine="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34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KRHOrypmDkxbTAU6cNfrHoMZUg==">AMUW2mUzFwANrvU+rIabzNQ81XS8+LUMQwwGiPzugY2C/L1Pgu9kasaBFcVoH7p11zaqVae+9HzKXAHQiMFrA4DrrphBJyvsEExgYHDLOFRcRInzHVqd/SGhS8CisqDmmJcyVy4uJTynSEfyI3ZFgiH8kILcRO/c/syXEHlZdK9/tLa+3oLrqkRm7l3Fa4kehDCCzqI187X/8qNyTiUZX4viEFO7wSahsw==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