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2026-06-13T01:15:34+00:00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621 passed in 70.88s (0:01:10)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Decision Queues 10/5/8 mit 0 final-ready rows abarbeiten.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Decision Queues, 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schreiben; H1 Queue: 10 rows, T2/F1, 0 final-ready.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Queue-Felder vor finalem Wording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schreiben; H2 Queue: 5 rows, T3/F2, Kausalclaim-Grenze.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Queue-Felder inklusive Kausalclaim-Grenze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schreiben; H3 Queue: 8 rows, T4/F3, Granger-/Wallet-Grenze.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Queue-Felder inklusive Granger-/Wallet-Grenze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H1/H2/H3 Decision Queues bilden den 23-row Manual Source Review Pfad;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Page-/Section-Notes, Claim-Support, Blocked-Wording und Citation-Use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Worksheet-to-Drafting Bridge fuer H1-H2-H3</w:t>
      </w:r>
    </w:p>
    <w:p>
      <w:r>
        <w:t>Die Worksheet-Drafting-Bridge verbindet 23 manuelle H1-H2-H3 Worksheet-Zeilen mit 15 source-gated Schreibschritten. Method rows: 12; Interpretation rows: 11; Source/artifact gaps: 0; final-release rows: 0.</w:t>
      </w:r>
    </w:p>
    <w:p>
      <w:r>
        <w:t>Jede Methode und jede Interpretation muss eine Source ID, eine Evidence ID, ein deterministisches Artefakt, eine Limitation und ein Source-Review-Gate behalten. Keine finale Zitation und keine Quellenstatus-Hochstufung ohne vollstaendige manuelle Source Review.</w:t>
      </w:r>
    </w:p>
    <w:p>
      <w:r>
        <w:t>Damit sieht der Dozent in einer kleinen Bruecke, welche Quellen- und Artefaktpflicht vor jedem Absatz gilt und warum der Haupttext bei T2/F1, T3/F2 und T4/F3 bleibt.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150"/>
        <w:gridCol w:w="1700"/>
        <w:gridCol w:w="1200"/>
        <w:gridCol w:w="36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2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Worksheets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Drafting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3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4 Quellen; 4 method / 6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bleibt final blockiert, bis die 10 Worksheet-Zeilen manuell mit Page-/Section-Note, Claim-Support, Blocked-Wording und Citation-Use entschieden sind; keine allgemeine Marktueberlegenheit behaupten.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3 Quellen; 3 method / 2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bleibt final blockiert, bis die 5 Worksheet-Zeilen inklusive Kausalclaim-Grenze entschieden sind; keine Intraday- oder Kausalclaims.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4 Quellen; 5 method / 3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bleibt final blockiert, bis die 8 Worksheet-Zeilen inklusive Granger-Grenze und Wallet-Grenze entschieden sind; keine Wallet-Adressen, Trading-Claims oder Profitabilitaetsclaims.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 rows; 9 Quellen; 12 method / 11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 steps; 15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T2, T3, T4 / F1, F2,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 bleibt final blockiert, bis alle 23 H1-H2-H3 Worksheet-Zeilen manuell entschieden und Ledger, Citation Gate Summary, Batch Plan, Worksheet Overview und Index regeneriert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Agenten-Grenze</w:t>
            </w:r>
          </w:p>
          <w:p>
            <w:pPr>
              <w:spacing w:after="0"/>
            </w:pPr>
            <w:r>
              <w:t>Agenten bleiben documentation-only Future Work: keine Runtime-Agenten, kein MCP, kein Model Routing, keine LLM-Metriken, keine Rohdatenprompts, max 50 rows und llm_audit_log vor jeder spaeteren Nutzung.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51 Polymarket-Snapshots; latest Polymarket Yes 27.5%, latest poll Yes 45.0%, raw gap -17.5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377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148 Testdateien; 621 passed in 70.88s (0:01:10).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51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27.5%; latest poll Yes 45.0%; raw gap -17.5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-17.5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-19.5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-10.5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