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2026-06-12T02:52:21+00:00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521 passed in 48.69s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7 Dateien fuer die naechste Betreuung. Zuerst kommt `advisor_report_docx`, danach folgen Absprache-Checklist, Execution Checklist, Chapter Source Bindings und Source Review Execution.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an den Dozenten geben.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Absprache-Checklist. Die weiteren Dateien steuern das Schreiben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Monitor und Swiss klar begrenzen.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schreiben, nicht als Universalclaim.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Finales Wording nach Quellenreview.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schreiben, nicht als Intraday-Speed.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Event-Kuration und Tageslimit im Text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schreiben, nicht als Kausalitaet oder Profitabilitaet.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 und Multiple Testing sichtbar machen.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Quellen brauchen Full Review;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Seiten- oder Abschnittsnotizen und Human Decisions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29 Polymarket-Snapshots; latest Polymarket Yes 22.0%, latest poll Yes 45.0%, raw gap -23.0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331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104 Testdateien; 521 passed in 48.69s.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29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22.0%; latest poll Yes 45.0%; raw gap -23.0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-23.0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-25.0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-16.0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