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2E95" w14:textId="77777777" w:rsidR="00DC2A04" w:rsidRPr="00AD38F4" w:rsidRDefault="00DC2A04" w:rsidP="00DC2A04"/>
    <w:p w14:paraId="7F46BCC7" w14:textId="77777777" w:rsidR="00DC2A04" w:rsidRPr="00AD38F4" w:rsidRDefault="00DC2A04" w:rsidP="00DC2A04"/>
    <w:p w14:paraId="57C51667" w14:textId="77777777" w:rsidR="00DC2A04" w:rsidRPr="00AD38F4" w:rsidRDefault="00DC2A04" w:rsidP="00DC2A04"/>
    <w:p w14:paraId="3EF94DDA" w14:textId="77777777" w:rsidR="00DC2A04" w:rsidRPr="00AD38F4" w:rsidRDefault="00DC2A04" w:rsidP="00DC2A04"/>
    <w:p w14:paraId="7D2C7544" w14:textId="77777777" w:rsidR="00DC2A04" w:rsidRPr="00AD38F4" w:rsidRDefault="00DC2A04" w:rsidP="00DC2A04"/>
    <w:p w14:paraId="2D9BA013" w14:textId="77777777" w:rsidR="00DC2A04" w:rsidRPr="00AD38F4" w:rsidRDefault="00DC2A04" w:rsidP="00DC2A04"/>
    <w:p w14:paraId="4658C1CF" w14:textId="77777777" w:rsidR="00DC2A04" w:rsidRPr="00AD38F4" w:rsidRDefault="00DC2A04" w:rsidP="00DC2A04"/>
    <w:p w14:paraId="560FF1EC" w14:textId="77777777" w:rsidR="00DC2A04" w:rsidRPr="00AD38F4" w:rsidRDefault="00DC2A04" w:rsidP="00DC2A04"/>
    <w:p w14:paraId="3CC0CEC4" w14:textId="77777777" w:rsidR="00DC2A04" w:rsidRPr="00AD38F4" w:rsidRDefault="00DC2A04" w:rsidP="00DC2A04"/>
    <w:p w14:paraId="4BC8FB7C" w14:textId="77777777" w:rsidR="00DC2A04" w:rsidRPr="00AD38F4" w:rsidRDefault="00DC2A04" w:rsidP="00DC2A04">
      <w:pPr>
        <w:rPr>
          <w:b/>
          <w:sz w:val="40"/>
          <w:szCs w:val="40"/>
        </w:rPr>
      </w:pPr>
      <w:r w:rsidRPr="00AD38F4">
        <w:rPr>
          <w:b/>
          <w:sz w:val="40"/>
          <w:szCs w:val="40"/>
        </w:rPr>
        <w:t>Informationelle Effizienz dezentraler Prognosemärkte</w:t>
      </w:r>
    </w:p>
    <w:p w14:paraId="7864AC6B" w14:textId="77777777" w:rsidR="00044EC3" w:rsidRPr="00AD38F4" w:rsidRDefault="00DC2A04" w:rsidP="00DC2A04">
      <w:pPr>
        <w:rPr>
          <w:b/>
          <w:sz w:val="40"/>
          <w:szCs w:val="40"/>
        </w:rPr>
      </w:pPr>
      <w:r w:rsidRPr="00AD38F4">
        <w:rPr>
          <w:b/>
          <w:sz w:val="40"/>
          <w:szCs w:val="40"/>
        </w:rPr>
        <w:t>Polymarket im Vergleich zu traditionellen Prognosequellen während der US-Präsidentschaftswahl 2024</w:t>
      </w:r>
    </w:p>
    <w:p w14:paraId="4937860C" w14:textId="77777777" w:rsidR="008B3282" w:rsidRPr="00AD38F4" w:rsidRDefault="008B3282" w:rsidP="00DC2A04"/>
    <w:p w14:paraId="721E59E4" w14:textId="77777777" w:rsidR="00DC2A04" w:rsidRPr="00AD38F4" w:rsidRDefault="00DC2A04" w:rsidP="00DC2A04"/>
    <w:p w14:paraId="116B7060" w14:textId="77777777" w:rsidR="008B3282" w:rsidRPr="00AD38F4" w:rsidRDefault="008B3282" w:rsidP="00DC2A04"/>
    <w:p w14:paraId="61C2BFC1" w14:textId="77777777" w:rsidR="00DC2A04" w:rsidRPr="00AD38F4" w:rsidRDefault="00DC2A04" w:rsidP="00DC2A04"/>
    <w:p w14:paraId="074347C0" w14:textId="77777777" w:rsidR="00DC2A04" w:rsidRPr="00AD38F4" w:rsidRDefault="00DC2A04" w:rsidP="00DC2A04"/>
    <w:p w14:paraId="3B245529" w14:textId="77777777" w:rsidR="00DC2A04" w:rsidRPr="008E3B72" w:rsidRDefault="00FE53BB" w:rsidP="001F284A">
      <w:pPr>
        <w:jc w:val="left"/>
      </w:pPr>
      <w:r w:rsidRPr="00AD38F4">
        <w:rPr>
          <w:b/>
          <w:sz w:val="32"/>
          <w:szCs w:val="32"/>
        </w:rPr>
        <w:t>Bachelor-Thesis 2026</w:t>
      </w:r>
    </w:p>
    <w:p w14:paraId="7BE3D983" w14:textId="77777777" w:rsidR="00F55422" w:rsidRDefault="00DC2A04" w:rsidP="00696A18">
      <w:pPr>
        <w:tabs>
          <w:tab w:val="clear" w:pos="851"/>
          <w:tab w:val="left" w:pos="2835"/>
        </w:tabs>
        <w:rPr>
          <w:sz w:val="28"/>
          <w:szCs w:val="28"/>
        </w:rPr>
      </w:pPr>
      <w:r w:rsidRPr="008E3B72">
        <w:rPr>
          <w:sz w:val="28"/>
          <w:szCs w:val="28"/>
        </w:rPr>
        <w:t>Auftraggeber</w:t>
      </w:r>
      <w:r w:rsidR="00696A18" w:rsidRPr="008E3B72">
        <w:rPr>
          <w:sz w:val="28"/>
          <w:szCs w:val="28"/>
        </w:rPr>
        <w:t>schaft</w:t>
      </w:r>
      <w:r w:rsidRPr="008E3B72">
        <w:rPr>
          <w:sz w:val="28"/>
          <w:szCs w:val="28"/>
        </w:rPr>
        <w:tab/>
        <w:t>xxx</w:t>
      </w:r>
      <w:r w:rsidRPr="008E3B72">
        <w:rPr>
          <w:sz w:val="28"/>
          <w:szCs w:val="28"/>
        </w:rPr>
        <w:br/>
      </w:r>
      <w:proofErr w:type="spellStart"/>
      <w:r w:rsidRPr="008E3B72">
        <w:rPr>
          <w:sz w:val="28"/>
          <w:szCs w:val="28"/>
        </w:rPr>
        <w:t>Autor</w:t>
      </w:r>
      <w:r w:rsidR="00EB0642">
        <w:rPr>
          <w:sz w:val="28"/>
          <w:szCs w:val="28"/>
        </w:rPr>
        <w:t>:</w:t>
      </w:r>
      <w:r w:rsidR="003B1E10" w:rsidRPr="008E3B72">
        <w:rPr>
          <w:sz w:val="28"/>
          <w:szCs w:val="28"/>
        </w:rPr>
        <w:t>in</w:t>
      </w:r>
      <w:proofErr w:type="spellEnd"/>
      <w:r w:rsidRPr="008E3B72">
        <w:rPr>
          <w:sz w:val="28"/>
          <w:szCs w:val="28"/>
        </w:rPr>
        <w:t xml:space="preserve"> </w:t>
      </w:r>
      <w:r w:rsidRPr="008E3B72">
        <w:rPr>
          <w:sz w:val="28"/>
          <w:szCs w:val="28"/>
        </w:rPr>
        <w:tab/>
        <w:t>xxx</w:t>
      </w:r>
    </w:p>
    <w:p w14:paraId="6F1C6BB3" w14:textId="77777777" w:rsidR="00DC2A04" w:rsidRPr="008E3B72" w:rsidRDefault="00F55422" w:rsidP="00696A18">
      <w:pPr>
        <w:tabs>
          <w:tab w:val="clear" w:pos="851"/>
          <w:tab w:val="left" w:pos="2835"/>
        </w:tabs>
        <w:rPr>
          <w:sz w:val="28"/>
          <w:szCs w:val="28"/>
        </w:rPr>
      </w:pPr>
      <w:r>
        <w:rPr>
          <w:sz w:val="28"/>
          <w:szCs w:val="28"/>
        </w:rPr>
        <w:lastRenderedPageBreak/>
        <w:tab/>
        <w:t>xxx</w:t>
      </w:r>
      <w:r w:rsidR="00DC2A04" w:rsidRPr="008E3B72">
        <w:rPr>
          <w:sz w:val="28"/>
          <w:szCs w:val="28"/>
        </w:rPr>
        <w:br/>
      </w:r>
      <w:proofErr w:type="spellStart"/>
      <w:r w:rsidR="00E36A01" w:rsidRPr="008E3B72">
        <w:rPr>
          <w:sz w:val="28"/>
          <w:szCs w:val="28"/>
        </w:rPr>
        <w:t>Dozierende</w:t>
      </w:r>
      <w:r w:rsidR="00EB0642">
        <w:rPr>
          <w:sz w:val="28"/>
          <w:szCs w:val="28"/>
        </w:rPr>
        <w:t>:</w:t>
      </w:r>
      <w:r w:rsidR="00E36A01" w:rsidRPr="008E3B72">
        <w:rPr>
          <w:sz w:val="28"/>
          <w:szCs w:val="28"/>
        </w:rPr>
        <w:t>r</w:t>
      </w:r>
      <w:proofErr w:type="spellEnd"/>
      <w:r w:rsidR="00DC2A04" w:rsidRPr="008E3B72">
        <w:rPr>
          <w:sz w:val="28"/>
          <w:szCs w:val="28"/>
        </w:rPr>
        <w:tab/>
        <w:t>xxx</w:t>
      </w:r>
      <w:r w:rsidR="00DC2A04" w:rsidRPr="008E3B72">
        <w:rPr>
          <w:sz w:val="28"/>
          <w:szCs w:val="28"/>
        </w:rPr>
        <w:br/>
        <w:t xml:space="preserve">Ort, Datum </w:t>
      </w:r>
      <w:r w:rsidR="00DC2A04" w:rsidRPr="008E3B72">
        <w:rPr>
          <w:sz w:val="28"/>
          <w:szCs w:val="28"/>
        </w:rPr>
        <w:tab/>
        <w:t>xxx, xxx</w:t>
      </w:r>
    </w:p>
    <w:p w14:paraId="305CAEA2" w14:textId="77777777" w:rsidR="005500E7" w:rsidRPr="008E3B72" w:rsidRDefault="005500E7" w:rsidP="00F7330E"/>
    <w:p w14:paraId="6EA45963" w14:textId="77777777" w:rsidR="005500E7" w:rsidRPr="008E3B72" w:rsidRDefault="005500E7" w:rsidP="005500E7">
      <w:pPr>
        <w:sectPr w:rsidR="005500E7" w:rsidRPr="008E3B72" w:rsidSect="001434D3">
          <w:headerReference w:type="default" r:id="rId11"/>
          <w:footerReference w:type="even" r:id="rId12"/>
          <w:headerReference w:type="first" r:id="rId13"/>
          <w:footerReference w:type="first" r:id="rId14"/>
          <w:pgSz w:w="11907" w:h="16840" w:code="9"/>
          <w:pgMar w:top="1701" w:right="851" w:bottom="1588" w:left="1418" w:header="426" w:footer="1021" w:gutter="0"/>
          <w:cols w:space="708"/>
          <w:docGrid w:linePitch="360"/>
        </w:sectPr>
      </w:pPr>
    </w:p>
    <w:p w14:paraId="32061151" w14:textId="77777777" w:rsidR="00696A18" w:rsidRPr="008E3B72" w:rsidRDefault="00696A18" w:rsidP="00696A18">
      <w:pPr>
        <w:rPr>
          <w:lang w:eastAsia="de-DE"/>
        </w:rPr>
      </w:pPr>
    </w:p>
    <w:p w14:paraId="2DD32F10" w14:textId="77777777" w:rsidR="00696A18" w:rsidRPr="008E3B72" w:rsidRDefault="00696A18" w:rsidP="00696A18">
      <w:pPr>
        <w:rPr>
          <w:lang w:eastAsia="de-DE"/>
        </w:rPr>
      </w:pPr>
    </w:p>
    <w:p w14:paraId="19C13C1A" w14:textId="77777777" w:rsidR="00696A18" w:rsidRPr="008E3B72" w:rsidRDefault="00696A18" w:rsidP="00696A18">
      <w:pPr>
        <w:rPr>
          <w:lang w:eastAsia="de-DE"/>
        </w:rPr>
      </w:pPr>
    </w:p>
    <w:p w14:paraId="252B6945" w14:textId="77777777" w:rsidR="00696A18" w:rsidRPr="008E3B72" w:rsidRDefault="00696A18" w:rsidP="00696A18">
      <w:pPr>
        <w:rPr>
          <w:lang w:eastAsia="de-DE"/>
        </w:rPr>
      </w:pPr>
    </w:p>
    <w:p w14:paraId="0D723BE9" w14:textId="77777777" w:rsidR="00507598" w:rsidRPr="008E3B72" w:rsidRDefault="00507598" w:rsidP="00696A18">
      <w:pPr>
        <w:rPr>
          <w:lang w:eastAsia="de-DE"/>
        </w:rPr>
      </w:pPr>
    </w:p>
    <w:p w14:paraId="727103D4" w14:textId="77777777" w:rsidR="00D34E78" w:rsidRPr="008E3B72" w:rsidRDefault="00D34E78" w:rsidP="00696A18">
      <w:pPr>
        <w:jc w:val="left"/>
        <w:rPr>
          <w:b/>
          <w:lang w:eastAsia="de-DE"/>
        </w:rPr>
      </w:pPr>
    </w:p>
    <w:tbl>
      <w:tblPr>
        <w:tblW w:w="0" w:type="auto"/>
        <w:tblLook w:val="04A0" w:firstRow="1" w:lastRow="0" w:firstColumn="1" w:lastColumn="0" w:noHBand="0" w:noVBand="1"/>
      </w:tblPr>
      <w:tblGrid>
        <w:gridCol w:w="4827"/>
        <w:gridCol w:w="4811"/>
      </w:tblGrid>
      <w:tr w:rsidR="00D34E78" w:rsidRPr="008E3B72" w14:paraId="0310809B" w14:textId="77777777" w:rsidTr="00DB738A">
        <w:tc>
          <w:tcPr>
            <w:tcW w:w="4889" w:type="dxa"/>
          </w:tcPr>
          <w:p w14:paraId="74ACBFF8" w14:textId="77777777" w:rsidR="00507598" w:rsidRPr="008E3B72" w:rsidRDefault="00EB0642" w:rsidP="00F613E7">
            <w:pPr>
              <w:tabs>
                <w:tab w:val="left" w:pos="567"/>
              </w:tabs>
              <w:spacing w:after="0"/>
              <w:rPr>
                <w:b/>
                <w:lang w:eastAsia="de-DE"/>
              </w:rPr>
            </w:pPr>
            <w:r>
              <w:rPr>
                <w:b/>
                <w:lang w:eastAsia="de-DE"/>
              </w:rPr>
              <w:t>x</w:t>
            </w:r>
            <w:r w:rsidR="00DB738A" w:rsidRPr="008E3B72">
              <w:rPr>
                <w:b/>
                <w:lang w:eastAsia="de-DE"/>
              </w:rPr>
              <w:t xml:space="preserve">xx </w:t>
            </w:r>
            <w:r w:rsidR="00D34E78" w:rsidRPr="008E3B72">
              <w:rPr>
                <w:b/>
                <w:lang w:eastAsia="de-DE"/>
              </w:rPr>
              <w:t>Titel der Arbeit</w:t>
            </w:r>
          </w:p>
          <w:p w14:paraId="224D72EC" w14:textId="77777777" w:rsidR="00D34E78" w:rsidRPr="008E3B72" w:rsidRDefault="00EB0642" w:rsidP="00F613E7">
            <w:pPr>
              <w:tabs>
                <w:tab w:val="left" w:pos="567"/>
              </w:tabs>
              <w:rPr>
                <w:lang w:eastAsia="de-DE"/>
              </w:rPr>
            </w:pPr>
            <w:r>
              <w:rPr>
                <w:lang w:eastAsia="de-DE"/>
              </w:rPr>
              <w:t>x</w:t>
            </w:r>
            <w:r w:rsidR="00DB738A" w:rsidRPr="008E3B72">
              <w:rPr>
                <w:lang w:eastAsia="de-DE"/>
              </w:rPr>
              <w:t xml:space="preserve">xx </w:t>
            </w:r>
            <w:r w:rsidR="00D34E78" w:rsidRPr="008E3B72">
              <w:rPr>
                <w:lang w:eastAsia="de-DE"/>
              </w:rPr>
              <w:t>Untertitel der Arbeit</w:t>
            </w:r>
          </w:p>
          <w:p w14:paraId="103E9BE2" w14:textId="77777777" w:rsidR="00507598" w:rsidRPr="008E3B72" w:rsidRDefault="00507598" w:rsidP="00F613E7">
            <w:pPr>
              <w:tabs>
                <w:tab w:val="left" w:pos="567"/>
              </w:tabs>
              <w:jc w:val="left"/>
              <w:rPr>
                <w:b/>
                <w:lang w:eastAsia="de-DE"/>
              </w:rPr>
            </w:pPr>
          </w:p>
        </w:tc>
        <w:tc>
          <w:tcPr>
            <w:tcW w:w="4889" w:type="dxa"/>
          </w:tcPr>
          <w:p w14:paraId="4CEEDFE7" w14:textId="77777777" w:rsidR="00D34E78" w:rsidRPr="008E3B72" w:rsidRDefault="00D34E78" w:rsidP="00F613E7">
            <w:pPr>
              <w:tabs>
                <w:tab w:val="left" w:pos="567"/>
              </w:tabs>
              <w:jc w:val="left"/>
              <w:rPr>
                <w:b/>
                <w:lang w:eastAsia="de-DE"/>
              </w:rPr>
            </w:pPr>
          </w:p>
        </w:tc>
      </w:tr>
      <w:tr w:rsidR="00DB738A" w:rsidRPr="008E3B72" w14:paraId="0C8DB836" w14:textId="77777777" w:rsidTr="00DB738A">
        <w:tc>
          <w:tcPr>
            <w:tcW w:w="4889" w:type="dxa"/>
          </w:tcPr>
          <w:p w14:paraId="2B226C10" w14:textId="77777777" w:rsidR="00DB738A" w:rsidRPr="008E3B72" w:rsidRDefault="00DB738A" w:rsidP="00CF01DA">
            <w:pPr>
              <w:tabs>
                <w:tab w:val="left" w:pos="567"/>
              </w:tabs>
              <w:spacing w:after="0"/>
              <w:jc w:val="left"/>
              <w:rPr>
                <w:b/>
                <w:lang w:eastAsia="de-DE"/>
              </w:rPr>
            </w:pPr>
            <w:proofErr w:type="spellStart"/>
            <w:r w:rsidRPr="008E3B72">
              <w:rPr>
                <w:b/>
                <w:lang w:eastAsia="de-DE"/>
              </w:rPr>
              <w:t>Autor</w:t>
            </w:r>
            <w:r w:rsidR="00EB0642">
              <w:rPr>
                <w:b/>
                <w:lang w:eastAsia="de-DE"/>
              </w:rPr>
              <w:t>:</w:t>
            </w:r>
            <w:r w:rsidR="00E36A01" w:rsidRPr="008E3B72">
              <w:rPr>
                <w:b/>
                <w:lang w:eastAsia="de-DE"/>
              </w:rPr>
              <w:t>in</w:t>
            </w:r>
            <w:proofErr w:type="spellEnd"/>
          </w:p>
        </w:tc>
        <w:tc>
          <w:tcPr>
            <w:tcW w:w="4889" w:type="dxa"/>
          </w:tcPr>
          <w:p w14:paraId="62986CAB" w14:textId="77777777" w:rsidR="00DB738A" w:rsidRPr="008E3B72" w:rsidRDefault="00DB738A" w:rsidP="00CF01DA">
            <w:pPr>
              <w:tabs>
                <w:tab w:val="left" w:pos="567"/>
              </w:tabs>
              <w:spacing w:after="0"/>
              <w:jc w:val="left"/>
              <w:rPr>
                <w:b/>
                <w:lang w:eastAsia="de-DE"/>
              </w:rPr>
            </w:pPr>
          </w:p>
        </w:tc>
      </w:tr>
      <w:tr w:rsidR="00D34E78" w:rsidRPr="008E3B72" w14:paraId="2FCD5F7D" w14:textId="77777777" w:rsidTr="00DB738A">
        <w:tc>
          <w:tcPr>
            <w:tcW w:w="4889" w:type="dxa"/>
          </w:tcPr>
          <w:p w14:paraId="33E0AC29" w14:textId="77777777" w:rsidR="00D34E78" w:rsidRPr="008E3B72" w:rsidRDefault="00DB738A" w:rsidP="00F613E7">
            <w:pPr>
              <w:tabs>
                <w:tab w:val="left" w:pos="567"/>
              </w:tabs>
              <w:jc w:val="left"/>
              <w:rPr>
                <w:b/>
                <w:lang w:eastAsia="de-DE"/>
              </w:rPr>
            </w:pPr>
            <w:r w:rsidRPr="008E3B72">
              <w:rPr>
                <w:lang w:eastAsia="de-DE"/>
              </w:rPr>
              <w:t xml:space="preserve">xxx </w:t>
            </w:r>
            <w:r w:rsidR="00DB6BB3" w:rsidRPr="008E3B72">
              <w:rPr>
                <w:lang w:eastAsia="de-DE"/>
              </w:rPr>
              <w:t>Vorname</w:t>
            </w:r>
            <w:r w:rsidR="00D34E78" w:rsidRPr="008E3B72">
              <w:rPr>
                <w:lang w:eastAsia="de-DE"/>
              </w:rPr>
              <w:t xml:space="preserve"> Nachname</w:t>
            </w:r>
            <w:r w:rsidR="00D34E78" w:rsidRPr="008E3B72">
              <w:rPr>
                <w:lang w:eastAsia="de-DE"/>
              </w:rPr>
              <w:br/>
            </w:r>
            <w:r w:rsidRPr="008E3B72">
              <w:rPr>
                <w:lang w:eastAsia="de-DE"/>
              </w:rPr>
              <w:t xml:space="preserve">xxx </w:t>
            </w:r>
            <w:r w:rsidR="00D34E78" w:rsidRPr="008E3B72">
              <w:rPr>
                <w:lang w:eastAsia="de-DE"/>
              </w:rPr>
              <w:t>Anschrift</w:t>
            </w:r>
            <w:r w:rsidR="00D34E78" w:rsidRPr="008E3B72">
              <w:rPr>
                <w:lang w:eastAsia="de-DE"/>
              </w:rPr>
              <w:br/>
            </w:r>
            <w:r w:rsidRPr="008E3B72">
              <w:rPr>
                <w:lang w:eastAsia="de-DE"/>
              </w:rPr>
              <w:t xml:space="preserve">xxx </w:t>
            </w:r>
            <w:r w:rsidR="00D34E78" w:rsidRPr="008E3B72">
              <w:rPr>
                <w:lang w:eastAsia="de-DE"/>
              </w:rPr>
              <w:t>PLZ, Ort</w:t>
            </w:r>
            <w:r w:rsidR="00D34E78" w:rsidRPr="008E3B72">
              <w:rPr>
                <w:lang w:eastAsia="de-DE"/>
              </w:rPr>
              <w:br/>
            </w:r>
            <w:r w:rsidRPr="008E3B72">
              <w:rPr>
                <w:lang w:eastAsia="de-DE"/>
              </w:rPr>
              <w:t xml:space="preserve">xxx </w:t>
            </w:r>
            <w:r w:rsidR="00D34E78" w:rsidRPr="008E3B72">
              <w:rPr>
                <w:lang w:eastAsia="de-DE"/>
              </w:rPr>
              <w:t>Telefonnummer</w:t>
            </w:r>
            <w:r w:rsidR="00D34E78" w:rsidRPr="008E3B72">
              <w:rPr>
                <w:lang w:eastAsia="de-DE"/>
              </w:rPr>
              <w:br/>
            </w:r>
            <w:r w:rsidRPr="008E3B72">
              <w:rPr>
                <w:lang w:eastAsia="de-DE"/>
              </w:rPr>
              <w:t xml:space="preserve">xxx </w:t>
            </w:r>
            <w:r w:rsidR="00D34E78" w:rsidRPr="008E3B72">
              <w:rPr>
                <w:lang w:eastAsia="de-DE"/>
              </w:rPr>
              <w:t>E-Mail-Adresse</w:t>
            </w:r>
          </w:p>
        </w:tc>
        <w:tc>
          <w:tcPr>
            <w:tcW w:w="4889" w:type="dxa"/>
          </w:tcPr>
          <w:p w14:paraId="4D3971BE" w14:textId="77777777" w:rsidR="00D34E78" w:rsidRPr="008E3B72" w:rsidRDefault="00D34E78" w:rsidP="00F613E7">
            <w:pPr>
              <w:tabs>
                <w:tab w:val="left" w:pos="567"/>
              </w:tabs>
              <w:jc w:val="left"/>
              <w:rPr>
                <w:b/>
                <w:lang w:eastAsia="de-DE"/>
              </w:rPr>
            </w:pPr>
          </w:p>
        </w:tc>
      </w:tr>
      <w:tr w:rsidR="00DB738A" w:rsidRPr="008E3B72" w14:paraId="06BE31E8" w14:textId="77777777" w:rsidTr="00DB738A">
        <w:tc>
          <w:tcPr>
            <w:tcW w:w="4889" w:type="dxa"/>
          </w:tcPr>
          <w:p w14:paraId="74D5139A" w14:textId="77777777" w:rsidR="00DB738A" w:rsidRPr="008E3B72" w:rsidRDefault="00E36A01" w:rsidP="00CF01DA">
            <w:pPr>
              <w:tabs>
                <w:tab w:val="left" w:pos="567"/>
              </w:tabs>
              <w:spacing w:after="0"/>
              <w:jc w:val="left"/>
              <w:rPr>
                <w:b/>
                <w:lang w:eastAsia="de-DE"/>
              </w:rPr>
            </w:pPr>
            <w:proofErr w:type="spellStart"/>
            <w:r w:rsidRPr="008E3B72">
              <w:rPr>
                <w:b/>
                <w:lang w:eastAsia="de-DE"/>
              </w:rPr>
              <w:t>Dozierende</w:t>
            </w:r>
            <w:r w:rsidR="00EB0642">
              <w:rPr>
                <w:b/>
                <w:lang w:eastAsia="de-DE"/>
              </w:rPr>
              <w:t>:</w:t>
            </w:r>
            <w:r w:rsidRPr="008E3B72">
              <w:rPr>
                <w:b/>
                <w:lang w:eastAsia="de-DE"/>
              </w:rPr>
              <w:t>r</w:t>
            </w:r>
            <w:proofErr w:type="spellEnd"/>
          </w:p>
        </w:tc>
        <w:tc>
          <w:tcPr>
            <w:tcW w:w="4889" w:type="dxa"/>
          </w:tcPr>
          <w:p w14:paraId="2D5DE8F1" w14:textId="77777777" w:rsidR="00DB738A" w:rsidRPr="008E3B72" w:rsidRDefault="00DB738A" w:rsidP="00DB738A">
            <w:pPr>
              <w:tabs>
                <w:tab w:val="left" w:pos="567"/>
              </w:tabs>
              <w:spacing w:after="0" w:line="240" w:lineRule="auto"/>
              <w:jc w:val="left"/>
              <w:rPr>
                <w:b/>
                <w:lang w:eastAsia="de-DE"/>
              </w:rPr>
            </w:pPr>
          </w:p>
        </w:tc>
      </w:tr>
      <w:tr w:rsidR="00D34E78" w:rsidRPr="008E3B72" w14:paraId="372E340E" w14:textId="77777777" w:rsidTr="00DB738A">
        <w:tc>
          <w:tcPr>
            <w:tcW w:w="4889" w:type="dxa"/>
          </w:tcPr>
          <w:p w14:paraId="498D4847" w14:textId="77777777" w:rsidR="00D34E78" w:rsidRPr="008E3B72" w:rsidRDefault="00DB738A" w:rsidP="00F613E7">
            <w:pPr>
              <w:tabs>
                <w:tab w:val="left" w:pos="567"/>
              </w:tabs>
              <w:jc w:val="left"/>
              <w:rPr>
                <w:b/>
                <w:lang w:eastAsia="de-DE"/>
              </w:rPr>
            </w:pPr>
            <w:r w:rsidRPr="008E3B72">
              <w:rPr>
                <w:lang w:eastAsia="de-DE"/>
              </w:rPr>
              <w:t xml:space="preserve">xxx </w:t>
            </w:r>
            <w:r w:rsidR="00DB6BB3" w:rsidRPr="008E3B72">
              <w:rPr>
                <w:lang w:eastAsia="de-DE"/>
              </w:rPr>
              <w:t>Vorname</w:t>
            </w:r>
            <w:r w:rsidR="00D34E78" w:rsidRPr="008E3B72">
              <w:rPr>
                <w:lang w:eastAsia="de-DE"/>
              </w:rPr>
              <w:t xml:space="preserve"> Nachname</w:t>
            </w:r>
            <w:r w:rsidR="00D34E78" w:rsidRPr="008E3B72">
              <w:rPr>
                <w:lang w:eastAsia="de-DE"/>
              </w:rPr>
              <w:br/>
              <w:t>Fachhochschule Nordwestschweiz</w:t>
            </w:r>
            <w:r w:rsidR="00D34E78" w:rsidRPr="008E3B72">
              <w:rPr>
                <w:lang w:eastAsia="de-DE"/>
              </w:rPr>
              <w:br/>
            </w:r>
            <w:r w:rsidRPr="008E3B72">
              <w:rPr>
                <w:lang w:eastAsia="de-DE"/>
              </w:rPr>
              <w:t xml:space="preserve">xxx </w:t>
            </w:r>
            <w:r w:rsidR="00D34E78" w:rsidRPr="008E3B72">
              <w:rPr>
                <w:lang w:eastAsia="de-DE"/>
              </w:rPr>
              <w:t>E-Mail-Adresse</w:t>
            </w:r>
          </w:p>
        </w:tc>
        <w:tc>
          <w:tcPr>
            <w:tcW w:w="4889" w:type="dxa"/>
          </w:tcPr>
          <w:p w14:paraId="4C1AB212" w14:textId="77777777" w:rsidR="00D34E78" w:rsidRPr="008E3B72" w:rsidRDefault="00D34E78" w:rsidP="00F613E7">
            <w:pPr>
              <w:tabs>
                <w:tab w:val="left" w:pos="567"/>
              </w:tabs>
              <w:jc w:val="left"/>
              <w:rPr>
                <w:b/>
                <w:lang w:eastAsia="de-DE"/>
              </w:rPr>
            </w:pPr>
          </w:p>
        </w:tc>
      </w:tr>
      <w:tr w:rsidR="00DB738A" w:rsidRPr="008E3B72" w14:paraId="7C455D35" w14:textId="77777777" w:rsidTr="00DB738A">
        <w:trPr>
          <w:trHeight w:val="313"/>
        </w:trPr>
        <w:tc>
          <w:tcPr>
            <w:tcW w:w="4889" w:type="dxa"/>
          </w:tcPr>
          <w:p w14:paraId="028FDCEC" w14:textId="77777777" w:rsidR="00DB738A" w:rsidRPr="008E3B72" w:rsidRDefault="00DB738A" w:rsidP="00CF01DA">
            <w:pPr>
              <w:tabs>
                <w:tab w:val="left" w:pos="567"/>
              </w:tabs>
              <w:spacing w:after="0"/>
              <w:jc w:val="left"/>
              <w:rPr>
                <w:b/>
                <w:lang w:eastAsia="de-DE"/>
              </w:rPr>
            </w:pPr>
            <w:r w:rsidRPr="008E3B72">
              <w:rPr>
                <w:b/>
                <w:lang w:eastAsia="de-DE"/>
              </w:rPr>
              <w:t>Auftraggeberschaft</w:t>
            </w:r>
          </w:p>
        </w:tc>
        <w:tc>
          <w:tcPr>
            <w:tcW w:w="4889" w:type="dxa"/>
          </w:tcPr>
          <w:p w14:paraId="641B096C" w14:textId="77777777" w:rsidR="00DB738A" w:rsidRPr="008E3B72" w:rsidRDefault="00DB738A" w:rsidP="00DB738A">
            <w:pPr>
              <w:tabs>
                <w:tab w:val="left" w:pos="567"/>
              </w:tabs>
              <w:spacing w:after="0" w:line="240" w:lineRule="auto"/>
              <w:jc w:val="left"/>
              <w:rPr>
                <w:b/>
                <w:lang w:eastAsia="de-DE"/>
              </w:rPr>
            </w:pPr>
          </w:p>
        </w:tc>
      </w:tr>
      <w:tr w:rsidR="00D34E78" w:rsidRPr="008E3B72" w14:paraId="7EDABF3B" w14:textId="77777777" w:rsidTr="00DB738A">
        <w:tc>
          <w:tcPr>
            <w:tcW w:w="4889" w:type="dxa"/>
          </w:tcPr>
          <w:p w14:paraId="0C15BD75" w14:textId="77777777" w:rsidR="00D34E78" w:rsidRPr="008E3B72" w:rsidRDefault="00DB738A" w:rsidP="00F613E7">
            <w:pPr>
              <w:tabs>
                <w:tab w:val="left" w:pos="567"/>
              </w:tabs>
              <w:jc w:val="left"/>
              <w:rPr>
                <w:b/>
                <w:lang w:eastAsia="de-DE"/>
              </w:rPr>
            </w:pPr>
            <w:r w:rsidRPr="008E3B72">
              <w:rPr>
                <w:lang w:eastAsia="de-DE"/>
              </w:rPr>
              <w:t xml:space="preserve">xxx </w:t>
            </w:r>
            <w:r w:rsidR="00D34E78" w:rsidRPr="008E3B72">
              <w:rPr>
                <w:lang w:eastAsia="de-DE"/>
              </w:rPr>
              <w:t>Name der Unternehmung/Organisation</w:t>
            </w:r>
            <w:r w:rsidR="00D34E78" w:rsidRPr="008E3B72">
              <w:rPr>
                <w:lang w:eastAsia="de-DE"/>
              </w:rPr>
              <w:br/>
            </w:r>
            <w:r w:rsidRPr="008E3B72">
              <w:rPr>
                <w:lang w:eastAsia="de-DE"/>
              </w:rPr>
              <w:t xml:space="preserve">xxx </w:t>
            </w:r>
            <w:r w:rsidR="00DB6BB3" w:rsidRPr="008E3B72">
              <w:rPr>
                <w:lang w:eastAsia="de-DE"/>
              </w:rPr>
              <w:t>Vorname</w:t>
            </w:r>
            <w:r w:rsidR="00D34E78" w:rsidRPr="008E3B72">
              <w:rPr>
                <w:lang w:eastAsia="de-DE"/>
              </w:rPr>
              <w:t xml:space="preserve"> Nachname der Kontaktperson</w:t>
            </w:r>
            <w:r w:rsidR="00D34E78" w:rsidRPr="008E3B72">
              <w:rPr>
                <w:lang w:eastAsia="de-DE"/>
              </w:rPr>
              <w:br/>
            </w:r>
            <w:r w:rsidRPr="008E3B72">
              <w:rPr>
                <w:lang w:eastAsia="de-DE"/>
              </w:rPr>
              <w:t xml:space="preserve">xxx </w:t>
            </w:r>
            <w:r w:rsidR="00D34E78" w:rsidRPr="008E3B72">
              <w:rPr>
                <w:lang w:eastAsia="de-DE"/>
              </w:rPr>
              <w:t>Anschrift</w:t>
            </w:r>
            <w:r w:rsidR="00D34E78" w:rsidRPr="008E3B72">
              <w:rPr>
                <w:lang w:eastAsia="de-DE"/>
              </w:rPr>
              <w:br/>
            </w:r>
            <w:r w:rsidRPr="008E3B72">
              <w:rPr>
                <w:lang w:eastAsia="de-DE"/>
              </w:rPr>
              <w:t xml:space="preserve">xxx </w:t>
            </w:r>
            <w:r w:rsidR="00D34E78" w:rsidRPr="008E3B72">
              <w:rPr>
                <w:lang w:eastAsia="de-DE"/>
              </w:rPr>
              <w:t>PLZ, Ort</w:t>
            </w:r>
            <w:r w:rsidR="00D34E78" w:rsidRPr="008E3B72">
              <w:rPr>
                <w:lang w:eastAsia="de-DE"/>
              </w:rPr>
              <w:br/>
            </w:r>
            <w:r w:rsidRPr="008E3B72">
              <w:rPr>
                <w:lang w:eastAsia="de-DE"/>
              </w:rPr>
              <w:t xml:space="preserve">xxx </w:t>
            </w:r>
            <w:r w:rsidR="00D34E78" w:rsidRPr="008E3B72">
              <w:rPr>
                <w:lang w:eastAsia="de-DE"/>
              </w:rPr>
              <w:t>Telefonnummer</w:t>
            </w:r>
            <w:r w:rsidR="00D34E78" w:rsidRPr="008E3B72">
              <w:rPr>
                <w:lang w:eastAsia="de-DE"/>
              </w:rPr>
              <w:br/>
            </w:r>
            <w:r w:rsidRPr="008E3B72">
              <w:rPr>
                <w:lang w:eastAsia="de-DE"/>
              </w:rPr>
              <w:t xml:space="preserve">xxx </w:t>
            </w:r>
            <w:r w:rsidR="00D34E78" w:rsidRPr="008E3B72">
              <w:rPr>
                <w:lang w:eastAsia="de-DE"/>
              </w:rPr>
              <w:t>E-Mail-Adresse</w:t>
            </w:r>
          </w:p>
        </w:tc>
        <w:tc>
          <w:tcPr>
            <w:tcW w:w="4889" w:type="dxa"/>
          </w:tcPr>
          <w:p w14:paraId="3911E714" w14:textId="77777777" w:rsidR="00D34E78" w:rsidRPr="008E3B72" w:rsidRDefault="00D34E78" w:rsidP="00F613E7">
            <w:pPr>
              <w:tabs>
                <w:tab w:val="left" w:pos="567"/>
              </w:tabs>
              <w:jc w:val="left"/>
              <w:rPr>
                <w:b/>
                <w:lang w:eastAsia="de-DE"/>
              </w:rPr>
            </w:pPr>
          </w:p>
        </w:tc>
      </w:tr>
      <w:tr w:rsidR="00507598" w:rsidRPr="008E3B72" w14:paraId="0E2500A6" w14:textId="77777777" w:rsidTr="00DB738A">
        <w:tc>
          <w:tcPr>
            <w:tcW w:w="4889" w:type="dxa"/>
          </w:tcPr>
          <w:p w14:paraId="28E739E3" w14:textId="77777777" w:rsidR="00507598" w:rsidRPr="008E3B72" w:rsidRDefault="00507598" w:rsidP="00F613E7">
            <w:pPr>
              <w:tabs>
                <w:tab w:val="left" w:pos="567"/>
              </w:tabs>
              <w:jc w:val="left"/>
              <w:rPr>
                <w:b/>
                <w:lang w:eastAsia="de-DE"/>
              </w:rPr>
            </w:pPr>
          </w:p>
          <w:p w14:paraId="49A49241" w14:textId="77777777" w:rsidR="00507598" w:rsidRPr="008E3B72" w:rsidRDefault="00EB0642" w:rsidP="00F613E7">
            <w:pPr>
              <w:tabs>
                <w:tab w:val="left" w:pos="567"/>
              </w:tabs>
              <w:jc w:val="left"/>
              <w:rPr>
                <w:lang w:eastAsia="de-DE"/>
              </w:rPr>
            </w:pPr>
            <w:r>
              <w:rPr>
                <w:lang w:eastAsia="de-DE"/>
              </w:rPr>
              <w:t>x</w:t>
            </w:r>
            <w:r w:rsidR="00DB738A" w:rsidRPr="008E3B72">
              <w:rPr>
                <w:lang w:eastAsia="de-DE"/>
              </w:rPr>
              <w:t xml:space="preserve">xx </w:t>
            </w:r>
            <w:r w:rsidR="00507598" w:rsidRPr="008E3B72">
              <w:rPr>
                <w:lang w:eastAsia="de-DE"/>
              </w:rPr>
              <w:t>Ort, Monat 20</w:t>
            </w:r>
            <w:r w:rsidR="00CB6A86" w:rsidRPr="008E3B72">
              <w:rPr>
                <w:lang w:eastAsia="de-DE"/>
              </w:rPr>
              <w:t>2</w:t>
            </w:r>
            <w:r w:rsidR="00507598" w:rsidRPr="008E3B72">
              <w:rPr>
                <w:lang w:eastAsia="de-DE"/>
              </w:rPr>
              <w:t>x</w:t>
            </w:r>
          </w:p>
        </w:tc>
        <w:tc>
          <w:tcPr>
            <w:tcW w:w="4889" w:type="dxa"/>
          </w:tcPr>
          <w:p w14:paraId="498BAAD1" w14:textId="77777777" w:rsidR="00507598" w:rsidRPr="008E3B72" w:rsidRDefault="00507598" w:rsidP="00F613E7">
            <w:pPr>
              <w:tabs>
                <w:tab w:val="left" w:pos="567"/>
              </w:tabs>
              <w:jc w:val="left"/>
              <w:rPr>
                <w:b/>
                <w:lang w:eastAsia="de-DE"/>
              </w:rPr>
            </w:pPr>
          </w:p>
        </w:tc>
      </w:tr>
    </w:tbl>
    <w:p w14:paraId="3C96A949" w14:textId="77777777" w:rsidR="00696A18" w:rsidRPr="008E3B72" w:rsidRDefault="00696A18" w:rsidP="00696A18">
      <w:pPr>
        <w:rPr>
          <w:lang w:eastAsia="de-DE"/>
        </w:rPr>
        <w:sectPr w:rsidR="00696A18" w:rsidRPr="008E3B72" w:rsidSect="005500E7">
          <w:headerReference w:type="default" r:id="rId15"/>
          <w:footerReference w:type="default" r:id="rId16"/>
          <w:headerReference w:type="first" r:id="rId17"/>
          <w:footerReference w:type="first" r:id="rId18"/>
          <w:pgSz w:w="11907" w:h="16840" w:code="9"/>
          <w:pgMar w:top="1701" w:right="851" w:bottom="1588" w:left="1418" w:header="680" w:footer="1021" w:gutter="0"/>
          <w:pgNumType w:fmt="upperRoman" w:start="1"/>
          <w:cols w:space="708"/>
          <w:docGrid w:linePitch="360"/>
        </w:sectPr>
      </w:pPr>
    </w:p>
    <w:p w14:paraId="7AE92C35" w14:textId="77777777" w:rsidR="00F7330E" w:rsidRPr="008E3B72" w:rsidRDefault="00A30361" w:rsidP="00D000CF">
      <w:pPr>
        <w:pStyle w:val="berschrift1ohneNummerierung"/>
      </w:pPr>
      <w:bookmarkStart w:id="0" w:name="_Toc134025418"/>
      <w:r w:rsidRPr="00A30361">
        <w:lastRenderedPageBreak/>
        <w:t>Eigenständigkeitserklärung</w:t>
      </w:r>
      <w:bookmarkEnd w:id="0"/>
    </w:p>
    <w:p w14:paraId="5E51F386" w14:textId="77777777" w:rsidR="00A30361" w:rsidRDefault="00A30361" w:rsidP="00A30361">
      <w:r>
        <w:t>Ich erkläre hiermit,</w:t>
      </w:r>
    </w:p>
    <w:p w14:paraId="08F848B4" w14:textId="77777777" w:rsidR="00FE53BB" w:rsidRPr="00476220" w:rsidRDefault="00FE53BB" w:rsidP="00FE53BB">
      <w:pPr>
        <w:pStyle w:val="Textkrper"/>
        <w:numPr>
          <w:ilvl w:val="0"/>
          <w:numId w:val="19"/>
        </w:numPr>
        <w:rPr>
          <w:rFonts w:cs="Arial"/>
          <w:szCs w:val="22"/>
        </w:rPr>
      </w:pPr>
      <w:r w:rsidRPr="00476220">
        <w:rPr>
          <w:rFonts w:cs="Arial"/>
          <w:szCs w:val="22"/>
        </w:rPr>
        <w:t>dass ich sämtliche nicht von mir selbst stammenden Textstellen gemäss gängigen wissenschaftlichen Zitierregeln korrekt zitiert und die verwendeten Quellen gut sichtbar erwähnt habe;</w:t>
      </w:r>
    </w:p>
    <w:p w14:paraId="3809DFE2" w14:textId="77777777" w:rsidR="00FE53BB" w:rsidRPr="00476220" w:rsidRDefault="00FE53BB" w:rsidP="00FE53BB">
      <w:pPr>
        <w:pStyle w:val="Textkrper"/>
        <w:numPr>
          <w:ilvl w:val="0"/>
          <w:numId w:val="19"/>
        </w:numPr>
        <w:rPr>
          <w:rFonts w:cs="Arial"/>
          <w:szCs w:val="22"/>
        </w:rPr>
      </w:pPr>
      <w:r w:rsidRPr="00476220">
        <w:rPr>
          <w:rFonts w:cs="Arial"/>
          <w:szCs w:val="22"/>
        </w:rPr>
        <w:t>dass ich in einem Verzeichnis alle verwendeten Hilfsmittel (</w:t>
      </w:r>
      <w:r w:rsidRPr="004423AA">
        <w:rPr>
          <w:rFonts w:cs="Arial"/>
          <w:szCs w:val="22"/>
        </w:rPr>
        <w:t xml:space="preserve">z.B. </w:t>
      </w:r>
      <w:r w:rsidRPr="00476220">
        <w:rPr>
          <w:rFonts w:cs="Arial"/>
          <w:szCs w:val="22"/>
        </w:rPr>
        <w:t>KI-Assistenzsysteme wie Chatbots [z.B. ChatGPT], Übersetzungs-, Paraphrasier-</w:t>
      </w:r>
      <w:r>
        <w:rPr>
          <w:rFonts w:cs="Arial"/>
          <w:szCs w:val="22"/>
        </w:rPr>
        <w:t>Tools</w:t>
      </w:r>
      <w:r w:rsidRPr="00476220">
        <w:rPr>
          <w:rFonts w:cs="Arial"/>
          <w:szCs w:val="22"/>
        </w:rPr>
        <w:t xml:space="preserve">) oder Programmierapplikationen [z.B. </w:t>
      </w:r>
      <w:proofErr w:type="spellStart"/>
      <w:r w:rsidRPr="00476220">
        <w:rPr>
          <w:rFonts w:cs="Arial"/>
          <w:szCs w:val="22"/>
        </w:rPr>
        <w:t>Github</w:t>
      </w:r>
      <w:proofErr w:type="spellEnd"/>
      <w:r w:rsidRPr="00476220">
        <w:rPr>
          <w:rFonts w:cs="Arial"/>
          <w:szCs w:val="22"/>
        </w:rPr>
        <w:t xml:space="preserve"> Copilot] deklariert und ihre Verwendung bei den entsprechenden Textstellen angegeben habe;</w:t>
      </w:r>
    </w:p>
    <w:p w14:paraId="6DDEA74F" w14:textId="77777777" w:rsidR="00FE53BB" w:rsidRPr="00476220" w:rsidRDefault="00FE53BB" w:rsidP="00FE53BB">
      <w:pPr>
        <w:pStyle w:val="Textkrper"/>
        <w:numPr>
          <w:ilvl w:val="0"/>
          <w:numId w:val="19"/>
        </w:numPr>
        <w:rPr>
          <w:rFonts w:cs="Arial"/>
          <w:szCs w:val="22"/>
        </w:rPr>
      </w:pPr>
      <w:r w:rsidRPr="00476220">
        <w:rPr>
          <w:rFonts w:cs="Arial"/>
          <w:szCs w:val="22"/>
        </w:rPr>
        <w:t>dass ich sämtliche immateriellen Rechte an von mir allfällig verwendeten Materialien wie Bildern oder Grafiken erworben habe oder dass diese Materialien von mir selbst erstellt wurden;</w:t>
      </w:r>
    </w:p>
    <w:p w14:paraId="11C5631C" w14:textId="77777777" w:rsidR="00FE53BB" w:rsidRPr="00476220" w:rsidRDefault="00FE53BB" w:rsidP="00FE53BB">
      <w:pPr>
        <w:pStyle w:val="Textkrper"/>
        <w:numPr>
          <w:ilvl w:val="0"/>
          <w:numId w:val="19"/>
        </w:numPr>
        <w:rPr>
          <w:rFonts w:cs="Arial"/>
          <w:szCs w:val="22"/>
        </w:rPr>
      </w:pPr>
      <w:r w:rsidRPr="00476220">
        <w:rPr>
          <w:rFonts w:cs="Arial"/>
          <w:szCs w:val="22"/>
        </w:rPr>
        <w:t>dass das Thema, die Arbeit oder Teile davon nicht bei einem Leistungsnachweis eines anderen Moduls verwendet wurden, sofern dies nicht ausdrücklich mit der Dozentin oder dem Dozenten im Voraus vereinbart wurde und in der Arbeit ausgewiesen wird;</w:t>
      </w:r>
    </w:p>
    <w:p w14:paraId="5C77E1BE" w14:textId="77777777" w:rsidR="00FE53BB" w:rsidRPr="00476220" w:rsidRDefault="00FE53BB" w:rsidP="00FE53BB">
      <w:pPr>
        <w:pStyle w:val="Textkrper"/>
        <w:numPr>
          <w:ilvl w:val="0"/>
          <w:numId w:val="19"/>
        </w:numPr>
        <w:rPr>
          <w:rFonts w:cs="Arial"/>
          <w:szCs w:val="22"/>
        </w:rPr>
      </w:pPr>
      <w:r w:rsidRPr="00476220">
        <w:rPr>
          <w:rFonts w:cs="Arial"/>
          <w:szCs w:val="22"/>
        </w:rPr>
        <w:t>dass ich mir bewusst bin, dass meine Arbeit auf Plagiate und auf Drittautorschaft menschlichen oder technischen Ursprungs (künstliche Intelligenz) überprüft werden kann;</w:t>
      </w:r>
    </w:p>
    <w:p w14:paraId="7E1C152E" w14:textId="77777777" w:rsidR="006720EC" w:rsidRPr="00FE53BB" w:rsidRDefault="00014520" w:rsidP="00FE53BB">
      <w:pPr>
        <w:pStyle w:val="Textkrper"/>
        <w:numPr>
          <w:ilvl w:val="0"/>
          <w:numId w:val="19"/>
        </w:numPr>
        <w:rPr>
          <w:rFonts w:cs="Arial"/>
          <w:szCs w:val="22"/>
        </w:rPr>
      </w:pPr>
      <w:r w:rsidRPr="00014520">
        <w:rPr>
          <w:rFonts w:cs="Arial"/>
          <w:szCs w:val="22"/>
        </w:rPr>
        <w:t xml:space="preserve">dass ich mir bewusst bin, dass die Hochschule für Wirtschaft FHNW einen Verstoss gegen diese Eigenständigkeitserklärung bzw. die ihr zugrundeliegenden Pflichten der Studien- und Prüfungsordnung der Hochschule für Wirtschaft FHNW verfolgt. Zu den Pflichten gehört insbesondere die Wahrung von Urheberrechten und das Unterlassen von Plagiaten (§ 29 Abs. 1 </w:t>
      </w:r>
      <w:proofErr w:type="spellStart"/>
      <w:r w:rsidRPr="00014520">
        <w:rPr>
          <w:rFonts w:cs="Arial"/>
          <w:szCs w:val="22"/>
        </w:rPr>
        <w:t>lit</w:t>
      </w:r>
      <w:proofErr w:type="spellEnd"/>
      <w:r w:rsidRPr="00014520">
        <w:rPr>
          <w:rFonts w:cs="Arial"/>
          <w:szCs w:val="22"/>
        </w:rPr>
        <w:t xml:space="preserve">. d </w:t>
      </w:r>
      <w:proofErr w:type="spellStart"/>
      <w:r w:rsidRPr="00014520">
        <w:rPr>
          <w:rFonts w:cs="Arial"/>
          <w:szCs w:val="22"/>
        </w:rPr>
        <w:t>StuPO</w:t>
      </w:r>
      <w:proofErr w:type="spellEnd"/>
      <w:r w:rsidRPr="00014520">
        <w:rPr>
          <w:rFonts w:cs="Arial"/>
          <w:szCs w:val="22"/>
        </w:rPr>
        <w:t>). Ein diesbezüglicher Verstoss wird mit der Note 1 bewertet und es können zusätzlich disziplinarische Folgen (Verweis</w:t>
      </w:r>
      <w:r>
        <w:rPr>
          <w:rFonts w:cs="Arial"/>
          <w:szCs w:val="22"/>
        </w:rPr>
        <w:t>/</w:t>
      </w:r>
      <w:r w:rsidRPr="00014520">
        <w:rPr>
          <w:rFonts w:cs="Arial"/>
          <w:szCs w:val="22"/>
        </w:rPr>
        <w:t>Ausschluss aus dem Studiengang) resultieren.</w:t>
      </w:r>
    </w:p>
    <w:p w14:paraId="166579C7" w14:textId="77777777" w:rsidR="006720EC" w:rsidRPr="008E3B72" w:rsidRDefault="006720EC" w:rsidP="006720EC"/>
    <w:p w14:paraId="4DFD88B4" w14:textId="77777777" w:rsidR="006720EC" w:rsidRPr="008E3B72" w:rsidRDefault="006720EC" w:rsidP="006720EC">
      <w:r w:rsidRPr="008E3B72">
        <w:t>Ort, Datum</w:t>
      </w:r>
    </w:p>
    <w:p w14:paraId="12725130" w14:textId="77777777" w:rsidR="006720EC" w:rsidRPr="008E3B72" w:rsidRDefault="006720EC" w:rsidP="006720EC"/>
    <w:p w14:paraId="46A15236" w14:textId="77777777" w:rsidR="00A30361" w:rsidRDefault="00A30361" w:rsidP="006720EC"/>
    <w:p w14:paraId="35DBCF2A" w14:textId="77777777" w:rsidR="006720EC" w:rsidRDefault="006720EC" w:rsidP="006720EC">
      <w:r w:rsidRPr="008E3B72">
        <w:t>Unterschrift</w:t>
      </w:r>
    </w:p>
    <w:p w14:paraId="4CA7472A" w14:textId="77777777" w:rsidR="00F55422" w:rsidRDefault="006720EC" w:rsidP="003A34D3">
      <w:r w:rsidRPr="008E3B72">
        <w:rPr>
          <w:szCs w:val="22"/>
          <w:highlight w:val="yellow"/>
        </w:rPr>
        <w:t xml:space="preserve">Entsprechende Anpassungen sind bei einer Gruppenarbeit vorzunehmen: «Wir </w:t>
      </w:r>
      <w:r w:rsidR="00A30361">
        <w:rPr>
          <w:szCs w:val="22"/>
          <w:highlight w:val="yellow"/>
        </w:rPr>
        <w:t>erklären</w:t>
      </w:r>
      <w:r w:rsidRPr="008E3B72">
        <w:rPr>
          <w:szCs w:val="22"/>
          <w:highlight w:val="yellow"/>
        </w:rPr>
        <w:t xml:space="preserve"> …». Diese Erklärung ist mit Ort und Datum zu versehen und zu unterzeichnen.</w:t>
      </w:r>
    </w:p>
    <w:p w14:paraId="4861E5FB" w14:textId="77777777" w:rsidR="002F0631" w:rsidRPr="008E3B72" w:rsidRDefault="00585558" w:rsidP="00D000CF">
      <w:pPr>
        <w:pStyle w:val="berschrift1ohneNummerierung"/>
      </w:pPr>
      <w:bookmarkStart w:id="1" w:name="Vorwort"/>
      <w:bookmarkStart w:id="2" w:name="_Toc134025419"/>
      <w:r w:rsidRPr="008E3B72">
        <w:lastRenderedPageBreak/>
        <w:t>Vorwort</w:t>
      </w:r>
      <w:bookmarkEnd w:id="1"/>
      <w:r w:rsidR="00696A18" w:rsidRPr="008E3B72">
        <w:t xml:space="preserve"> oder </w:t>
      </w:r>
      <w:r w:rsidRPr="008E3B72">
        <w:t xml:space="preserve">Projekthintergrund </w:t>
      </w:r>
      <w:r w:rsidR="00696A18" w:rsidRPr="008E3B72">
        <w:t>oder</w:t>
      </w:r>
      <w:r w:rsidRPr="008E3B72">
        <w:t xml:space="preserve"> Danksagung</w:t>
      </w:r>
      <w:bookmarkEnd w:id="2"/>
    </w:p>
    <w:p w14:paraId="6EC0B236" w14:textId="77777777" w:rsidR="00F7330E" w:rsidRPr="008E3B72" w:rsidRDefault="003A34D3" w:rsidP="005500E7">
      <w:r w:rsidRPr="008E3B72">
        <w:t xml:space="preserve">Ein kurzer Dank ist angebracht, wenn die Auftraggeberschaft und/oder die betreuenden Dozierenden sich fachlich </w:t>
      </w:r>
      <w:r w:rsidR="00D24F9E">
        <w:t>und/</w:t>
      </w:r>
      <w:r w:rsidRPr="008E3B72">
        <w:t>oder finanziell besonders engagiert haben.</w:t>
      </w:r>
    </w:p>
    <w:p w14:paraId="7181AE43" w14:textId="77777777" w:rsidR="00F7330E" w:rsidRPr="008E3B72" w:rsidRDefault="00F7330E" w:rsidP="00D000CF">
      <w:pPr>
        <w:pStyle w:val="berschrift1ohneNummerierung"/>
      </w:pPr>
      <w:bookmarkStart w:id="3" w:name="_Toc134025420"/>
      <w:r w:rsidRPr="008E3B72">
        <w:lastRenderedPageBreak/>
        <w:t>Management Summary</w:t>
      </w:r>
      <w:bookmarkEnd w:id="3"/>
      <w:r w:rsidR="00696A18" w:rsidRPr="008E3B72">
        <w:t xml:space="preserve"> </w:t>
      </w:r>
    </w:p>
    <w:p w14:paraId="170728DE" w14:textId="77777777" w:rsidR="003D6A89" w:rsidRDefault="00000000">
      <w:pPr>
        <w:pStyle w:val="Textkrper"/>
      </w:pPr>
      <w:r>
        <w:t>[Platzhalter: Management Summary zuletzt verfassen. Aufbau: Ausgangslage und Fragestellung, Vorgehen und Methoden, Hauptergebnisse (grösste Gewichtung), Fazit und Ausblick. Max. 2 Seiten.]</w:t>
      </w:r>
    </w:p>
    <w:p w14:paraId="08B78F1D" w14:textId="77777777" w:rsidR="00F7330E" w:rsidRPr="008E3B72" w:rsidRDefault="00F7330E" w:rsidP="00D000CF">
      <w:pPr>
        <w:pStyle w:val="berschrift1ohneNummerierung"/>
      </w:pPr>
      <w:bookmarkStart w:id="4" w:name="_Toc59933003"/>
      <w:bookmarkStart w:id="5" w:name="_Toc59933379"/>
      <w:bookmarkStart w:id="6" w:name="_Toc134025421"/>
      <w:r w:rsidRPr="008E3B72">
        <w:lastRenderedPageBreak/>
        <w:t>Inhaltsverzeichnis</w:t>
      </w:r>
      <w:bookmarkEnd w:id="4"/>
      <w:bookmarkEnd w:id="5"/>
      <w:bookmarkEnd w:id="6"/>
    </w:p>
    <w:p w14:paraId="04FA0370" w14:textId="77777777" w:rsidR="00BB7E7C" w:rsidRDefault="00104CD9">
      <w:pPr>
        <w:pStyle w:val="Verzeichnis1"/>
        <w:rPr>
          <w:rFonts w:asciiTheme="minorHAnsi" w:eastAsiaTheme="minorEastAsia" w:hAnsiTheme="minorHAnsi" w:cstheme="minorBidi"/>
          <w:noProof/>
          <w:szCs w:val="22"/>
          <w:lang w:eastAsia="de-CH"/>
        </w:rPr>
      </w:pPr>
      <w:r w:rsidRPr="00EA402E">
        <w:fldChar w:fldCharType="begin"/>
      </w:r>
      <w:r w:rsidRPr="008E3B72">
        <w:instrText xml:space="preserve"> TOC \o "1-4" \h \z \u </w:instrText>
      </w:r>
      <w:r w:rsidRPr="00EA402E">
        <w:fldChar w:fldCharType="separate"/>
      </w:r>
      <w:hyperlink w:anchor="_Toc134025418" w:history="1">
        <w:r w:rsidR="00BB7E7C" w:rsidRPr="00EE6852">
          <w:rPr>
            <w:rStyle w:val="Hyperlink"/>
            <w:noProof/>
          </w:rPr>
          <w:t>Eigenständigkeitserklärung</w:t>
        </w:r>
        <w:r w:rsidR="00BB7E7C">
          <w:rPr>
            <w:noProof/>
            <w:webHidden/>
          </w:rPr>
          <w:tab/>
        </w:r>
        <w:r w:rsidR="00BB7E7C">
          <w:rPr>
            <w:noProof/>
            <w:webHidden/>
          </w:rPr>
          <w:fldChar w:fldCharType="begin"/>
        </w:r>
        <w:r w:rsidR="00BB7E7C">
          <w:rPr>
            <w:noProof/>
            <w:webHidden/>
          </w:rPr>
          <w:instrText xml:space="preserve"> PAGEREF _Toc134025418 \h </w:instrText>
        </w:r>
        <w:r w:rsidR="00BB7E7C">
          <w:rPr>
            <w:noProof/>
            <w:webHidden/>
          </w:rPr>
        </w:r>
        <w:r w:rsidR="00BB7E7C">
          <w:rPr>
            <w:noProof/>
            <w:webHidden/>
          </w:rPr>
          <w:fldChar w:fldCharType="separate"/>
        </w:r>
        <w:r w:rsidR="00BB7E7C">
          <w:rPr>
            <w:noProof/>
            <w:webHidden/>
          </w:rPr>
          <w:t>II</w:t>
        </w:r>
        <w:r w:rsidR="00BB7E7C">
          <w:rPr>
            <w:noProof/>
            <w:webHidden/>
          </w:rPr>
          <w:fldChar w:fldCharType="end"/>
        </w:r>
      </w:hyperlink>
    </w:p>
    <w:p w14:paraId="06628023" w14:textId="77777777" w:rsidR="00BB7E7C" w:rsidRDefault="00BB7E7C">
      <w:pPr>
        <w:pStyle w:val="Verzeichnis1"/>
        <w:rPr>
          <w:rFonts w:asciiTheme="minorHAnsi" w:eastAsiaTheme="minorEastAsia" w:hAnsiTheme="minorHAnsi" w:cstheme="minorBidi"/>
          <w:noProof/>
          <w:szCs w:val="22"/>
          <w:lang w:eastAsia="de-CH"/>
        </w:rPr>
      </w:pPr>
      <w:hyperlink w:anchor="_Toc134025419" w:history="1">
        <w:r w:rsidRPr="00EE6852">
          <w:rPr>
            <w:rStyle w:val="Hyperlink"/>
            <w:noProof/>
          </w:rPr>
          <w:t>Vorwort oder Projekthintergrund oder Danksagung</w:t>
        </w:r>
        <w:r>
          <w:rPr>
            <w:noProof/>
            <w:webHidden/>
          </w:rPr>
          <w:tab/>
        </w:r>
        <w:r>
          <w:rPr>
            <w:noProof/>
            <w:webHidden/>
          </w:rPr>
          <w:fldChar w:fldCharType="begin"/>
        </w:r>
        <w:r>
          <w:rPr>
            <w:noProof/>
            <w:webHidden/>
          </w:rPr>
          <w:instrText xml:space="preserve"> PAGEREF _Toc134025419 \h </w:instrText>
        </w:r>
        <w:r>
          <w:rPr>
            <w:noProof/>
            <w:webHidden/>
          </w:rPr>
        </w:r>
        <w:r>
          <w:rPr>
            <w:noProof/>
            <w:webHidden/>
          </w:rPr>
          <w:fldChar w:fldCharType="separate"/>
        </w:r>
        <w:r>
          <w:rPr>
            <w:noProof/>
            <w:webHidden/>
          </w:rPr>
          <w:t>III</w:t>
        </w:r>
        <w:r>
          <w:rPr>
            <w:noProof/>
            <w:webHidden/>
          </w:rPr>
          <w:fldChar w:fldCharType="end"/>
        </w:r>
      </w:hyperlink>
    </w:p>
    <w:p w14:paraId="0BDA64C8" w14:textId="77777777" w:rsidR="00BB7E7C" w:rsidRDefault="00BB7E7C">
      <w:pPr>
        <w:pStyle w:val="Verzeichnis1"/>
        <w:rPr>
          <w:rFonts w:asciiTheme="minorHAnsi" w:eastAsiaTheme="minorEastAsia" w:hAnsiTheme="minorHAnsi" w:cstheme="minorBidi"/>
          <w:noProof/>
          <w:szCs w:val="22"/>
          <w:lang w:eastAsia="de-CH"/>
        </w:rPr>
      </w:pPr>
      <w:hyperlink w:anchor="_Toc134025420" w:history="1">
        <w:r w:rsidRPr="00EE6852">
          <w:rPr>
            <w:rStyle w:val="Hyperlink"/>
            <w:noProof/>
          </w:rPr>
          <w:t>Management Summary</w:t>
        </w:r>
        <w:r>
          <w:rPr>
            <w:noProof/>
            <w:webHidden/>
          </w:rPr>
          <w:tab/>
        </w:r>
        <w:r>
          <w:rPr>
            <w:noProof/>
            <w:webHidden/>
          </w:rPr>
          <w:fldChar w:fldCharType="begin"/>
        </w:r>
        <w:r>
          <w:rPr>
            <w:noProof/>
            <w:webHidden/>
          </w:rPr>
          <w:instrText xml:space="preserve"> PAGEREF _Toc134025420 \h </w:instrText>
        </w:r>
        <w:r>
          <w:rPr>
            <w:noProof/>
            <w:webHidden/>
          </w:rPr>
        </w:r>
        <w:r>
          <w:rPr>
            <w:noProof/>
            <w:webHidden/>
          </w:rPr>
          <w:fldChar w:fldCharType="separate"/>
        </w:r>
        <w:r>
          <w:rPr>
            <w:noProof/>
            <w:webHidden/>
          </w:rPr>
          <w:t>IV</w:t>
        </w:r>
        <w:r>
          <w:rPr>
            <w:noProof/>
            <w:webHidden/>
          </w:rPr>
          <w:fldChar w:fldCharType="end"/>
        </w:r>
      </w:hyperlink>
    </w:p>
    <w:p w14:paraId="54590A9F" w14:textId="77777777" w:rsidR="00BB7E7C" w:rsidRDefault="00BB7E7C">
      <w:pPr>
        <w:pStyle w:val="Verzeichnis1"/>
        <w:rPr>
          <w:rFonts w:asciiTheme="minorHAnsi" w:eastAsiaTheme="minorEastAsia" w:hAnsiTheme="minorHAnsi" w:cstheme="minorBidi"/>
          <w:noProof/>
          <w:szCs w:val="22"/>
          <w:lang w:eastAsia="de-CH"/>
        </w:rPr>
      </w:pPr>
      <w:hyperlink w:anchor="_Toc134025421" w:history="1">
        <w:r w:rsidRPr="00EE6852">
          <w:rPr>
            <w:rStyle w:val="Hyperlink"/>
            <w:noProof/>
          </w:rPr>
          <w:t>Inhaltsverzeichnis</w:t>
        </w:r>
        <w:r>
          <w:rPr>
            <w:noProof/>
            <w:webHidden/>
          </w:rPr>
          <w:tab/>
        </w:r>
        <w:r>
          <w:rPr>
            <w:noProof/>
            <w:webHidden/>
          </w:rPr>
          <w:fldChar w:fldCharType="begin"/>
        </w:r>
        <w:r>
          <w:rPr>
            <w:noProof/>
            <w:webHidden/>
          </w:rPr>
          <w:instrText xml:space="preserve"> PAGEREF _Toc134025421 \h </w:instrText>
        </w:r>
        <w:r>
          <w:rPr>
            <w:noProof/>
            <w:webHidden/>
          </w:rPr>
        </w:r>
        <w:r>
          <w:rPr>
            <w:noProof/>
            <w:webHidden/>
          </w:rPr>
          <w:fldChar w:fldCharType="separate"/>
        </w:r>
        <w:r>
          <w:rPr>
            <w:noProof/>
            <w:webHidden/>
          </w:rPr>
          <w:t>V</w:t>
        </w:r>
        <w:r>
          <w:rPr>
            <w:noProof/>
            <w:webHidden/>
          </w:rPr>
          <w:fldChar w:fldCharType="end"/>
        </w:r>
      </w:hyperlink>
    </w:p>
    <w:p w14:paraId="76F957EA" w14:textId="77777777" w:rsidR="00BB7E7C" w:rsidRDefault="00BB7E7C">
      <w:pPr>
        <w:pStyle w:val="Verzeichnis1"/>
        <w:rPr>
          <w:rFonts w:asciiTheme="minorHAnsi" w:eastAsiaTheme="minorEastAsia" w:hAnsiTheme="minorHAnsi" w:cstheme="minorBidi"/>
          <w:noProof/>
          <w:szCs w:val="22"/>
          <w:lang w:eastAsia="de-CH"/>
        </w:rPr>
      </w:pPr>
      <w:hyperlink w:anchor="_Toc134025422" w:history="1">
        <w:r w:rsidRPr="00EE6852">
          <w:rPr>
            <w:rStyle w:val="Hyperlink"/>
            <w:noProof/>
          </w:rPr>
          <w:t>1</w:t>
        </w:r>
        <w:r>
          <w:rPr>
            <w:rFonts w:asciiTheme="minorHAnsi" w:eastAsiaTheme="minorEastAsia" w:hAnsiTheme="minorHAnsi" w:cstheme="minorBidi"/>
            <w:noProof/>
            <w:szCs w:val="22"/>
            <w:lang w:eastAsia="de-CH"/>
          </w:rPr>
          <w:tab/>
        </w:r>
        <w:r w:rsidRPr="00EE6852">
          <w:rPr>
            <w:rStyle w:val="Hyperlink"/>
            <w:noProof/>
          </w:rPr>
          <w:t>Überschrift 1 (aussagekräftige Titel formulieren!)</w:t>
        </w:r>
        <w:r>
          <w:rPr>
            <w:noProof/>
            <w:webHidden/>
          </w:rPr>
          <w:tab/>
        </w:r>
        <w:r>
          <w:rPr>
            <w:noProof/>
            <w:webHidden/>
          </w:rPr>
          <w:fldChar w:fldCharType="begin"/>
        </w:r>
        <w:r>
          <w:rPr>
            <w:noProof/>
            <w:webHidden/>
          </w:rPr>
          <w:instrText xml:space="preserve"> PAGEREF _Toc134025422 \h </w:instrText>
        </w:r>
        <w:r>
          <w:rPr>
            <w:noProof/>
            <w:webHidden/>
          </w:rPr>
        </w:r>
        <w:r>
          <w:rPr>
            <w:noProof/>
            <w:webHidden/>
          </w:rPr>
          <w:fldChar w:fldCharType="separate"/>
        </w:r>
        <w:r>
          <w:rPr>
            <w:noProof/>
            <w:webHidden/>
          </w:rPr>
          <w:t>1</w:t>
        </w:r>
        <w:r>
          <w:rPr>
            <w:noProof/>
            <w:webHidden/>
          </w:rPr>
          <w:fldChar w:fldCharType="end"/>
        </w:r>
      </w:hyperlink>
    </w:p>
    <w:p w14:paraId="56AEAA43" w14:textId="77777777" w:rsidR="00BB7E7C" w:rsidRDefault="00BB7E7C">
      <w:pPr>
        <w:pStyle w:val="Verzeichnis1"/>
        <w:rPr>
          <w:rFonts w:asciiTheme="minorHAnsi" w:eastAsiaTheme="minorEastAsia" w:hAnsiTheme="minorHAnsi" w:cstheme="minorBidi"/>
          <w:noProof/>
          <w:szCs w:val="22"/>
          <w:lang w:eastAsia="de-CH"/>
        </w:rPr>
      </w:pPr>
      <w:hyperlink w:anchor="_Toc134025423" w:history="1">
        <w:r w:rsidRPr="00EE6852">
          <w:rPr>
            <w:rStyle w:val="Hyperlink"/>
            <w:noProof/>
          </w:rPr>
          <w:t>Überschrift 1 ohne Nummerierung</w:t>
        </w:r>
        <w:r>
          <w:rPr>
            <w:noProof/>
            <w:webHidden/>
          </w:rPr>
          <w:tab/>
        </w:r>
        <w:r>
          <w:rPr>
            <w:noProof/>
            <w:webHidden/>
          </w:rPr>
          <w:fldChar w:fldCharType="begin"/>
        </w:r>
        <w:r>
          <w:rPr>
            <w:noProof/>
            <w:webHidden/>
          </w:rPr>
          <w:instrText xml:space="preserve"> PAGEREF _Toc134025423 \h </w:instrText>
        </w:r>
        <w:r>
          <w:rPr>
            <w:noProof/>
            <w:webHidden/>
          </w:rPr>
        </w:r>
        <w:r>
          <w:rPr>
            <w:noProof/>
            <w:webHidden/>
          </w:rPr>
          <w:fldChar w:fldCharType="separate"/>
        </w:r>
        <w:r>
          <w:rPr>
            <w:noProof/>
            <w:webHidden/>
          </w:rPr>
          <w:t>1</w:t>
        </w:r>
        <w:r>
          <w:rPr>
            <w:noProof/>
            <w:webHidden/>
          </w:rPr>
          <w:fldChar w:fldCharType="end"/>
        </w:r>
      </w:hyperlink>
    </w:p>
    <w:p w14:paraId="05C6A8BB" w14:textId="77777777" w:rsidR="00BB7E7C" w:rsidRDefault="00BB7E7C">
      <w:pPr>
        <w:pStyle w:val="Verzeichnis2"/>
        <w:tabs>
          <w:tab w:val="left" w:pos="1134"/>
        </w:tabs>
        <w:rPr>
          <w:rFonts w:asciiTheme="minorHAnsi" w:eastAsiaTheme="minorEastAsia" w:hAnsiTheme="minorHAnsi" w:cstheme="minorBidi"/>
          <w:noProof/>
          <w:szCs w:val="22"/>
          <w:lang w:eastAsia="de-CH"/>
        </w:rPr>
      </w:pPr>
      <w:hyperlink w:anchor="_Toc134025424" w:history="1">
        <w:r w:rsidRPr="00EE6852">
          <w:rPr>
            <w:rStyle w:val="Hyperlink"/>
            <w:noProof/>
          </w:rPr>
          <w:t>1.1</w:t>
        </w:r>
        <w:r>
          <w:rPr>
            <w:rFonts w:asciiTheme="minorHAnsi" w:eastAsiaTheme="minorEastAsia" w:hAnsiTheme="minorHAnsi" w:cstheme="minorBidi"/>
            <w:noProof/>
            <w:szCs w:val="22"/>
            <w:lang w:eastAsia="de-CH"/>
          </w:rPr>
          <w:tab/>
        </w:r>
        <w:r w:rsidRPr="00EE6852">
          <w:rPr>
            <w:rStyle w:val="Hyperlink"/>
            <w:noProof/>
          </w:rPr>
          <w:t>Überschrift 2</w:t>
        </w:r>
        <w:r>
          <w:rPr>
            <w:noProof/>
            <w:webHidden/>
          </w:rPr>
          <w:tab/>
        </w:r>
        <w:r>
          <w:rPr>
            <w:noProof/>
            <w:webHidden/>
          </w:rPr>
          <w:fldChar w:fldCharType="begin"/>
        </w:r>
        <w:r>
          <w:rPr>
            <w:noProof/>
            <w:webHidden/>
          </w:rPr>
          <w:instrText xml:space="preserve"> PAGEREF _Toc134025424 \h </w:instrText>
        </w:r>
        <w:r>
          <w:rPr>
            <w:noProof/>
            <w:webHidden/>
          </w:rPr>
        </w:r>
        <w:r>
          <w:rPr>
            <w:noProof/>
            <w:webHidden/>
          </w:rPr>
          <w:fldChar w:fldCharType="separate"/>
        </w:r>
        <w:r>
          <w:rPr>
            <w:noProof/>
            <w:webHidden/>
          </w:rPr>
          <w:t>1</w:t>
        </w:r>
        <w:r>
          <w:rPr>
            <w:noProof/>
            <w:webHidden/>
          </w:rPr>
          <w:fldChar w:fldCharType="end"/>
        </w:r>
      </w:hyperlink>
    </w:p>
    <w:p w14:paraId="3143BFFD" w14:textId="77777777" w:rsidR="00BB7E7C" w:rsidRDefault="00BB7E7C">
      <w:pPr>
        <w:pStyle w:val="Verzeichnis3"/>
        <w:tabs>
          <w:tab w:val="left" w:pos="1871"/>
          <w:tab w:val="right" w:leader="dot" w:pos="9628"/>
        </w:tabs>
        <w:rPr>
          <w:rFonts w:asciiTheme="minorHAnsi" w:eastAsiaTheme="minorEastAsia" w:hAnsiTheme="minorHAnsi" w:cstheme="minorBidi"/>
          <w:noProof/>
          <w:szCs w:val="22"/>
          <w:lang w:eastAsia="de-CH"/>
        </w:rPr>
      </w:pPr>
      <w:hyperlink w:anchor="_Toc134025425" w:history="1">
        <w:r w:rsidRPr="00EE6852">
          <w:rPr>
            <w:rStyle w:val="Hyperlink"/>
            <w:noProof/>
          </w:rPr>
          <w:t>1.1.1</w:t>
        </w:r>
        <w:r>
          <w:rPr>
            <w:rFonts w:asciiTheme="minorHAnsi" w:eastAsiaTheme="minorEastAsia" w:hAnsiTheme="minorHAnsi" w:cstheme="minorBidi"/>
            <w:noProof/>
            <w:szCs w:val="22"/>
            <w:lang w:eastAsia="de-CH"/>
          </w:rPr>
          <w:tab/>
        </w:r>
        <w:r w:rsidRPr="00EE6852">
          <w:rPr>
            <w:rStyle w:val="Hyperlink"/>
            <w:noProof/>
          </w:rPr>
          <w:t>Überschrift 3</w:t>
        </w:r>
        <w:r>
          <w:rPr>
            <w:noProof/>
            <w:webHidden/>
          </w:rPr>
          <w:tab/>
        </w:r>
        <w:r>
          <w:rPr>
            <w:noProof/>
            <w:webHidden/>
          </w:rPr>
          <w:fldChar w:fldCharType="begin"/>
        </w:r>
        <w:r>
          <w:rPr>
            <w:noProof/>
            <w:webHidden/>
          </w:rPr>
          <w:instrText xml:space="preserve"> PAGEREF _Toc134025425 \h </w:instrText>
        </w:r>
        <w:r>
          <w:rPr>
            <w:noProof/>
            <w:webHidden/>
          </w:rPr>
        </w:r>
        <w:r>
          <w:rPr>
            <w:noProof/>
            <w:webHidden/>
          </w:rPr>
          <w:fldChar w:fldCharType="separate"/>
        </w:r>
        <w:r>
          <w:rPr>
            <w:noProof/>
            <w:webHidden/>
          </w:rPr>
          <w:t>1</w:t>
        </w:r>
        <w:r>
          <w:rPr>
            <w:noProof/>
            <w:webHidden/>
          </w:rPr>
          <w:fldChar w:fldCharType="end"/>
        </w:r>
      </w:hyperlink>
    </w:p>
    <w:p w14:paraId="0F290D47" w14:textId="77777777" w:rsidR="00BB7E7C" w:rsidRDefault="00BB7E7C">
      <w:pPr>
        <w:pStyle w:val="Verzeichnis1"/>
        <w:rPr>
          <w:rFonts w:asciiTheme="minorHAnsi" w:eastAsiaTheme="minorEastAsia" w:hAnsiTheme="minorHAnsi" w:cstheme="minorBidi"/>
          <w:noProof/>
          <w:szCs w:val="22"/>
          <w:lang w:eastAsia="de-CH"/>
        </w:rPr>
      </w:pPr>
      <w:hyperlink w:anchor="_Toc134025426" w:history="1">
        <w:r w:rsidRPr="00EE6852">
          <w:rPr>
            <w:rStyle w:val="Hyperlink"/>
            <w:noProof/>
          </w:rPr>
          <w:t>2</w:t>
        </w:r>
        <w:r>
          <w:rPr>
            <w:rFonts w:asciiTheme="minorHAnsi" w:eastAsiaTheme="minorEastAsia" w:hAnsiTheme="minorHAnsi" w:cstheme="minorBidi"/>
            <w:noProof/>
            <w:szCs w:val="22"/>
            <w:lang w:eastAsia="de-CH"/>
          </w:rPr>
          <w:tab/>
        </w:r>
        <w:r w:rsidRPr="00EE6852">
          <w:rPr>
            <w:rStyle w:val="Hyperlink"/>
            <w:noProof/>
          </w:rPr>
          <w:t>Formatierungen</w:t>
        </w:r>
        <w:r>
          <w:rPr>
            <w:noProof/>
            <w:webHidden/>
          </w:rPr>
          <w:tab/>
        </w:r>
        <w:r>
          <w:rPr>
            <w:noProof/>
            <w:webHidden/>
          </w:rPr>
          <w:fldChar w:fldCharType="begin"/>
        </w:r>
        <w:r>
          <w:rPr>
            <w:noProof/>
            <w:webHidden/>
          </w:rPr>
          <w:instrText xml:space="preserve"> PAGEREF _Toc134025426 \h </w:instrText>
        </w:r>
        <w:r>
          <w:rPr>
            <w:noProof/>
            <w:webHidden/>
          </w:rPr>
        </w:r>
        <w:r>
          <w:rPr>
            <w:noProof/>
            <w:webHidden/>
          </w:rPr>
          <w:fldChar w:fldCharType="separate"/>
        </w:r>
        <w:r>
          <w:rPr>
            <w:noProof/>
            <w:webHidden/>
          </w:rPr>
          <w:t>2</w:t>
        </w:r>
        <w:r>
          <w:rPr>
            <w:noProof/>
            <w:webHidden/>
          </w:rPr>
          <w:fldChar w:fldCharType="end"/>
        </w:r>
      </w:hyperlink>
    </w:p>
    <w:p w14:paraId="34EF1165" w14:textId="77777777" w:rsidR="00BB7E7C" w:rsidRDefault="00BB7E7C">
      <w:pPr>
        <w:pStyle w:val="Verzeichnis2"/>
        <w:tabs>
          <w:tab w:val="left" w:pos="1134"/>
        </w:tabs>
        <w:rPr>
          <w:rFonts w:asciiTheme="minorHAnsi" w:eastAsiaTheme="minorEastAsia" w:hAnsiTheme="minorHAnsi" w:cstheme="minorBidi"/>
          <w:noProof/>
          <w:szCs w:val="22"/>
          <w:lang w:eastAsia="de-CH"/>
        </w:rPr>
      </w:pPr>
      <w:hyperlink w:anchor="_Toc134025427" w:history="1">
        <w:r w:rsidRPr="00EE6852">
          <w:rPr>
            <w:rStyle w:val="Hyperlink"/>
            <w:noProof/>
          </w:rPr>
          <w:t>2.1</w:t>
        </w:r>
        <w:r>
          <w:rPr>
            <w:rFonts w:asciiTheme="minorHAnsi" w:eastAsiaTheme="minorEastAsia" w:hAnsiTheme="minorHAnsi" w:cstheme="minorBidi"/>
            <w:noProof/>
            <w:szCs w:val="22"/>
            <w:lang w:eastAsia="de-CH"/>
          </w:rPr>
          <w:tab/>
        </w:r>
        <w:r w:rsidRPr="00EE6852">
          <w:rPr>
            <w:rStyle w:val="Hyperlink"/>
            <w:noProof/>
          </w:rPr>
          <w:t>Anführungsstriche</w:t>
        </w:r>
        <w:r>
          <w:rPr>
            <w:noProof/>
            <w:webHidden/>
          </w:rPr>
          <w:tab/>
        </w:r>
        <w:r>
          <w:rPr>
            <w:noProof/>
            <w:webHidden/>
          </w:rPr>
          <w:fldChar w:fldCharType="begin"/>
        </w:r>
        <w:r>
          <w:rPr>
            <w:noProof/>
            <w:webHidden/>
          </w:rPr>
          <w:instrText xml:space="preserve"> PAGEREF _Toc134025427 \h </w:instrText>
        </w:r>
        <w:r>
          <w:rPr>
            <w:noProof/>
            <w:webHidden/>
          </w:rPr>
        </w:r>
        <w:r>
          <w:rPr>
            <w:noProof/>
            <w:webHidden/>
          </w:rPr>
          <w:fldChar w:fldCharType="separate"/>
        </w:r>
        <w:r>
          <w:rPr>
            <w:noProof/>
            <w:webHidden/>
          </w:rPr>
          <w:t>2</w:t>
        </w:r>
        <w:r>
          <w:rPr>
            <w:noProof/>
            <w:webHidden/>
          </w:rPr>
          <w:fldChar w:fldCharType="end"/>
        </w:r>
      </w:hyperlink>
    </w:p>
    <w:p w14:paraId="527B16CC" w14:textId="77777777" w:rsidR="00BB7E7C" w:rsidRDefault="00BB7E7C">
      <w:pPr>
        <w:pStyle w:val="Verzeichnis2"/>
        <w:tabs>
          <w:tab w:val="left" w:pos="1134"/>
        </w:tabs>
        <w:rPr>
          <w:rFonts w:asciiTheme="minorHAnsi" w:eastAsiaTheme="minorEastAsia" w:hAnsiTheme="minorHAnsi" w:cstheme="minorBidi"/>
          <w:noProof/>
          <w:szCs w:val="22"/>
          <w:lang w:eastAsia="de-CH"/>
        </w:rPr>
      </w:pPr>
      <w:hyperlink w:anchor="_Toc134025428" w:history="1">
        <w:r w:rsidRPr="00EE6852">
          <w:rPr>
            <w:rStyle w:val="Hyperlink"/>
            <w:noProof/>
          </w:rPr>
          <w:t>2.2</w:t>
        </w:r>
        <w:r>
          <w:rPr>
            <w:rFonts w:asciiTheme="minorHAnsi" w:eastAsiaTheme="minorEastAsia" w:hAnsiTheme="minorHAnsi" w:cstheme="minorBidi"/>
            <w:noProof/>
            <w:szCs w:val="22"/>
            <w:lang w:eastAsia="de-CH"/>
          </w:rPr>
          <w:tab/>
        </w:r>
        <w:r w:rsidRPr="00EE6852">
          <w:rPr>
            <w:rStyle w:val="Hyperlink"/>
            <w:noProof/>
          </w:rPr>
          <w:t>Aufzählungen</w:t>
        </w:r>
        <w:r>
          <w:rPr>
            <w:noProof/>
            <w:webHidden/>
          </w:rPr>
          <w:tab/>
        </w:r>
        <w:r>
          <w:rPr>
            <w:noProof/>
            <w:webHidden/>
          </w:rPr>
          <w:fldChar w:fldCharType="begin"/>
        </w:r>
        <w:r>
          <w:rPr>
            <w:noProof/>
            <w:webHidden/>
          </w:rPr>
          <w:instrText xml:space="preserve"> PAGEREF _Toc134025428 \h </w:instrText>
        </w:r>
        <w:r>
          <w:rPr>
            <w:noProof/>
            <w:webHidden/>
          </w:rPr>
        </w:r>
        <w:r>
          <w:rPr>
            <w:noProof/>
            <w:webHidden/>
          </w:rPr>
          <w:fldChar w:fldCharType="separate"/>
        </w:r>
        <w:r>
          <w:rPr>
            <w:noProof/>
            <w:webHidden/>
          </w:rPr>
          <w:t>2</w:t>
        </w:r>
        <w:r>
          <w:rPr>
            <w:noProof/>
            <w:webHidden/>
          </w:rPr>
          <w:fldChar w:fldCharType="end"/>
        </w:r>
      </w:hyperlink>
    </w:p>
    <w:p w14:paraId="57267869" w14:textId="77777777" w:rsidR="00BB7E7C" w:rsidRDefault="00BB7E7C">
      <w:pPr>
        <w:pStyle w:val="Verzeichnis2"/>
        <w:tabs>
          <w:tab w:val="left" w:pos="1134"/>
        </w:tabs>
        <w:rPr>
          <w:rFonts w:asciiTheme="minorHAnsi" w:eastAsiaTheme="minorEastAsia" w:hAnsiTheme="minorHAnsi" w:cstheme="minorBidi"/>
          <w:noProof/>
          <w:szCs w:val="22"/>
          <w:lang w:eastAsia="de-CH"/>
        </w:rPr>
      </w:pPr>
      <w:hyperlink w:anchor="_Toc134025429" w:history="1">
        <w:r w:rsidRPr="00EE6852">
          <w:rPr>
            <w:rStyle w:val="Hyperlink"/>
            <w:noProof/>
          </w:rPr>
          <w:t>2.3</w:t>
        </w:r>
        <w:r>
          <w:rPr>
            <w:rFonts w:asciiTheme="minorHAnsi" w:eastAsiaTheme="minorEastAsia" w:hAnsiTheme="minorHAnsi" w:cstheme="minorBidi"/>
            <w:noProof/>
            <w:szCs w:val="22"/>
            <w:lang w:eastAsia="de-CH"/>
          </w:rPr>
          <w:tab/>
        </w:r>
        <w:r w:rsidRPr="00EE6852">
          <w:rPr>
            <w:rStyle w:val="Hyperlink"/>
            <w:noProof/>
          </w:rPr>
          <w:t>Fussnoten</w:t>
        </w:r>
        <w:r>
          <w:rPr>
            <w:noProof/>
            <w:webHidden/>
          </w:rPr>
          <w:tab/>
        </w:r>
        <w:r>
          <w:rPr>
            <w:noProof/>
            <w:webHidden/>
          </w:rPr>
          <w:fldChar w:fldCharType="begin"/>
        </w:r>
        <w:r>
          <w:rPr>
            <w:noProof/>
            <w:webHidden/>
          </w:rPr>
          <w:instrText xml:space="preserve"> PAGEREF _Toc134025429 \h </w:instrText>
        </w:r>
        <w:r>
          <w:rPr>
            <w:noProof/>
            <w:webHidden/>
          </w:rPr>
        </w:r>
        <w:r>
          <w:rPr>
            <w:noProof/>
            <w:webHidden/>
          </w:rPr>
          <w:fldChar w:fldCharType="separate"/>
        </w:r>
        <w:r>
          <w:rPr>
            <w:noProof/>
            <w:webHidden/>
          </w:rPr>
          <w:t>2</w:t>
        </w:r>
        <w:r>
          <w:rPr>
            <w:noProof/>
            <w:webHidden/>
          </w:rPr>
          <w:fldChar w:fldCharType="end"/>
        </w:r>
      </w:hyperlink>
    </w:p>
    <w:p w14:paraId="79E627FC" w14:textId="77777777" w:rsidR="00BB7E7C" w:rsidRDefault="00BB7E7C">
      <w:pPr>
        <w:pStyle w:val="Verzeichnis2"/>
        <w:tabs>
          <w:tab w:val="left" w:pos="1134"/>
        </w:tabs>
        <w:rPr>
          <w:rFonts w:asciiTheme="minorHAnsi" w:eastAsiaTheme="minorEastAsia" w:hAnsiTheme="minorHAnsi" w:cstheme="minorBidi"/>
          <w:noProof/>
          <w:szCs w:val="22"/>
          <w:lang w:eastAsia="de-CH"/>
        </w:rPr>
      </w:pPr>
      <w:hyperlink w:anchor="_Toc134025430" w:history="1">
        <w:r w:rsidRPr="00EE6852">
          <w:rPr>
            <w:rStyle w:val="Hyperlink"/>
            <w:noProof/>
          </w:rPr>
          <w:t>2.4</w:t>
        </w:r>
        <w:r>
          <w:rPr>
            <w:rFonts w:asciiTheme="minorHAnsi" w:eastAsiaTheme="minorEastAsia" w:hAnsiTheme="minorHAnsi" w:cstheme="minorBidi"/>
            <w:noProof/>
            <w:szCs w:val="22"/>
            <w:lang w:eastAsia="de-CH"/>
          </w:rPr>
          <w:tab/>
        </w:r>
        <w:r w:rsidRPr="00EE6852">
          <w:rPr>
            <w:rStyle w:val="Hyperlink"/>
            <w:noProof/>
          </w:rPr>
          <w:t>Abbildungen</w:t>
        </w:r>
        <w:r>
          <w:rPr>
            <w:noProof/>
            <w:webHidden/>
          </w:rPr>
          <w:tab/>
        </w:r>
        <w:r>
          <w:rPr>
            <w:noProof/>
            <w:webHidden/>
          </w:rPr>
          <w:fldChar w:fldCharType="begin"/>
        </w:r>
        <w:r>
          <w:rPr>
            <w:noProof/>
            <w:webHidden/>
          </w:rPr>
          <w:instrText xml:space="preserve"> PAGEREF _Toc134025430 \h </w:instrText>
        </w:r>
        <w:r>
          <w:rPr>
            <w:noProof/>
            <w:webHidden/>
          </w:rPr>
        </w:r>
        <w:r>
          <w:rPr>
            <w:noProof/>
            <w:webHidden/>
          </w:rPr>
          <w:fldChar w:fldCharType="separate"/>
        </w:r>
        <w:r>
          <w:rPr>
            <w:noProof/>
            <w:webHidden/>
          </w:rPr>
          <w:t>2</w:t>
        </w:r>
        <w:r>
          <w:rPr>
            <w:noProof/>
            <w:webHidden/>
          </w:rPr>
          <w:fldChar w:fldCharType="end"/>
        </w:r>
      </w:hyperlink>
    </w:p>
    <w:p w14:paraId="0D98F891" w14:textId="77777777" w:rsidR="00BB7E7C" w:rsidRDefault="00BB7E7C">
      <w:pPr>
        <w:pStyle w:val="Verzeichnis2"/>
        <w:tabs>
          <w:tab w:val="left" w:pos="1134"/>
        </w:tabs>
        <w:rPr>
          <w:rFonts w:asciiTheme="minorHAnsi" w:eastAsiaTheme="minorEastAsia" w:hAnsiTheme="minorHAnsi" w:cstheme="minorBidi"/>
          <w:noProof/>
          <w:szCs w:val="22"/>
          <w:lang w:eastAsia="de-CH"/>
        </w:rPr>
      </w:pPr>
      <w:hyperlink w:anchor="_Toc134025431" w:history="1">
        <w:r w:rsidRPr="00EE6852">
          <w:rPr>
            <w:rStyle w:val="Hyperlink"/>
            <w:noProof/>
          </w:rPr>
          <w:t>2.5</w:t>
        </w:r>
        <w:r>
          <w:rPr>
            <w:rFonts w:asciiTheme="minorHAnsi" w:eastAsiaTheme="minorEastAsia" w:hAnsiTheme="minorHAnsi" w:cstheme="minorBidi"/>
            <w:noProof/>
            <w:szCs w:val="22"/>
            <w:lang w:eastAsia="de-CH"/>
          </w:rPr>
          <w:tab/>
        </w:r>
        <w:r w:rsidRPr="00EE6852">
          <w:rPr>
            <w:rStyle w:val="Hyperlink"/>
            <w:noProof/>
          </w:rPr>
          <w:t>Tabellen</w:t>
        </w:r>
        <w:r>
          <w:rPr>
            <w:noProof/>
            <w:webHidden/>
          </w:rPr>
          <w:tab/>
        </w:r>
        <w:r>
          <w:rPr>
            <w:noProof/>
            <w:webHidden/>
          </w:rPr>
          <w:fldChar w:fldCharType="begin"/>
        </w:r>
        <w:r>
          <w:rPr>
            <w:noProof/>
            <w:webHidden/>
          </w:rPr>
          <w:instrText xml:space="preserve"> PAGEREF _Toc134025431 \h </w:instrText>
        </w:r>
        <w:r>
          <w:rPr>
            <w:noProof/>
            <w:webHidden/>
          </w:rPr>
        </w:r>
        <w:r>
          <w:rPr>
            <w:noProof/>
            <w:webHidden/>
          </w:rPr>
          <w:fldChar w:fldCharType="separate"/>
        </w:r>
        <w:r>
          <w:rPr>
            <w:noProof/>
            <w:webHidden/>
          </w:rPr>
          <w:t>3</w:t>
        </w:r>
        <w:r>
          <w:rPr>
            <w:noProof/>
            <w:webHidden/>
          </w:rPr>
          <w:fldChar w:fldCharType="end"/>
        </w:r>
      </w:hyperlink>
    </w:p>
    <w:p w14:paraId="40849CA1" w14:textId="77777777" w:rsidR="00BB7E7C" w:rsidRDefault="00BB7E7C">
      <w:pPr>
        <w:pStyle w:val="Verzeichnis3"/>
        <w:tabs>
          <w:tab w:val="left" w:pos="1871"/>
          <w:tab w:val="right" w:leader="dot" w:pos="9628"/>
        </w:tabs>
        <w:rPr>
          <w:rFonts w:asciiTheme="minorHAnsi" w:eastAsiaTheme="minorEastAsia" w:hAnsiTheme="minorHAnsi" w:cstheme="minorBidi"/>
          <w:noProof/>
          <w:szCs w:val="22"/>
          <w:lang w:eastAsia="de-CH"/>
        </w:rPr>
      </w:pPr>
      <w:hyperlink w:anchor="_Toc134025432" w:history="1">
        <w:r w:rsidRPr="00EE6852">
          <w:rPr>
            <w:rStyle w:val="Hyperlink"/>
            <w:noProof/>
          </w:rPr>
          <w:t>2.5.1</w:t>
        </w:r>
        <w:r>
          <w:rPr>
            <w:rFonts w:asciiTheme="minorHAnsi" w:eastAsiaTheme="minorEastAsia" w:hAnsiTheme="minorHAnsi" w:cstheme="minorBidi"/>
            <w:noProof/>
            <w:szCs w:val="22"/>
            <w:lang w:eastAsia="de-CH"/>
          </w:rPr>
          <w:tab/>
        </w:r>
        <w:r w:rsidRPr="00EE6852">
          <w:rPr>
            <w:rStyle w:val="Hyperlink"/>
            <w:noProof/>
          </w:rPr>
          <w:t>Tabellen als Grafik</w:t>
        </w:r>
        <w:r>
          <w:rPr>
            <w:noProof/>
            <w:webHidden/>
          </w:rPr>
          <w:tab/>
        </w:r>
        <w:r>
          <w:rPr>
            <w:noProof/>
            <w:webHidden/>
          </w:rPr>
          <w:fldChar w:fldCharType="begin"/>
        </w:r>
        <w:r>
          <w:rPr>
            <w:noProof/>
            <w:webHidden/>
          </w:rPr>
          <w:instrText xml:space="preserve"> PAGEREF _Toc134025432 \h </w:instrText>
        </w:r>
        <w:r>
          <w:rPr>
            <w:noProof/>
            <w:webHidden/>
          </w:rPr>
        </w:r>
        <w:r>
          <w:rPr>
            <w:noProof/>
            <w:webHidden/>
          </w:rPr>
          <w:fldChar w:fldCharType="separate"/>
        </w:r>
        <w:r>
          <w:rPr>
            <w:noProof/>
            <w:webHidden/>
          </w:rPr>
          <w:t>3</w:t>
        </w:r>
        <w:r>
          <w:rPr>
            <w:noProof/>
            <w:webHidden/>
          </w:rPr>
          <w:fldChar w:fldCharType="end"/>
        </w:r>
      </w:hyperlink>
    </w:p>
    <w:p w14:paraId="3A79B10B" w14:textId="77777777" w:rsidR="00BB7E7C" w:rsidRDefault="00BB7E7C">
      <w:pPr>
        <w:pStyle w:val="Verzeichnis3"/>
        <w:tabs>
          <w:tab w:val="left" w:pos="1871"/>
          <w:tab w:val="right" w:leader="dot" w:pos="9628"/>
        </w:tabs>
        <w:rPr>
          <w:rFonts w:asciiTheme="minorHAnsi" w:eastAsiaTheme="minorEastAsia" w:hAnsiTheme="minorHAnsi" w:cstheme="minorBidi"/>
          <w:noProof/>
          <w:szCs w:val="22"/>
          <w:lang w:eastAsia="de-CH"/>
        </w:rPr>
      </w:pPr>
      <w:hyperlink w:anchor="_Toc134025433" w:history="1">
        <w:r w:rsidRPr="00EE6852">
          <w:rPr>
            <w:rStyle w:val="Hyperlink"/>
            <w:noProof/>
          </w:rPr>
          <w:t>2.5.2</w:t>
        </w:r>
        <w:r>
          <w:rPr>
            <w:rFonts w:asciiTheme="minorHAnsi" w:eastAsiaTheme="minorEastAsia" w:hAnsiTheme="minorHAnsi" w:cstheme="minorBidi"/>
            <w:noProof/>
            <w:szCs w:val="22"/>
            <w:lang w:eastAsia="de-CH"/>
          </w:rPr>
          <w:tab/>
        </w:r>
        <w:r w:rsidRPr="00EE6852">
          <w:rPr>
            <w:rStyle w:val="Hyperlink"/>
            <w:noProof/>
          </w:rPr>
          <w:t>Word-Tabellen</w:t>
        </w:r>
        <w:r>
          <w:rPr>
            <w:noProof/>
            <w:webHidden/>
          </w:rPr>
          <w:tab/>
        </w:r>
        <w:r>
          <w:rPr>
            <w:noProof/>
            <w:webHidden/>
          </w:rPr>
          <w:fldChar w:fldCharType="begin"/>
        </w:r>
        <w:r>
          <w:rPr>
            <w:noProof/>
            <w:webHidden/>
          </w:rPr>
          <w:instrText xml:space="preserve"> PAGEREF _Toc134025433 \h </w:instrText>
        </w:r>
        <w:r>
          <w:rPr>
            <w:noProof/>
            <w:webHidden/>
          </w:rPr>
        </w:r>
        <w:r>
          <w:rPr>
            <w:noProof/>
            <w:webHidden/>
          </w:rPr>
          <w:fldChar w:fldCharType="separate"/>
        </w:r>
        <w:r>
          <w:rPr>
            <w:noProof/>
            <w:webHidden/>
          </w:rPr>
          <w:t>3</w:t>
        </w:r>
        <w:r>
          <w:rPr>
            <w:noProof/>
            <w:webHidden/>
          </w:rPr>
          <w:fldChar w:fldCharType="end"/>
        </w:r>
      </w:hyperlink>
    </w:p>
    <w:p w14:paraId="6989C3B1" w14:textId="77777777" w:rsidR="00BB7E7C" w:rsidRDefault="00BB7E7C">
      <w:pPr>
        <w:pStyle w:val="Verzeichnis2"/>
        <w:tabs>
          <w:tab w:val="left" w:pos="1134"/>
        </w:tabs>
        <w:rPr>
          <w:rFonts w:asciiTheme="minorHAnsi" w:eastAsiaTheme="minorEastAsia" w:hAnsiTheme="minorHAnsi" w:cstheme="minorBidi"/>
          <w:noProof/>
          <w:szCs w:val="22"/>
          <w:lang w:eastAsia="de-CH"/>
        </w:rPr>
      </w:pPr>
      <w:hyperlink w:anchor="_Toc134025434" w:history="1">
        <w:r w:rsidRPr="00EE6852">
          <w:rPr>
            <w:rStyle w:val="Hyperlink"/>
            <w:noProof/>
          </w:rPr>
          <w:t>2.6</w:t>
        </w:r>
        <w:r>
          <w:rPr>
            <w:rFonts w:asciiTheme="minorHAnsi" w:eastAsiaTheme="minorEastAsia" w:hAnsiTheme="minorHAnsi" w:cstheme="minorBidi"/>
            <w:noProof/>
            <w:szCs w:val="22"/>
            <w:lang w:eastAsia="de-CH"/>
          </w:rPr>
          <w:tab/>
        </w:r>
        <w:r w:rsidRPr="00EE6852">
          <w:rPr>
            <w:rStyle w:val="Hyperlink"/>
            <w:noProof/>
          </w:rPr>
          <w:t>Änderung der Schriftart</w:t>
        </w:r>
        <w:r>
          <w:rPr>
            <w:noProof/>
            <w:webHidden/>
          </w:rPr>
          <w:tab/>
        </w:r>
        <w:r>
          <w:rPr>
            <w:noProof/>
            <w:webHidden/>
          </w:rPr>
          <w:fldChar w:fldCharType="begin"/>
        </w:r>
        <w:r>
          <w:rPr>
            <w:noProof/>
            <w:webHidden/>
          </w:rPr>
          <w:instrText xml:space="preserve"> PAGEREF _Toc134025434 \h </w:instrText>
        </w:r>
        <w:r>
          <w:rPr>
            <w:noProof/>
            <w:webHidden/>
          </w:rPr>
        </w:r>
        <w:r>
          <w:rPr>
            <w:noProof/>
            <w:webHidden/>
          </w:rPr>
          <w:fldChar w:fldCharType="separate"/>
        </w:r>
        <w:r>
          <w:rPr>
            <w:noProof/>
            <w:webHidden/>
          </w:rPr>
          <w:t>4</w:t>
        </w:r>
        <w:r>
          <w:rPr>
            <w:noProof/>
            <w:webHidden/>
          </w:rPr>
          <w:fldChar w:fldCharType="end"/>
        </w:r>
      </w:hyperlink>
    </w:p>
    <w:p w14:paraId="65254F31" w14:textId="77777777" w:rsidR="00BB7E7C" w:rsidRDefault="00BB7E7C">
      <w:pPr>
        <w:pStyle w:val="Verzeichnis1"/>
        <w:rPr>
          <w:rFonts w:asciiTheme="minorHAnsi" w:eastAsiaTheme="minorEastAsia" w:hAnsiTheme="minorHAnsi" w:cstheme="minorBidi"/>
          <w:noProof/>
          <w:szCs w:val="22"/>
          <w:lang w:eastAsia="de-CH"/>
        </w:rPr>
      </w:pPr>
      <w:hyperlink w:anchor="_Toc134025435" w:history="1">
        <w:r w:rsidRPr="00EE6852">
          <w:rPr>
            <w:rStyle w:val="Hyperlink"/>
            <w:noProof/>
          </w:rPr>
          <w:t>3</w:t>
        </w:r>
        <w:r>
          <w:rPr>
            <w:rFonts w:asciiTheme="minorHAnsi" w:eastAsiaTheme="minorEastAsia" w:hAnsiTheme="minorHAnsi" w:cstheme="minorBidi"/>
            <w:noProof/>
            <w:szCs w:val="22"/>
            <w:lang w:eastAsia="de-CH"/>
          </w:rPr>
          <w:tab/>
        </w:r>
        <w:r w:rsidRPr="00EE6852">
          <w:rPr>
            <w:rStyle w:val="Hyperlink"/>
            <w:noProof/>
          </w:rPr>
          <w:t>Fazit</w:t>
        </w:r>
        <w:r>
          <w:rPr>
            <w:noProof/>
            <w:webHidden/>
          </w:rPr>
          <w:tab/>
        </w:r>
        <w:r>
          <w:rPr>
            <w:noProof/>
            <w:webHidden/>
          </w:rPr>
          <w:fldChar w:fldCharType="begin"/>
        </w:r>
        <w:r>
          <w:rPr>
            <w:noProof/>
            <w:webHidden/>
          </w:rPr>
          <w:instrText xml:space="preserve"> PAGEREF _Toc134025435 \h </w:instrText>
        </w:r>
        <w:r>
          <w:rPr>
            <w:noProof/>
            <w:webHidden/>
          </w:rPr>
        </w:r>
        <w:r>
          <w:rPr>
            <w:noProof/>
            <w:webHidden/>
          </w:rPr>
          <w:fldChar w:fldCharType="separate"/>
        </w:r>
        <w:r>
          <w:rPr>
            <w:noProof/>
            <w:webHidden/>
          </w:rPr>
          <w:t>5</w:t>
        </w:r>
        <w:r>
          <w:rPr>
            <w:noProof/>
            <w:webHidden/>
          </w:rPr>
          <w:fldChar w:fldCharType="end"/>
        </w:r>
      </w:hyperlink>
    </w:p>
    <w:p w14:paraId="635BE83C" w14:textId="77777777" w:rsidR="00BB7E7C" w:rsidRDefault="00BB7E7C">
      <w:pPr>
        <w:pStyle w:val="Verzeichnis1"/>
        <w:rPr>
          <w:rFonts w:asciiTheme="minorHAnsi" w:eastAsiaTheme="minorEastAsia" w:hAnsiTheme="minorHAnsi" w:cstheme="minorBidi"/>
          <w:noProof/>
          <w:szCs w:val="22"/>
          <w:lang w:eastAsia="de-CH"/>
        </w:rPr>
      </w:pPr>
      <w:hyperlink w:anchor="_Toc134025436" w:history="1">
        <w:r w:rsidRPr="00EE6852">
          <w:rPr>
            <w:rStyle w:val="Hyperlink"/>
            <w:noProof/>
          </w:rPr>
          <w:t>Literaturverzeichnis</w:t>
        </w:r>
        <w:r>
          <w:rPr>
            <w:noProof/>
            <w:webHidden/>
          </w:rPr>
          <w:tab/>
        </w:r>
        <w:r>
          <w:rPr>
            <w:noProof/>
            <w:webHidden/>
          </w:rPr>
          <w:fldChar w:fldCharType="begin"/>
        </w:r>
        <w:r>
          <w:rPr>
            <w:noProof/>
            <w:webHidden/>
          </w:rPr>
          <w:instrText xml:space="preserve"> PAGEREF _Toc134025436 \h </w:instrText>
        </w:r>
        <w:r>
          <w:rPr>
            <w:noProof/>
            <w:webHidden/>
          </w:rPr>
        </w:r>
        <w:r>
          <w:rPr>
            <w:noProof/>
            <w:webHidden/>
          </w:rPr>
          <w:fldChar w:fldCharType="separate"/>
        </w:r>
        <w:r>
          <w:rPr>
            <w:noProof/>
            <w:webHidden/>
          </w:rPr>
          <w:t>6</w:t>
        </w:r>
        <w:r>
          <w:rPr>
            <w:noProof/>
            <w:webHidden/>
          </w:rPr>
          <w:fldChar w:fldCharType="end"/>
        </w:r>
      </w:hyperlink>
    </w:p>
    <w:p w14:paraId="57E9330B" w14:textId="77777777" w:rsidR="00BB7E7C" w:rsidRDefault="00BB7E7C">
      <w:pPr>
        <w:pStyle w:val="Verzeichnis1"/>
        <w:rPr>
          <w:rFonts w:asciiTheme="minorHAnsi" w:eastAsiaTheme="minorEastAsia" w:hAnsiTheme="minorHAnsi" w:cstheme="minorBidi"/>
          <w:noProof/>
          <w:szCs w:val="22"/>
          <w:lang w:eastAsia="de-CH"/>
        </w:rPr>
      </w:pPr>
      <w:hyperlink w:anchor="_Toc134025437" w:history="1">
        <w:r w:rsidRPr="00EE6852">
          <w:rPr>
            <w:rStyle w:val="Hyperlink"/>
            <w:noProof/>
          </w:rPr>
          <w:t>Hilfsmittelverzeichnis</w:t>
        </w:r>
        <w:r>
          <w:rPr>
            <w:noProof/>
            <w:webHidden/>
          </w:rPr>
          <w:tab/>
        </w:r>
        <w:r>
          <w:rPr>
            <w:noProof/>
            <w:webHidden/>
          </w:rPr>
          <w:fldChar w:fldCharType="begin"/>
        </w:r>
        <w:r>
          <w:rPr>
            <w:noProof/>
            <w:webHidden/>
          </w:rPr>
          <w:instrText xml:space="preserve"> PAGEREF _Toc134025437 \h </w:instrText>
        </w:r>
        <w:r>
          <w:rPr>
            <w:noProof/>
            <w:webHidden/>
          </w:rPr>
        </w:r>
        <w:r>
          <w:rPr>
            <w:noProof/>
            <w:webHidden/>
          </w:rPr>
          <w:fldChar w:fldCharType="separate"/>
        </w:r>
        <w:r>
          <w:rPr>
            <w:noProof/>
            <w:webHidden/>
          </w:rPr>
          <w:t>7</w:t>
        </w:r>
        <w:r>
          <w:rPr>
            <w:noProof/>
            <w:webHidden/>
          </w:rPr>
          <w:fldChar w:fldCharType="end"/>
        </w:r>
      </w:hyperlink>
    </w:p>
    <w:p w14:paraId="28580065" w14:textId="77777777" w:rsidR="00BB7E7C" w:rsidRDefault="00BB7E7C">
      <w:pPr>
        <w:pStyle w:val="Verzeichnis1"/>
        <w:rPr>
          <w:rFonts w:asciiTheme="minorHAnsi" w:eastAsiaTheme="minorEastAsia" w:hAnsiTheme="minorHAnsi" w:cstheme="minorBidi"/>
          <w:noProof/>
          <w:szCs w:val="22"/>
          <w:lang w:eastAsia="de-CH"/>
        </w:rPr>
      </w:pPr>
      <w:hyperlink w:anchor="_Toc134025438" w:history="1">
        <w:r w:rsidRPr="00EE6852">
          <w:rPr>
            <w:rStyle w:val="Hyperlink"/>
            <w:noProof/>
          </w:rPr>
          <w:t>Abbildungsverzeichnis</w:t>
        </w:r>
        <w:r>
          <w:rPr>
            <w:noProof/>
            <w:webHidden/>
          </w:rPr>
          <w:tab/>
        </w:r>
        <w:r>
          <w:rPr>
            <w:noProof/>
            <w:webHidden/>
          </w:rPr>
          <w:fldChar w:fldCharType="begin"/>
        </w:r>
        <w:r>
          <w:rPr>
            <w:noProof/>
            <w:webHidden/>
          </w:rPr>
          <w:instrText xml:space="preserve"> PAGEREF _Toc134025438 \h </w:instrText>
        </w:r>
        <w:r>
          <w:rPr>
            <w:noProof/>
            <w:webHidden/>
          </w:rPr>
        </w:r>
        <w:r>
          <w:rPr>
            <w:noProof/>
            <w:webHidden/>
          </w:rPr>
          <w:fldChar w:fldCharType="separate"/>
        </w:r>
        <w:r>
          <w:rPr>
            <w:noProof/>
            <w:webHidden/>
          </w:rPr>
          <w:t>8</w:t>
        </w:r>
        <w:r>
          <w:rPr>
            <w:noProof/>
            <w:webHidden/>
          </w:rPr>
          <w:fldChar w:fldCharType="end"/>
        </w:r>
      </w:hyperlink>
    </w:p>
    <w:p w14:paraId="5313DC89" w14:textId="77777777" w:rsidR="00BB7E7C" w:rsidRDefault="00BB7E7C">
      <w:pPr>
        <w:pStyle w:val="Verzeichnis1"/>
        <w:rPr>
          <w:rFonts w:asciiTheme="minorHAnsi" w:eastAsiaTheme="minorEastAsia" w:hAnsiTheme="minorHAnsi" w:cstheme="minorBidi"/>
          <w:noProof/>
          <w:szCs w:val="22"/>
          <w:lang w:eastAsia="de-CH"/>
        </w:rPr>
      </w:pPr>
      <w:hyperlink w:anchor="_Toc134025439" w:history="1">
        <w:r w:rsidRPr="00EE6852">
          <w:rPr>
            <w:rStyle w:val="Hyperlink"/>
            <w:noProof/>
          </w:rPr>
          <w:t>Tabellenverzeichnis</w:t>
        </w:r>
        <w:r>
          <w:rPr>
            <w:noProof/>
            <w:webHidden/>
          </w:rPr>
          <w:tab/>
        </w:r>
        <w:r>
          <w:rPr>
            <w:noProof/>
            <w:webHidden/>
          </w:rPr>
          <w:fldChar w:fldCharType="begin"/>
        </w:r>
        <w:r>
          <w:rPr>
            <w:noProof/>
            <w:webHidden/>
          </w:rPr>
          <w:instrText xml:space="preserve"> PAGEREF _Toc134025439 \h </w:instrText>
        </w:r>
        <w:r>
          <w:rPr>
            <w:noProof/>
            <w:webHidden/>
          </w:rPr>
        </w:r>
        <w:r>
          <w:rPr>
            <w:noProof/>
            <w:webHidden/>
          </w:rPr>
          <w:fldChar w:fldCharType="separate"/>
        </w:r>
        <w:r>
          <w:rPr>
            <w:noProof/>
            <w:webHidden/>
          </w:rPr>
          <w:t>9</w:t>
        </w:r>
        <w:r>
          <w:rPr>
            <w:noProof/>
            <w:webHidden/>
          </w:rPr>
          <w:fldChar w:fldCharType="end"/>
        </w:r>
      </w:hyperlink>
    </w:p>
    <w:p w14:paraId="3C00564D" w14:textId="77777777" w:rsidR="00BB7E7C" w:rsidRDefault="00BB7E7C">
      <w:pPr>
        <w:pStyle w:val="Verzeichnis1"/>
        <w:rPr>
          <w:rFonts w:asciiTheme="minorHAnsi" w:eastAsiaTheme="minorEastAsia" w:hAnsiTheme="minorHAnsi" w:cstheme="minorBidi"/>
          <w:noProof/>
          <w:szCs w:val="22"/>
          <w:lang w:eastAsia="de-CH"/>
        </w:rPr>
      </w:pPr>
      <w:hyperlink w:anchor="_Toc134025440" w:history="1">
        <w:r w:rsidRPr="00EE6852">
          <w:rPr>
            <w:rStyle w:val="Hyperlink"/>
            <w:noProof/>
          </w:rPr>
          <w:t>Abkürzungsverzeichnis</w:t>
        </w:r>
        <w:r>
          <w:rPr>
            <w:noProof/>
            <w:webHidden/>
          </w:rPr>
          <w:tab/>
        </w:r>
        <w:r>
          <w:rPr>
            <w:noProof/>
            <w:webHidden/>
          </w:rPr>
          <w:fldChar w:fldCharType="begin"/>
        </w:r>
        <w:r>
          <w:rPr>
            <w:noProof/>
            <w:webHidden/>
          </w:rPr>
          <w:instrText xml:space="preserve"> PAGEREF _Toc134025440 \h </w:instrText>
        </w:r>
        <w:r>
          <w:rPr>
            <w:noProof/>
            <w:webHidden/>
          </w:rPr>
        </w:r>
        <w:r>
          <w:rPr>
            <w:noProof/>
            <w:webHidden/>
          </w:rPr>
          <w:fldChar w:fldCharType="separate"/>
        </w:r>
        <w:r>
          <w:rPr>
            <w:noProof/>
            <w:webHidden/>
          </w:rPr>
          <w:t>10</w:t>
        </w:r>
        <w:r>
          <w:rPr>
            <w:noProof/>
            <w:webHidden/>
          </w:rPr>
          <w:fldChar w:fldCharType="end"/>
        </w:r>
      </w:hyperlink>
    </w:p>
    <w:p w14:paraId="73FB9C57" w14:textId="77777777" w:rsidR="00BB7E7C" w:rsidRDefault="00BB7E7C">
      <w:pPr>
        <w:pStyle w:val="Verzeichnis1"/>
        <w:rPr>
          <w:rFonts w:asciiTheme="minorHAnsi" w:eastAsiaTheme="minorEastAsia" w:hAnsiTheme="minorHAnsi" w:cstheme="minorBidi"/>
          <w:noProof/>
          <w:szCs w:val="22"/>
          <w:lang w:eastAsia="de-CH"/>
        </w:rPr>
      </w:pPr>
      <w:hyperlink w:anchor="_Toc134025441" w:history="1">
        <w:r w:rsidRPr="00EE6852">
          <w:rPr>
            <w:rStyle w:val="Hyperlink"/>
            <w:noProof/>
          </w:rPr>
          <w:t>Anhang</w:t>
        </w:r>
        <w:r>
          <w:rPr>
            <w:noProof/>
            <w:webHidden/>
          </w:rPr>
          <w:tab/>
        </w:r>
        <w:r>
          <w:rPr>
            <w:noProof/>
            <w:webHidden/>
          </w:rPr>
          <w:fldChar w:fldCharType="begin"/>
        </w:r>
        <w:r>
          <w:rPr>
            <w:noProof/>
            <w:webHidden/>
          </w:rPr>
          <w:instrText xml:space="preserve"> PAGEREF _Toc134025441 \h </w:instrText>
        </w:r>
        <w:r>
          <w:rPr>
            <w:noProof/>
            <w:webHidden/>
          </w:rPr>
        </w:r>
        <w:r>
          <w:rPr>
            <w:noProof/>
            <w:webHidden/>
          </w:rPr>
          <w:fldChar w:fldCharType="separate"/>
        </w:r>
        <w:r>
          <w:rPr>
            <w:noProof/>
            <w:webHidden/>
          </w:rPr>
          <w:t>11</w:t>
        </w:r>
        <w:r>
          <w:rPr>
            <w:noProof/>
            <w:webHidden/>
          </w:rPr>
          <w:fldChar w:fldCharType="end"/>
        </w:r>
      </w:hyperlink>
    </w:p>
    <w:p w14:paraId="16A9A3AE" w14:textId="77777777" w:rsidR="00A3418E" w:rsidRPr="008E3B72" w:rsidRDefault="00104CD9" w:rsidP="00F7330E">
      <w:pPr>
        <w:pStyle w:val="Textkrper"/>
      </w:pPr>
      <w:r w:rsidRPr="00EA402E">
        <w:fldChar w:fldCharType="end"/>
      </w:r>
    </w:p>
    <w:p w14:paraId="04F8F73F" w14:textId="77777777" w:rsidR="00F7330E" w:rsidRPr="008E3B72" w:rsidRDefault="00F7330E" w:rsidP="005500E7"/>
    <w:p w14:paraId="5E31E5BB" w14:textId="77777777" w:rsidR="00F7330E" w:rsidRPr="008E3B72" w:rsidRDefault="00F7330E" w:rsidP="005500E7">
      <w:pPr>
        <w:sectPr w:rsidR="00F7330E" w:rsidRPr="008E3B72" w:rsidSect="003D6050">
          <w:pgSz w:w="11907" w:h="16840" w:code="9"/>
          <w:pgMar w:top="1701" w:right="851" w:bottom="1588" w:left="1418" w:header="680" w:footer="1021" w:gutter="0"/>
          <w:pgNumType w:fmt="upperRoman"/>
          <w:cols w:space="708"/>
          <w:docGrid w:linePitch="360"/>
        </w:sectPr>
      </w:pPr>
    </w:p>
    <w:p w14:paraId="3B471977" w14:textId="77777777" w:rsidR="003D6A89" w:rsidRDefault="00000000">
      <w:pPr>
        <w:pStyle w:val="berschrift1"/>
      </w:pPr>
      <w:r>
        <w:lastRenderedPageBreak/>
        <w:t>Einleitung</w:t>
      </w:r>
    </w:p>
    <w:p w14:paraId="31A8BE9A" w14:textId="77777777" w:rsidR="003D6A89" w:rsidRDefault="00000000">
      <w:pPr>
        <w:pStyle w:val="berschrift2"/>
      </w:pPr>
      <w:r>
        <w:t>Ausgangslage und Problemstellung</w:t>
      </w:r>
    </w:p>
    <w:p w14:paraId="31A4E1A7" w14:textId="77777777" w:rsidR="003D6A89" w:rsidRDefault="00000000">
      <w:r>
        <w:t>Ein Prognosemarkt verdichtet das verstreute Wissen vieler Teilnehmender zu einem einzigen, laufend aktualisierten Preis. Dieser Preis lässt sich als Wahrscheinlichkeit für ein künftiges Ereignis lesen. Dahinter steht die Markteffizienzhypothese, wonach Preise die verfügbare Information widerspiegeln (Fama, 1970). Im US-Wahljahr 2024 wurde der dezentrale, auf einer Blockchain abgewickelte Markt Polymarket zum sichtbarsten Beispiel dafür. Er erreichte zeitweise sehr hohe Handelsvolumina und geriet wiederholt in Spannung zu Umfragen und Forecast-Modellen, die ein knapperes Rennen zeichneten (Tsang &amp; Yang, 2026; Wu, 2024).</w:t>
      </w:r>
    </w:p>
    <w:p w14:paraId="29BA4127" w14:textId="60E24A72" w:rsidR="003D6A89" w:rsidRDefault="00000000">
      <w:r>
        <w:t>Daraus folgt die eigentliche Frage: Verarbeitet ein solcher Markt Information wirklich besser als etablierte Quellen, oder wirkt er nur überlegen, weil einzelne Episoden im Nachhinein betont werden? Die Arbeit nimmt diese Frage zum Ausgangspunkt und untersucht die informationelle Effizienz von Polymarket im Kontext der US-Präsidentschaftswahl 2024. Am Anfang stand die Überlegung, ob sich solche Ineffizienzen direkt ausnutzen lassen, etwa durch Arbitrage zwischen verschiedenen Börsen oder innerhalb eines Marktes. Eine systematische, ausschliesslich auf Papier durchgeführte Erprobung zeigte jedoch das Gegenteil: Rohe Preisunterschiede treten zwar auf, ihre robuste und wirtschaftlich attraktive Ausnutzung bleibt aber selten. Strukturelle Arbitragen sind rar und schliessen schnell, und die wenigen echten börsenübergreifenden Fälle sind faktisch Carry-Trades mit kleinem, über eine lange Haltedauer verteiltem Ertrag. Dieser Befund verschob die Perspektive von der Ausnutzung zur Messung: weg von der Frage, ob sich Ineffizienz handeln lässt, hin zur Frage, wie informationseffizient der Markt überhaupt ist. Genau diese Messperspektive verfolgen die drei nachfolgenden Hypothesen.</w:t>
      </w:r>
    </w:p>
    <w:p w14:paraId="69623574" w14:textId="77777777" w:rsidR="003D6A89" w:rsidRDefault="00000000">
      <w:pPr>
        <w:pStyle w:val="berschrift2"/>
      </w:pPr>
      <w:r>
        <w:t>Relevanz und Einordnung</w:t>
      </w:r>
    </w:p>
    <w:p w14:paraId="77A99D7F" w14:textId="77777777" w:rsidR="003D6A89" w:rsidRDefault="00000000">
      <w:r>
        <w:t>Die Frage ist wirtschaftlich wie methodisch relevant. Prognosemärkte rücken als kostengünstige, laufend aktualisierte Forecast-Infrastruktur in den Blick von Unternehmen, Medien und öffentlichen Institutionen, die auf verlässliche Wahrscheinlichkeitsschätzungen angewiesen sind. Die Blockchain-Abwicklung macht zudem jede Transaktion öffentlich nachvollziehbar und erlaubt Analysen auf Wallet-Ebene, wie sie in traditionellen Märkten nicht möglich sind (Tsang &amp; Yang, 2026). Und die Debatte um Grosskonten und möglichen informierten Handel berührt unmittelbar Fragen der Marktintegrität und der Regulierung (Hanson, 2007; Rezabek, 2024).</w:t>
      </w:r>
    </w:p>
    <w:p w14:paraId="410C02BA" w14:textId="77777777" w:rsidR="003D6A89" w:rsidRDefault="00000000">
      <w:r>
        <w:lastRenderedPageBreak/>
        <w:t>Eine reproduzierbare, methodisch vorsichtige Untersuchung ordnet damit die empirische Effizienzforschung zu dezentralen Märkten ein und liefert zugleich eine praxisnahe Grundlage, um die Verlässlichkeit solcher Märkte realistisch und ohne überzogene Erwartungen einzuschätzen.</w:t>
      </w:r>
    </w:p>
    <w:p w14:paraId="04D18180" w14:textId="77777777" w:rsidR="003D6A89" w:rsidRDefault="00000000">
      <w:pPr>
        <w:pStyle w:val="berschrift2"/>
      </w:pPr>
      <w:r>
        <w:t>Forschungsfrage und Hypothesen</w:t>
      </w:r>
    </w:p>
    <w:p w14:paraId="7461BC80" w14:textId="77777777" w:rsidR="003D6A89" w:rsidRDefault="00000000">
      <w:r>
        <w:t>Aus der Problemstellung ergibt sich die folgende Forschungsfrage:</w:t>
      </w:r>
    </w:p>
    <w:p w14:paraId="648972C2" w14:textId="77777777" w:rsidR="003D6A89" w:rsidRDefault="00000000">
      <w:pPr>
        <w:pStyle w:val="Textkrper"/>
      </w:pPr>
      <w:r>
        <w:t>In welchem Mass verarbeitet Polymarket während der US-Präsidentschaftswahl 2024 Information, verglichen mit traditionellen Prognosequellen?</w:t>
      </w:r>
    </w:p>
    <w:p w14:paraId="08046ADA" w14:textId="77777777" w:rsidR="003D6A89" w:rsidRDefault="00000000">
      <w:r>
        <w:t>Informationelle Effizienz (Fama, 1970) wird dabei nicht direkt behauptet, sondern über drei reproduzierbare, deterministisch prüfbare Proxy-Hypothesen fassbar gemacht:</w:t>
      </w:r>
    </w:p>
    <w:p w14:paraId="2C83CFAA" w14:textId="77777777" w:rsidR="003D6A89" w:rsidRDefault="00000000">
      <w:pPr>
        <w:pStyle w:val="Aufzhlungszeichen"/>
      </w:pPr>
      <w:r>
        <w:rPr>
          <w:b/>
        </w:rPr>
        <w:t>H1 (Prognosequalität):</w:t>
      </w:r>
      <w:r>
        <w:t xml:space="preserve"> Polymarket liefert besser oder gleich gut</w:t>
      </w:r>
    </w:p>
    <w:p w14:paraId="57C27583" w14:textId="77777777" w:rsidR="003D6A89" w:rsidRDefault="00000000">
      <w:r>
        <w:t>kalibrierte Wahrscheinlichkeiten wie vergleichbare traditionelle Forecasts, gemessen am Brier-Verlust (Brier, 1950) und am Diebold-Mariano-Vergleich der Verlustreihen (Diebold &amp; Mariano, 1995).</w:t>
      </w:r>
    </w:p>
    <w:p w14:paraId="5A230ABD" w14:textId="77777777" w:rsidR="003D6A89" w:rsidRDefault="00000000">
      <w:pPr>
        <w:pStyle w:val="Aufzhlungszeichen"/>
      </w:pPr>
      <w:r>
        <w:rPr>
          <w:b/>
        </w:rPr>
        <w:t>H2 (Ereignisreaktion):</w:t>
      </w:r>
      <w:r>
        <w:t xml:space="preserve"> Die Polymarket-Wahrscheinlichkeiten bewegen</w:t>
      </w:r>
    </w:p>
    <w:p w14:paraId="0D5FE0EF" w14:textId="77777777" w:rsidR="003D6A89" w:rsidRDefault="00000000">
      <w:r>
        <w:t>sich um vorab kuratierte öffentliche Ereignisse in plausibler Richtung, untersucht mit einem Ereignisstudien-Design (MacKinlay, 1997).</w:t>
      </w:r>
    </w:p>
    <w:p w14:paraId="3244F65C" w14:textId="77777777" w:rsidR="003D6A89" w:rsidRDefault="00000000">
      <w:pPr>
        <w:pStyle w:val="Aufzhlungszeichen"/>
      </w:pPr>
      <w:r>
        <w:rPr>
          <w:b/>
        </w:rPr>
        <w:t>H3 (Wallet-Timing):</w:t>
      </w:r>
      <w:r>
        <w:t xml:space="preserve"> Dataset-relative Wallet-Tiers zeigen zeitliche</w:t>
      </w:r>
    </w:p>
    <w:p w14:paraId="1AABF07B" w14:textId="77777777" w:rsidR="003D6A89" w:rsidRDefault="00000000">
      <w:r>
        <w:t>Aktivitätsmuster um Preisbewegungen, gemessen über Lead-Lag-Korrelationen und Granger-Tests (Granger, 1969).</w:t>
      </w:r>
    </w:p>
    <w:p w14:paraId="513555FB" w14:textId="77777777" w:rsidR="003D6A89" w:rsidRDefault="00000000">
      <w:r>
        <w:t>Die drei Hypothesen greifen ineinander: H1 prüft die Ergebnisqualität der Prognose, H2 die Reaktionsrichtung auf neue öffentliche Information und H3 die zeitliche Struktur der Handelsaktivität dahinter. Zusammen erlauben sie eine differenzierte statt einer pauschalen Antwort.</w:t>
      </w:r>
    </w:p>
    <w:p w14:paraId="063059F9" w14:textId="77777777" w:rsidR="003D6A89" w:rsidRDefault="00000000">
      <w:pPr>
        <w:pStyle w:val="berschrift2"/>
      </w:pPr>
      <w:r>
        <w:t>Abgrenzung des Untersuchungsgegenstands</w:t>
      </w:r>
    </w:p>
    <w:p w14:paraId="07F86C7E" w14:textId="77777777" w:rsidR="003D6A89" w:rsidRDefault="00000000">
      <w:r>
        <w:t>Der Untersuchungsgegenstand ist bewusst eng gefasst: die US-Wahl 2024 als einzelner Fallkontext, Polymarket als primäre Zeitreihe, traditionelle Umfragen und Modell-Forecasts als Vergleich. Die Arbeit erhebt ausdrücklich keinen Anspruch auf universelle Markteffizienz, auf Intraday-Reaktionsgeschwindigkeit, auf kausale Insider-Effekte oder auf handelbare Profitabilität. Die Wallet-Analyse stützt sich auf öffentliche, quellseitig gefilterte Kauf-Transaktionen und ist deshalb als deskriptive Timing-Diagnostik zu lesen, nicht als Nachweis privater Information.</w:t>
      </w:r>
    </w:p>
    <w:p w14:paraId="6066D8BE" w14:textId="77777777" w:rsidR="003D6A89" w:rsidRDefault="00000000">
      <w:r>
        <w:lastRenderedPageBreak/>
        <w:t>Diese Selbstbeschränkung folgt der in der Literatur betonten Vorsicht. Grosskonto-Aktivität lässt sich mit heterogenen Erwartungen statt mit Manipulation erklären (Tsang &amp; Yang, 2026), und Prognosemärkte können reflexive Verzerrungen aufweisen, die ihre Genauigkeit begrenzen (Wu, 2024).</w:t>
      </w:r>
    </w:p>
    <w:p w14:paraId="6495C8FD" w14:textId="77777777" w:rsidR="003D6A89" w:rsidRDefault="00000000">
      <w:pPr>
        <w:pStyle w:val="berschrift2"/>
      </w:pPr>
      <w:r>
        <w:t>Forschungslücke und Beitrag</w:t>
      </w:r>
    </w:p>
    <w:p w14:paraId="614C7530" w14:textId="77777777" w:rsidR="003D6A89" w:rsidRDefault="00000000">
      <w:r>
        <w:t>Die bestehende Literatur liefert Theorie zur Informationsaggregation, etablierte Messverfahren und gemischte Evidenz zu Polymarket, behandelt diese Aspekte aber meist getrennt (Cutting et al., 2025; Rezabek, 2024). Was fehlt, ist eine reproduzierbare, deterministisch geprüfte Zusammenführung von Prognosequalität, Ereignisreaktion und On-Chain-Timing für denselben Marktkontext. Genau diese Lücke schliesst die Arbeit für die US-Wahl 2024.</w:t>
      </w:r>
    </w:p>
    <w:p w14:paraId="4D38A620" w14:textId="77777777" w:rsidR="003D6A89" w:rsidRDefault="00000000">
      <w:r>
        <w:t>Der empirische Kern ist ein vollständig deterministischer, getesteter Python-Analysepfad, der alle Kennzahlen berechnet, bevor sie interpretiert werden. Als Sekundärbeiträge dokumentiert die Arbeit ein daraus hervorgegangenes read-only Monitoring-Werkzeug sowie die Multiagenten-Methodik seiner Entwicklung (Kapitel 4). Diese Sekundärbeiträge stützen die Forschungsfrage, ersetzen den empirischen Beleg aber nicht und überlagern ihn nicht.</w:t>
      </w:r>
    </w:p>
    <w:p w14:paraId="114A04DA" w14:textId="77777777" w:rsidR="003D6A89" w:rsidRDefault="00000000">
      <w:pPr>
        <w:pStyle w:val="berschrift2"/>
      </w:pPr>
      <w:r>
        <w:t>Aufbau der Arbeit</w:t>
      </w:r>
    </w:p>
    <w:p w14:paraId="5FA8CFE6" w14:textId="77777777" w:rsidR="003D6A89" w:rsidRDefault="00000000">
      <w:r>
        <w:t>Die Arbeit folgt der Struktur einer Projekt- und Bachelorarbeit. Kapitel 2 analysiert die Situation: Es ordnet die bisherige Forschung ein (Abschnitt 2.1), beschreibt Daten und Methodik (Abschnitt 2.2) und berichtet die empirische Analyse zu H1, H2 und H3. Kapitel 3 zieht die Schlussfolgerung aus dieser Analyse. Kapitel 4 stellt als Lösung das daraus entwickelte read-only Monitoring-Werkzeug samt Agenten-Orchestrierung vor und validiert es an einer Schweizer Fallstudie. Kapitel 5 zieht die allgemeine Schlussfolgerung und benennt die Einschränkungen, Kapitel 6 skizziert die nächsten Schritte.</w:t>
      </w:r>
    </w:p>
    <w:p w14:paraId="6A3C86F0" w14:textId="77777777" w:rsidR="003D6A89" w:rsidRDefault="00000000">
      <w:pPr>
        <w:pStyle w:val="berschrift1"/>
      </w:pPr>
      <w:r>
        <w:lastRenderedPageBreak/>
        <w:t>Analyse der Situation</w:t>
      </w:r>
    </w:p>
    <w:p w14:paraId="2F11A3F8" w14:textId="77777777" w:rsidR="003D6A89" w:rsidRDefault="00000000">
      <w:pPr>
        <w:pStyle w:val="berschrift2"/>
      </w:pPr>
      <w:r>
        <w:t>Bisherige Forschung</w:t>
      </w:r>
    </w:p>
    <w:p w14:paraId="52CC2175" w14:textId="77777777" w:rsidR="003D6A89" w:rsidRDefault="00000000">
      <w:r>
        <w:t>Dieses Kapitel ordnet die relevanten Begriffe, Theorien, Messverfahren und Vorbefunde als Literatur-Review ein und arbeitet daraus die Forschungslücke heraus, welche die drei Hypothesen motiviert. Aufgenommen wird nur, was für die Forschungsfrage unmittelbar zählt.</w:t>
      </w:r>
    </w:p>
    <w:p w14:paraId="7C2C6077" w14:textId="77777777" w:rsidR="003D6A89" w:rsidRDefault="00000000">
      <w:pPr>
        <w:pStyle w:val="berschrift3"/>
      </w:pPr>
      <w:r>
        <w:rPr>
          <w:b/>
        </w:rPr>
        <w:t>Begriffsklärung</w:t>
      </w:r>
    </w:p>
    <w:p w14:paraId="4D7DA2B3" w14:textId="77777777" w:rsidR="003D6A89" w:rsidRDefault="00000000">
      <w:r>
        <w:t xml:space="preserve">Ein </w:t>
      </w:r>
      <w:r>
        <w:rPr>
          <w:i/>
        </w:rPr>
        <w:t>Prognosemarkt</w:t>
      </w:r>
      <w:r>
        <w:t xml:space="preserve"> ist ein Markt, auf dem Kontrakte auf den Ausgang künftiger Ereignisse gehandelt werden und dessen Preis sich als kollektive Wahrscheinlichkeitsschätzung lesen lässt (Hanson, 2007). Ein binärer Kontrakt zahlt bei Eintritt des Ereignisses einen festen Betrag und sonst nichts, sodass der Gleichgewichtspreis zwischen null und eins der vom Markt eingepreisten Eintrittswahrscheinlichkeit entspricht. </w:t>
      </w:r>
      <w:r>
        <w:rPr>
          <w:i/>
        </w:rPr>
        <w:t>Informationelle Effizienz</w:t>
      </w:r>
      <w:r>
        <w:t xml:space="preserve"> bezeichnet den Grad, in dem dieser Preis die öffentlich verfügbare Information widerspiegelt (Fama, 1970). Die Arbeit verwendet den Begriff bewusst graduell und scope-spezifisch, nicht als absolute Eigenschaft.</w:t>
      </w:r>
    </w:p>
    <w:p w14:paraId="67D79566" w14:textId="77777777" w:rsidR="003D6A89" w:rsidRDefault="00000000">
      <w:r>
        <w:rPr>
          <w:i/>
        </w:rPr>
        <w:t>Kalibrierung</w:t>
      </w:r>
      <w:r>
        <w:t xml:space="preserve"> meint die Übereinstimmung von prognostizierter Wahrscheinlichkeit und beobachteter relativer Häufigkeit: Ereignisse, denen ein Markt 70 Prozent zuweist, sollten langfristig in etwa 70 Prozent der Fälle eintreten. </w:t>
      </w:r>
      <w:r>
        <w:rPr>
          <w:i/>
        </w:rPr>
        <w:t>Polymarket</w:t>
      </w:r>
      <w:r>
        <w:t xml:space="preserve"> ist ein dezentraler, auf einer Blockchain abgewickelter Prognosemarkt, bei dem jede Transaktion öffentlich einsehbar ist. Eine </w:t>
      </w:r>
      <w:r>
        <w:rPr>
          <w:i/>
        </w:rPr>
        <w:t>Wallet</w:t>
      </w:r>
      <w:r>
        <w:t xml:space="preserve"> ist die öffentliche Adresse, über die eine Teilnehmerin oder ein Teilnehmer handelt. Ein </w:t>
      </w:r>
      <w:r>
        <w:rPr>
          <w:i/>
        </w:rPr>
        <w:t>Tier</w:t>
      </w:r>
      <w:r>
        <w:t xml:space="preserve"> ist in dieser Arbeit eine dataset-relative Grössenklasse von Wallets, abgeleitet aus den beobachteten kumulierten Betragsperzentilen und nicht aus einer willkürlichen Dollar-Schwelle. Diese Begriffe bilden die gemeinsame Grundlage der drei Hypothesen.</w:t>
      </w:r>
    </w:p>
    <w:p w14:paraId="548B6B3B" w14:textId="77777777" w:rsidR="003D6A89" w:rsidRDefault="00000000">
      <w:pPr>
        <w:pStyle w:val="berschrift3"/>
      </w:pPr>
      <w:r>
        <w:rPr>
          <w:b/>
        </w:rPr>
        <w:t>Aktuelle Relevanz und neue Dynamiken</w:t>
      </w:r>
    </w:p>
    <w:p w14:paraId="039D95F9" w14:textId="77777777" w:rsidR="003D6A89" w:rsidRDefault="00000000">
      <w:r>
        <w:t>Prognosemärkte haben zwischen 2024 und 2026 einen Sprung von der Nische in den Mainstream vollzogen. Im US-Wahljahr 2024 erreichte Polymarket Milliardenvolumina und wurde in den Medien breit als Wahrscheinlichkeitsquelle zitiert (Clinton &amp; Huang, 2025; Tsang &amp; Yang, 2026). Die Entwicklung setzte sich institutionell fort: 2025 beteiligte sich die Börsenbetreiberin Intercontinental Exchange mit rund zwei Milliarden US-Dollar an Polymarket und wurde zugleich Distributorin von dessen ereignisbasierten Daten (Intercontinental Exchange, 2025); Polymarket kehrte unter CFTC-Regulierung in den US-Markt zurück (Britannica Money, 2026). Parallel wuchs der ebenfalls CFTC-regulierte Wettbewerber Kalshi auf ein monatliches Handelsvolumen in Milliardenhöhe, wobei Sportmärkte als Volumentreiber und politische wie makroökonomische Märkte als Kapitalmagnete wirken (KPMG, 2025).</w:t>
      </w:r>
    </w:p>
    <w:p w14:paraId="4F8F1546" w14:textId="77777777" w:rsidR="003D6A89" w:rsidRDefault="00000000">
      <w:r>
        <w:lastRenderedPageBreak/>
        <w:t>Diese Mainstream-Werdung bringt Dynamiken, die klassische Prognosemärkte wie die Iowa Electronic Markets nicht kannten. Erstens macht die Blockchain-Abwicklung jede Transaktion und Wallet öffentlich nachvollziehbar und eröffnet damit Analysen auf Teilnehmerebene, die zuvor unmöglich waren (Chainalysis, 2024). Zweitens können breit zitierte Marktwahrscheinlichkeiten reflexiv auf Erwartungen zurückwirken und so die Genauigkeit, die sie signalisieren, gerade untergraben (Wu, 2024). Drittens verschärfen Grosskonto-Konzentration und dokumentierte Insiderhandel-Fälle die Fragen nach Marktintegrität und Regulierung (Tsang &amp; Yang, 2026; Decrypt, 2026). Genau an diesen Punkten setzen die drei Hypothesen an: Prognosequalität (H1), Reaktion auf öffentliche Ereignisse (H2) sowie On-Chain-Timing und Konzentration (H3).</w:t>
      </w:r>
    </w:p>
    <w:p w14:paraId="3F2FF187" w14:textId="77777777" w:rsidR="003D6A89" w:rsidRDefault="00000000">
      <w:pPr>
        <w:pStyle w:val="berschrift3"/>
      </w:pPr>
      <w:r>
        <w:rPr>
          <w:b/>
        </w:rPr>
        <w:t>Markteffizienz und Informationsaggregation</w:t>
      </w:r>
    </w:p>
    <w:p w14:paraId="2D518C61" w14:textId="77777777" w:rsidR="003D6A89" w:rsidRDefault="00000000">
      <w:r>
        <w:t>Der theoretische Ausgangspunkt ist die Markteffizienzhypothese (Fama, 1970), nach der Preise verfügbare Information widerspiegeln. Üblich ist die Unterscheidung in eine schwache, eine halbstrenge und eine strenge Form, je nachdem, ob historische Preise, alle öffentlichen Informationen oder auch private Informationen bereits eingepreist sind. Auf Prognosemärkte übertragen heisst das: Wenn genügend Teilnehmende ihre Erwartungen laufend an neue Evidenz anpassen, sollte der Marktpreis als Wahrscheinlichkeit die verfügbare Information bündeln.</w:t>
      </w:r>
    </w:p>
    <w:p w14:paraId="2C8331E4" w14:textId="77777777" w:rsidR="003D6A89" w:rsidRDefault="00000000">
      <w:r>
        <w:t>Diesen Aggregationsmechanismus beschreibt Hanson (2007) konzeptionell und verweist auf Vergleiche, in denen spekulative Märkte Experteneinschätzungen und Umfragen erreichen oder schlagen. Breiter zeigen Wolfers und Zitzewitz (2004), dass marktbasierte Forecasts meist treffsicher sind und einfache Benchmarks übertreffen, und ein interdisziplinäres Autorenkollektiv ordnet Prognosemärkte als legitimes, informationsaggregierendes Instrument ein (Arrow, 2008). Unter welchen Bedingungen der Marktpreis tatsächlich der mittleren Erwartung der Teilnehmenden entspricht, präzisieren Wolfers und Zitzewitz (2006). Zugleich mahnt Manski (2006) zur Vorsicht, weil Preise Erwartungen mit Risikopräferenzen vermengen, sodass die Gleichsetzung von Preis und Wahrscheinlichkeit nicht unbesehen gilt. Die Idee der Informationsaggregation (häufig als Weisheit der Vielen bezeichnet) motiviert daher, einen Marktpreis als Forecast zu behandeln, bleibt aber eine empirisch zu prüfende Annahme.</w:t>
      </w:r>
    </w:p>
    <w:p w14:paraId="401DCAB3" w14:textId="77777777" w:rsidR="003D6A89" w:rsidRDefault="00000000">
      <w:pPr>
        <w:pStyle w:val="berschrift3"/>
      </w:pPr>
      <w:r>
        <w:rPr>
          <w:b/>
        </w:rPr>
        <w:t>Prognosemärkte im Vergleich zu traditionellen Quellen</w:t>
      </w:r>
    </w:p>
    <w:p w14:paraId="51F60AD2" w14:textId="2B90A237" w:rsidR="003D6A89" w:rsidRDefault="00000000">
      <w:r>
        <w:t xml:space="preserve">Ob Märkte Umfragen tatsächlich überlegen sind, ist empirisch umstritten. Für die etablierten Iowa Electronic Markets zeigen Berg et al. (2008), dass Marktprognosen Umfragen über fünf Präsidentschaftswahlen hinweg in rund 74 Prozent der Vergleiche näher am Ergebnis lagen, mit eher wachsendem Vorsprung bei längerem Horizont, und Gruca und Rietz (2025) setzen diese Markt-Perspektive für die Wahl 2024 fort. Speziell für Polymarket finden Cutting et al. (2025) einen Vorteil </w:t>
      </w:r>
      <w:r>
        <w:lastRenderedPageBreak/>
        <w:t>gegenüber Umfragen, besonders in den umkämpften Swing States, und ordnen ihn der Wisdom-of-Crowds-Idee zu. Zugleich betonen sie ausdrücklich, dass die Ergebnisse weiterer Untersuchung und einer Prüfung auf Übertragbarkeit bedürfen. Dem steht eine kritische Sicht gegenüber: Wu (2024) argumentiert, dass Prognosemärkte keine «Truth Machine» sind, sondern reflexiv sein können</w:t>
      </w:r>
      <w:r w:rsidR="00DD63C5">
        <w:t xml:space="preserve">. </w:t>
      </w:r>
      <w:r>
        <w:t>Vertrauen in den Marktpreis kann die laufende Informationsaktualisierung schwächen und so die Genauigkeit untergraben. Eine plattformübergreifende Auswertung relativiert das Bild zusätzlich: Clinton und Huang (2025) berichten für 2024 stark schwankende Trefferquoten zwischen den Börsen, wobei Polymarket nicht durchgehend führte.</w:t>
      </w:r>
    </w:p>
    <w:p w14:paraId="6709F34D" w14:textId="77777777" w:rsidR="003D6A89" w:rsidRDefault="00000000">
      <w:r>
        <w:t>Auch die Mikrostruktur solcher Märkte ist relevant. Bürgi et al. (2025) analysieren am Beispiel von Kalshi das Zusammenspiel von liquiditätsgebenden und liquiditätsnehmenden Teilnehmenden und zeigen, dass die Preisqualität von der Marktstruktur und den Anreizen abhängt. Diese Spannung zwischen belegtem Vorteil und berechtigter Vorsicht begründet, warum die vorliegende Arbeit nur begrenzte, scope-spezifische Aussagen anstrebt.</w:t>
      </w:r>
    </w:p>
    <w:p w14:paraId="03C7C916" w14:textId="77777777" w:rsidR="003D6A89" w:rsidRDefault="00000000">
      <w:pPr>
        <w:pStyle w:val="berschrift3"/>
      </w:pPr>
      <w:r>
        <w:rPr>
          <w:b/>
        </w:rPr>
        <w:t>Messung von Prognosequalität</w:t>
      </w:r>
    </w:p>
    <w:p w14:paraId="227A0AFD" w14:textId="1F3AE0D7" w:rsidR="003D6A89" w:rsidRDefault="00000000">
      <w:r>
        <w:t>Zur Messung der Forecast-Qualität dient der Brier-Score (Brier, 1950), definiert als mittlere quadratische Abweichung zwischen Wahrscheinlichkeitsprognose und tatsächlichem Ausgang. Ein niedrigerer Brier-Verlust bedeutet eine bessere Prognose, und der Score belohnt sowohl Treffsicherheit als auch gute Kalibrierung. Formal ist der Brier-Score eine strikt-proper Scoring Rule (Gneiting &amp; Raftery, 2007), das heisst, die erwartete Bewertung wird genau dann minimiert, wenn die wahren Wahrscheinlichkeiten berichtet werden</w:t>
      </w:r>
      <w:r w:rsidR="00DD63C5">
        <w:t>,</w:t>
      </w:r>
      <w:r>
        <w:t xml:space="preserve"> strategisches Verzerren lohnt sich nicht. Der Vergleich zweier Verlustreihen erfolgt mit dem Diebold-Mariano-Test (Diebold &amp; Mariano, 1995), der prüft, ob zwei Prognosen im Mittel gleich genau sind, ohne einen bestimmten Entstehungsmechanismus zu unterstellen. Beide Verfahren gelten als etablierte, deterministisch berechenbare Masse der Forecast-Bewertung und bilden die methodische Grundlage von H1.</w:t>
      </w:r>
    </w:p>
    <w:p w14:paraId="3F045604" w14:textId="77777777" w:rsidR="003D6A89" w:rsidRDefault="00000000">
      <w:pPr>
        <w:pStyle w:val="berschrift3"/>
      </w:pPr>
      <w:r>
        <w:rPr>
          <w:b/>
        </w:rPr>
        <w:t>Ereignisstudien</w:t>
      </w:r>
    </w:p>
    <w:p w14:paraId="2464A395" w14:textId="77777777" w:rsidR="003D6A89" w:rsidRDefault="00000000">
      <w:r>
        <w:t>Die Reaktion eines Marktes auf neue Information lässt sich mit Ereignisstudien untersuchen (MacKinlay, 1997). Das Verfahren definiert ein Schätzfenster für das normale Verhalten und ein Ereignisfenster, in dem abnormale und kumulierte abnormale Bewegungen gemessen werden. Ursprünglich für Aktienrenditen entwickelt, lässt sich das Design auf Tagesebene und auf Wahrscheinlichkeits- zeitreihen übertragen. H2 nutzt dieses Design mit vorab fixierten, kuratierten öffentlichen Ereignissen, um die Reaktionsrichtung von Polymarket nachvollziehbar zu prüfen.</w:t>
      </w:r>
    </w:p>
    <w:p w14:paraId="43E45396" w14:textId="77777777" w:rsidR="003D6A89" w:rsidRDefault="00000000">
      <w:pPr>
        <w:pStyle w:val="berschrift3"/>
      </w:pPr>
      <w:r>
        <w:rPr>
          <w:b/>
        </w:rPr>
        <w:lastRenderedPageBreak/>
        <w:t>On-Chain-Aktivität und informierter Handel</w:t>
      </w:r>
    </w:p>
    <w:p w14:paraId="29676DC5" w14:textId="77777777" w:rsidR="003D6A89" w:rsidRDefault="00000000">
      <w:r>
        <w:t>Die Blockchain-Abwicklung macht Wallet-Aktivität sichtbar und eröffnet die Frage, ob bestimmte Adressen Preisbewegungen zeitlich vorauslaufen. Methodisch nutzt H3 Lead-Lag-Korrelationen und Granger-Tests (Granger, 1969), deren Ergebnisse ausdrücklich als prädiktive Timing-Diagnostik und nicht als strukturelle Kausalität zu lesen sind. Theoretisch rahmt das Modell von Kyle (1985) informierten Handel: Eine informierte Partei verbirgt ihre Order im normalen Handelsfluss, was sich in abnormaler Handelsgrösse niederschlagen kann. Empirisch zeigt Delvecchio (2026) für Kalshi-Märkte, dass informierter Handel real und über eine Abnormal-Trade-Size-Kennzahl detektierbar ist und sich gegen die Marktauflösung verstärkt.</w:t>
      </w:r>
    </w:p>
    <w:p w14:paraId="7FEAF4F5" w14:textId="02DAE5D0" w:rsidR="003D6A89" w:rsidRDefault="00000000">
      <w:r>
        <w:t>Für die gebotene Vorsicht sprechen mehrere Befunde. Tsang und Yang (2026) zeigen für die Oktober-Grosskonto-Episode 2024, dass Kapital gleichzeitig auf beide Marktseiten floss</w:t>
      </w:r>
      <w:r w:rsidR="00CC79C7">
        <w:t>:</w:t>
      </w:r>
      <w:r>
        <w:t xml:space="preserve"> ein Muster, das mit heterogenen Erwartungen und nicht mit einseitiger Manipulation vereinbar ist. Hohe Konzentration und auffällige Positionsgrössen sind für sich genommen mehrdeutig und verlangen eine vorsichtige, nicht-kausale Interpretation.</w:t>
      </w:r>
    </w:p>
    <w:p w14:paraId="73C44566" w14:textId="77777777" w:rsidR="003D6A89" w:rsidRDefault="00000000">
      <w:pPr>
        <w:pStyle w:val="berschrift3"/>
      </w:pPr>
      <w:r>
        <w:rPr>
          <w:b/>
        </w:rPr>
        <w:t>Forschungslücke</w:t>
      </w:r>
    </w:p>
    <w:p w14:paraId="4BA7578F" w14:textId="77777777" w:rsidR="003D6A89" w:rsidRDefault="00000000">
      <w:r>
        <w:t>Die referierte Literatur liefert eine Theorie der Informationsaggregation, etablierte und proper-score-basierte Verfahren zur Messung der Prognosequalität, das Ereignisstudien-Design für Marktreaktionen sowie Konzepte und erste Evidenz zu informiertem Handel. Diese Bausteine werden jedoch meist getrennt und überwiegend für zentralisierte Märkte oder einzelne Teilfragen behandelt. Für den dezentralen Markt Polymarket fehlt eine reproduzierbare, deterministisch geprüfte Zusammenführung von Prognosequalität (H1), Ereignisreaktion (H2) und On-Chain-Timing (H3) im selben Marktkontext. Genau diese Lücke adressiert die vorliegende Arbeit für die US-Präsidentschaftswahl 2024, indem sie die drei Perspektiven auf eine gemeinsame, scope-spezifische Datenbasis stellt und gestützte Befunde transparent von nicht gestützten Behauptungen trennt.</w:t>
      </w:r>
    </w:p>
    <w:p w14:paraId="6DD6EC60" w14:textId="77777777" w:rsidR="003D6A89" w:rsidRDefault="00000000">
      <w:pPr>
        <w:pStyle w:val="berschrift2"/>
      </w:pPr>
      <w:r>
        <w:t>Daten und Methodik</w:t>
      </w:r>
    </w:p>
    <w:p w14:paraId="69372080" w14:textId="77777777" w:rsidR="003D6A89" w:rsidRDefault="00000000">
      <w:pPr>
        <w:pStyle w:val="berschrift3"/>
      </w:pPr>
      <w:r>
        <w:rPr>
          <w:b/>
        </w:rPr>
        <w:t>Forschungsdesign: deterministischer Kern vor Interpretation</w:t>
      </w:r>
    </w:p>
    <w:p w14:paraId="02E6B1A2" w14:textId="77777777" w:rsidR="003D6A89" w:rsidRDefault="00000000">
      <w:r>
        <w:t>Die Arbeit prüft informationelle Effizienz nicht als direkt beobachtbare Eigenschaft, sondern über drei reproduzierbare Proxy-Tests: Prognosequalität (H1), Ereignisreaktion (H2) und Wallet-Timing (H3). Diese Operationalisierung folgt dem Effizienzbegriff der Markteffizienzhypothese (Fama, 1970) und überträgt ihn auf einen dezentralen Prognosemarkt, dessen Preispfad als primäre Zeitreihe behandelt wird.</w:t>
      </w:r>
    </w:p>
    <w:p w14:paraId="6739533D" w14:textId="77777777" w:rsidR="003D6A89" w:rsidRDefault="00000000">
      <w:r>
        <w:lastRenderedPageBreak/>
        <w:t>Methodisch gilt eine strikte Trennung: Alle statistischen Kennzahlen werden deterministisch in Python berechnet, versioniert und als Artefakt (CSV, JSON, PNG) abgelegt. Sprachmodelle oder Agenten berechnen keine Metriken, sie dürfen ausschliesslich bereits berechnete, begrenzte Ergebnisse interpretieren, und auch das erst nach dokumentierter Freigabe und Audit-Protokollierung. Diese Reihenfolge – Datenvalidierung, deterministische Analyse, danach Interpretation – sichert Nachvollziehbarkeit und schützt vor versteckten Berechnungen im Fliesstext.</w:t>
      </w:r>
    </w:p>
    <w:p w14:paraId="1D3B3EA1" w14:textId="77777777" w:rsidR="003D6A89" w:rsidRDefault="00000000">
      <w:pPr>
        <w:pStyle w:val="berschrift3"/>
      </w:pPr>
      <w:r>
        <w:rPr>
          <w:b/>
        </w:rPr>
        <w:t>Datenbasis</w:t>
      </w:r>
    </w:p>
    <w:p w14:paraId="04DE6D73" w14:textId="77777777" w:rsidR="003D6A89" w:rsidRDefault="00000000">
      <w:r>
        <w:t>Die empirische Basis liegt in einer lokalen SQLite-Datenbank (</w:t>
      </w:r>
      <w:r>
        <w:rPr>
          <w:i/>
        </w:rPr>
        <w:t>data/thesis.db</w:t>
      </w:r>
      <w:r>
        <w:t>). Tabelle 1 fasst Quellen, Zeilenzahlen und bekannte Einschränkungen zusammen.</w:t>
      </w:r>
    </w:p>
    <w:tbl>
      <w:tblPr>
        <w:tblStyle w:val="Tabellenraster"/>
        <w:tblW w:w="0" w:type="auto"/>
        <w:tblLook w:val="04A0" w:firstRow="1" w:lastRow="0" w:firstColumn="1" w:lastColumn="0" w:noHBand="0" w:noVBand="1"/>
      </w:tblPr>
      <w:tblGrid>
        <w:gridCol w:w="2408"/>
        <w:gridCol w:w="2407"/>
        <w:gridCol w:w="2406"/>
        <w:gridCol w:w="2407"/>
      </w:tblGrid>
      <w:tr w:rsidR="003D6A89" w14:paraId="0E04965A" w14:textId="77777777">
        <w:tc>
          <w:tcPr>
            <w:tcW w:w="2409" w:type="dxa"/>
          </w:tcPr>
          <w:p w14:paraId="641988C7" w14:textId="77777777" w:rsidR="003D6A89" w:rsidRDefault="00000000">
            <w:r>
              <w:t>Quelle</w:t>
            </w:r>
          </w:p>
        </w:tc>
        <w:tc>
          <w:tcPr>
            <w:tcW w:w="2409" w:type="dxa"/>
          </w:tcPr>
          <w:p w14:paraId="42A11661" w14:textId="77777777" w:rsidR="003D6A89" w:rsidRDefault="00000000">
            <w:r>
              <w:t>Tabelle</w:t>
            </w:r>
          </w:p>
        </w:tc>
        <w:tc>
          <w:tcPr>
            <w:tcW w:w="2409" w:type="dxa"/>
          </w:tcPr>
          <w:p w14:paraId="38E46A25" w14:textId="77777777" w:rsidR="003D6A89" w:rsidRDefault="00000000">
            <w:r>
              <w:t>Umfang</w:t>
            </w:r>
          </w:p>
        </w:tc>
        <w:tc>
          <w:tcPr>
            <w:tcW w:w="2409" w:type="dxa"/>
          </w:tcPr>
          <w:p w14:paraId="2DC8DE4A" w14:textId="77777777" w:rsidR="003D6A89" w:rsidRDefault="00000000">
            <w:r>
              <w:t>Rolle / Einschränkung</w:t>
            </w:r>
          </w:p>
        </w:tc>
      </w:tr>
      <w:tr w:rsidR="003D6A89" w14:paraId="370A0BBE" w14:textId="77777777">
        <w:tc>
          <w:tcPr>
            <w:tcW w:w="2409" w:type="dxa"/>
          </w:tcPr>
          <w:p w14:paraId="6108A986" w14:textId="77777777" w:rsidR="003D6A89" w:rsidRDefault="00000000">
            <w:r>
              <w:t>Polymarket CLOB/Gamma</w:t>
            </w:r>
          </w:p>
        </w:tc>
        <w:tc>
          <w:tcPr>
            <w:tcW w:w="2409" w:type="dxa"/>
          </w:tcPr>
          <w:p w14:paraId="245C67AD" w14:textId="77777777" w:rsidR="003D6A89" w:rsidRDefault="00000000">
            <w:r>
              <w:rPr>
                <w:i/>
              </w:rPr>
              <w:t>polymarket_prices</w:t>
            </w:r>
          </w:p>
        </w:tc>
        <w:tc>
          <w:tcPr>
            <w:tcW w:w="2409" w:type="dxa"/>
          </w:tcPr>
          <w:p w14:paraId="08022434" w14:textId="77777777" w:rsidR="003D6A89" w:rsidRDefault="00000000">
            <w:r>
              <w:t>307 Tagespreise</w:t>
            </w:r>
          </w:p>
        </w:tc>
        <w:tc>
          <w:tcPr>
            <w:tcW w:w="2409" w:type="dxa"/>
          </w:tcPr>
          <w:p w14:paraId="553395E3" w14:textId="77777777" w:rsidR="003D6A89" w:rsidRDefault="00000000">
            <w:r>
              <w:t>primäre Marktzeitreihe</w:t>
            </w:r>
          </w:p>
        </w:tc>
      </w:tr>
      <w:tr w:rsidR="003D6A89" w14:paraId="7073BA80" w14:textId="77777777">
        <w:tc>
          <w:tcPr>
            <w:tcW w:w="2409" w:type="dxa"/>
          </w:tcPr>
          <w:p w14:paraId="17714F8B" w14:textId="77777777" w:rsidR="003D6A89" w:rsidRDefault="00000000">
            <w:r>
              <w:t>FiveThirtyEight</w:t>
            </w:r>
          </w:p>
        </w:tc>
        <w:tc>
          <w:tcPr>
            <w:tcW w:w="2409" w:type="dxa"/>
          </w:tcPr>
          <w:p w14:paraId="710540F7" w14:textId="77777777" w:rsidR="003D6A89" w:rsidRDefault="00000000">
            <w:r>
              <w:rPr>
                <w:i/>
              </w:rPr>
              <w:t>poll_forecasts</w:t>
            </w:r>
          </w:p>
        </w:tc>
        <w:tc>
          <w:tcPr>
            <w:tcW w:w="2409" w:type="dxa"/>
          </w:tcPr>
          <w:p w14:paraId="719A29C8" w14:textId="77777777" w:rsidR="003D6A89" w:rsidRDefault="00000000">
            <w:r>
              <w:t>245 Zeilen</w:t>
            </w:r>
          </w:p>
        </w:tc>
        <w:tc>
          <w:tcPr>
            <w:tcW w:w="2409" w:type="dxa"/>
          </w:tcPr>
          <w:p w14:paraId="4241C6C8" w14:textId="77777777" w:rsidR="003D6A89" w:rsidRDefault="00000000">
            <w:r>
              <w:t>Vergleichsquelle H1</w:t>
            </w:r>
          </w:p>
        </w:tc>
      </w:tr>
      <w:tr w:rsidR="003D6A89" w:rsidRPr="00DD63C5" w14:paraId="75D82677" w14:textId="77777777">
        <w:tc>
          <w:tcPr>
            <w:tcW w:w="2409" w:type="dxa"/>
          </w:tcPr>
          <w:p w14:paraId="22C6A428" w14:textId="77777777" w:rsidR="003D6A89" w:rsidRDefault="00000000">
            <w:r>
              <w:t>On-Chain-Wallets</w:t>
            </w:r>
          </w:p>
        </w:tc>
        <w:tc>
          <w:tcPr>
            <w:tcW w:w="2409" w:type="dxa"/>
          </w:tcPr>
          <w:p w14:paraId="39945C7C" w14:textId="77777777" w:rsidR="003D6A89" w:rsidRDefault="00000000">
            <w:r>
              <w:rPr>
                <w:i/>
              </w:rPr>
              <w:t>whale_trades</w:t>
            </w:r>
          </w:p>
        </w:tc>
        <w:tc>
          <w:tcPr>
            <w:tcW w:w="2409" w:type="dxa"/>
          </w:tcPr>
          <w:p w14:paraId="0BACE59B" w14:textId="77777777" w:rsidR="003D6A89" w:rsidRDefault="00000000">
            <w:r>
              <w:t>25 113 Zeilen</w:t>
            </w:r>
          </w:p>
        </w:tc>
        <w:tc>
          <w:tcPr>
            <w:tcW w:w="2409" w:type="dxa"/>
          </w:tcPr>
          <w:p w14:paraId="02F115A6" w14:textId="77777777" w:rsidR="003D6A89" w:rsidRPr="00DD63C5" w:rsidRDefault="00000000">
            <w:pPr>
              <w:rPr>
                <w:lang w:val="en-US"/>
              </w:rPr>
            </w:pPr>
            <w:r w:rsidRPr="00DD63C5">
              <w:rPr>
                <w:lang w:val="en-US"/>
              </w:rPr>
              <w:t>H3, BUY-only, Filter ≥10 000 USD</w:t>
            </w:r>
          </w:p>
        </w:tc>
      </w:tr>
      <w:tr w:rsidR="003D6A89" w14:paraId="5797DC86" w14:textId="77777777">
        <w:tc>
          <w:tcPr>
            <w:tcW w:w="2409" w:type="dxa"/>
          </w:tcPr>
          <w:p w14:paraId="0048A709" w14:textId="77777777" w:rsidR="003D6A89" w:rsidRDefault="00000000">
            <w:r>
              <w:t>GDELT</w:t>
            </w:r>
          </w:p>
        </w:tc>
        <w:tc>
          <w:tcPr>
            <w:tcW w:w="2409" w:type="dxa"/>
          </w:tcPr>
          <w:p w14:paraId="7E3CBBCA" w14:textId="77777777" w:rsidR="003D6A89" w:rsidRDefault="00000000">
            <w:r>
              <w:rPr>
                <w:i/>
              </w:rPr>
              <w:t>sentiment_scores</w:t>
            </w:r>
          </w:p>
        </w:tc>
        <w:tc>
          <w:tcPr>
            <w:tcW w:w="2409" w:type="dxa"/>
          </w:tcPr>
          <w:p w14:paraId="7AFD2513" w14:textId="77777777" w:rsidR="003D6A89" w:rsidRDefault="00000000">
            <w:r>
              <w:t>310 Zeilen</w:t>
            </w:r>
          </w:p>
        </w:tc>
        <w:tc>
          <w:tcPr>
            <w:tcW w:w="2409" w:type="dxa"/>
          </w:tcPr>
          <w:p w14:paraId="5C843952" w14:textId="77777777" w:rsidR="003D6A89" w:rsidRDefault="00000000">
            <w:r>
              <w:t>Kontext, kein Kernparameter</w:t>
            </w:r>
          </w:p>
        </w:tc>
      </w:tr>
      <w:tr w:rsidR="003D6A89" w14:paraId="397FBF15" w14:textId="77777777">
        <w:tc>
          <w:tcPr>
            <w:tcW w:w="2409" w:type="dxa"/>
          </w:tcPr>
          <w:p w14:paraId="77F3E36F" w14:textId="77777777" w:rsidR="003D6A89" w:rsidRDefault="00000000">
            <w:r>
              <w:t>Ereigniskatalog (Seed)</w:t>
            </w:r>
          </w:p>
        </w:tc>
        <w:tc>
          <w:tcPr>
            <w:tcW w:w="2409" w:type="dxa"/>
          </w:tcPr>
          <w:p w14:paraId="62690299" w14:textId="77777777" w:rsidR="003D6A89" w:rsidRDefault="00000000">
            <w:r>
              <w:rPr>
                <w:i/>
              </w:rPr>
              <w:t>events_timeline</w:t>
            </w:r>
          </w:p>
        </w:tc>
        <w:tc>
          <w:tcPr>
            <w:tcW w:w="2409" w:type="dxa"/>
          </w:tcPr>
          <w:p w14:paraId="7195895C" w14:textId="77777777" w:rsidR="003D6A89" w:rsidRDefault="00000000">
            <w:r>
              <w:t>7 kuratierte Ereignisse</w:t>
            </w:r>
          </w:p>
        </w:tc>
        <w:tc>
          <w:tcPr>
            <w:tcW w:w="2409" w:type="dxa"/>
          </w:tcPr>
          <w:p w14:paraId="10C39033" w14:textId="77777777" w:rsidR="003D6A89" w:rsidRDefault="00000000">
            <w:r>
              <w:t>H2-Eingabe, vorab fixiert</w:t>
            </w:r>
          </w:p>
        </w:tc>
      </w:tr>
    </w:tbl>
    <w:p w14:paraId="74D25833" w14:textId="77777777" w:rsidR="003D6A89" w:rsidRDefault="00000000">
      <w:pPr>
        <w:pStyle w:val="Beschriftung"/>
      </w:pPr>
      <w:r>
        <w:t>Tabelle 1: Daten- und Quelleninventar</w:t>
      </w:r>
    </w:p>
    <w:p w14:paraId="448E98FC" w14:textId="22AF0A1F" w:rsidR="003D6A89" w:rsidRDefault="00000000">
      <w:r>
        <w:t>Die Vergleichsquellen sind bewusst restriktiv gewählt. FiveThirtyEight liefert native Wahrscheinlichkeiten und ist deshalb direkt vergleichbar (Cutting et al., 2025). Für die Kalibrierungsdiagnostik in H1 treten als weitere aufgelöste Vergleichsquellen das unabhängige Umfragemodell Rieke, die 270toWin/JHK-Staatenprognose sowie eine dokumentierte Umfrage-Transformation (Poll-Transform) hinzu, jeweils nur für den paarweisen Brier-Vergleich und nicht als Kernzeitreihe. Die Wallet-Daten tragen die methodisch wichtigste Datenlimitation: Sie enthalten nur Kauftransaktionen und sind quellseitig ab 10 000 USD gefiltert, beides bleibt Metadaten-Eigenschaft der Rohquelle und ist keine analytische Schwellendefinition.</w:t>
      </w:r>
    </w:p>
    <w:p w14:paraId="2D8FCA26" w14:textId="77777777" w:rsidR="003D6A89" w:rsidRDefault="00000000">
      <w:pPr>
        <w:pStyle w:val="berschrift3"/>
      </w:pPr>
      <w:r>
        <w:rPr>
          <w:b/>
        </w:rPr>
        <w:lastRenderedPageBreak/>
        <w:t>Operationalisierung der Hypothesen</w:t>
      </w:r>
    </w:p>
    <w:p w14:paraId="004ADC0A" w14:textId="77777777" w:rsidR="003D6A89" w:rsidRDefault="00000000">
      <w:pPr>
        <w:pStyle w:val="berschrift3"/>
      </w:pPr>
      <w:r>
        <w:rPr>
          <w:b/>
        </w:rPr>
        <w:t>H1 – Prognosequalität</w:t>
      </w:r>
    </w:p>
    <w:p w14:paraId="52E82301" w14:textId="77441412" w:rsidR="003D6A89" w:rsidRDefault="00000000">
      <w:r>
        <w:t xml:space="preserve">H1 bewertet, ob Polymarket im überlappenden Vergleichsfenster bessere Prognosequalität zeigt als vergleichbare traditionelle Wahrscheinlichkeitsprognosen. Als Verlustmass dient der Brier-Score (Brier, 1950), der paarweise Vergleich der Verlustreihen erfolgt mit dem Diebold-Mariano-Test (Diebold &amp; Mariano, 1995), ergänzt um Kalibrierungsdiagnostik, soweit Stichprobengrösse und Methodik es zulassen. Erlaubt ist </w:t>
      </w:r>
      <w:proofErr w:type="gramStart"/>
      <w:r>
        <w:t>ausschliesslich die Aussage</w:t>
      </w:r>
      <w:proofErr w:type="gramEnd"/>
      <w:r>
        <w:t xml:space="preserve"> eines Prognosequalitäts-Vergleichs, ein Beweis höherer Reaktionsgeschwindigkeit, eine allgemeine Marktüberlegenheit sind ausgeschlossen.</w:t>
      </w:r>
    </w:p>
    <w:p w14:paraId="2E93C01F" w14:textId="77777777" w:rsidR="003D6A89" w:rsidRDefault="00000000">
      <w:pPr>
        <w:pStyle w:val="berschrift3"/>
      </w:pPr>
      <w:r>
        <w:rPr>
          <w:b/>
        </w:rPr>
        <w:t>H2 – Ereignisfenster</w:t>
      </w:r>
    </w:p>
    <w:p w14:paraId="753E368E" w14:textId="77777777" w:rsidR="003D6A89" w:rsidRDefault="00000000">
      <w:r>
        <w:t>H2 prüft, ob sich Polymarket-Wahrscheinlichkeiten um vorab kuratierte öffentliche Ereignisse in plausibler Richtung und innerhalb fester Tagesfenster bewegen. Die Ereignisse werden vor der Analyse mit Zeitstempel, Quelle und erwarteter Richtung fixiert und nach Sichtung der Marktreaktion weder hinzugefügt noch entfernt. Das Design folgt der Ereignisstudien-Methodik (MacKinlay, 1997). Erlaubt ist die Aussage einer täglichen Ereignisfenster-Reaktion, ein Intraday-Geschwindigkeitsanspruch oder eine nachträgliche Ereignisauswahl sind ausgeschlossen.</w:t>
      </w:r>
    </w:p>
    <w:p w14:paraId="6EBFE8DC" w14:textId="77777777" w:rsidR="003D6A89" w:rsidRDefault="00000000">
      <w:pPr>
        <w:pStyle w:val="berschrift3"/>
      </w:pPr>
      <w:r>
        <w:rPr>
          <w:b/>
        </w:rPr>
        <w:t>H3 – Wallet-Timing</w:t>
      </w:r>
    </w:p>
    <w:p w14:paraId="535522C0" w14:textId="77777777" w:rsidR="003D6A89" w:rsidRDefault="00000000">
      <w:r>
        <w:t>H3 untersucht, ob dataset-relative Wallet-Tiers zeitliche Aktivitätsmuster vor oder um Polymarket-Preisbewegungen zeigen. Die Tiers werden nicht über eine willkürliche USD-Schwelle definiert, sondern aus den beobachteten kumulierten Betragsperzentilen der Wallet-Verteilung abgeleitet. Die Diagnostik kombiniert deskriptive Lead-Time-Histogramme, Lead-Lag-Korrelationen und Granger-Tests (Granger, 1969). Die Granger-Ausgaben werden als prädiktive Timing-Diagnostik unter Modellannahmen gelesen, nicht als Kausalitätsbeweis, die Vorsicht gegenüber Insider-Interpretationen stützt sich auf Hanson (2007). Ausgeschlossen bleiben Aussagen zu Kausalität, privater Information, Fehlverhalten oder Profitabilität.</w:t>
      </w:r>
    </w:p>
    <w:p w14:paraId="04231012" w14:textId="77777777" w:rsidR="003D6A89" w:rsidRDefault="00000000">
      <w:pPr>
        <w:pStyle w:val="berschrift3"/>
      </w:pPr>
      <w:r>
        <w:rPr>
          <w:b/>
        </w:rPr>
        <w:t>Reproduzierbarkeit und Guardrails</w:t>
      </w:r>
    </w:p>
    <w:p w14:paraId="502C40BB" w14:textId="77777777" w:rsidR="003D6A89" w:rsidRDefault="00000000">
      <w:r>
        <w:t xml:space="preserve">Quelldaten liegen portabel in SQLite, analytische Abfragen nutzen zusätzlich DuckDB. Jede Datenbankschreiboperation wird, wo sinnvoll, validiert (pydantic/pandera). Der deterministische Kern ist getestet: zum Stand dieses Entwurfs bestehen 640 Tests. Der Datenzugriff für spätere Interpretationsschichten ist begrenzt (kein </w:t>
      </w:r>
      <w:r>
        <w:rPr>
          <w:i/>
        </w:rPr>
        <w:t>SELECT *</w:t>
      </w:r>
      <w:r>
        <w:t xml:space="preserve"> ohne </w:t>
      </w:r>
      <w:r>
        <w:rPr>
          <w:i/>
        </w:rPr>
        <w:t>LIMIT</w:t>
      </w:r>
      <w:r>
        <w:t xml:space="preserve">, maximal 50 Zeilen pro Abfrage), und jeder </w:t>
      </w:r>
      <w:r>
        <w:lastRenderedPageBreak/>
        <w:t>spätere Sprachmodell-Aufruf muss protokolliert werden. So bleibt jede thesis-relevante Kennzahl reproduzierbar und prüfbar.</w:t>
      </w:r>
    </w:p>
    <w:p w14:paraId="4CBC16A2" w14:textId="77777777" w:rsidR="003D6A89" w:rsidRDefault="00000000">
      <w:pPr>
        <w:pStyle w:val="berschrift2"/>
      </w:pPr>
      <w:r>
        <w:t>H1: Prognosequalität</w:t>
      </w:r>
    </w:p>
    <w:p w14:paraId="66BD1061" w14:textId="77777777" w:rsidR="003D6A89" w:rsidRDefault="00000000">
      <w:r>
        <w:t>H1 prüft, ob Polymarket bessere Prognosequalität zeigt als vergleichbare traditionelle Wahrscheinlichkeitsprognosen, gemessen über den Brier-Verlust (Brier, 1950) und den Diebold-Mariano-Vergleich der Verlustreihen (Diebold &amp; Mariano, 1995; Cutting et al., 2025). Das Ergebnis ist zweigeteilt: begrenzte Stützung in einem klar definierten Vergleichsscope, aber kein Beweis einer breiten Überlegenheit.</w:t>
      </w:r>
    </w:p>
    <w:p w14:paraId="7E2A36AC" w14:textId="77777777" w:rsidR="003D6A89" w:rsidRDefault="00000000">
      <w:pPr>
        <w:pStyle w:val="berschrift3"/>
      </w:pPr>
      <w:r>
        <w:rPr>
          <w:b/>
        </w:rPr>
        <w:t>Vergleichsquellen.</w:t>
      </w:r>
    </w:p>
    <w:p w14:paraId="348051BB" w14:textId="77777777" w:rsidR="003D6A89" w:rsidRDefault="00000000">
      <w:r>
        <w:t>H1 stellt den Polymarket-Preis (PM) mehreren traditionellen Wahrscheinlichkeitsquellen gegenüber: der finalen Prognose von FiveThirtyEight («538 final»), einer dokumentierten Transformation der FiveThirtyEight-Umfragemargen in eine Wahrscheinlichkeit («Poll-Transform»), der Staaten-Prognose von 270toWin («270/JHK»), wobei «270 exact» nur die Staaten mit exakt ausgewiesener Wahrscheinlichkeit meint und die als sicher zensierten ausschliesst, sowie dem unabhängigen umfragebasierten Prognosemodell «Rieke». Verglichen wird jeweils über aufgelöste Fall-Sets: die 50 Bundesstaaten («50-state»), einen Umfrage-Snapshot über 13 Staaten («13-state») und acht kuratierte Schluss-Fälle («final 8»). Eine Zeile «PM vs X» in den Abbildungen bezeichnet damit den paarweisen Brier-Vergleich von Polymarket gegen die Quelle X über das jeweilige Fall-Set.</w:t>
      </w:r>
    </w:p>
    <w:p w14:paraId="39CC467B" w14:textId="77777777" w:rsidR="003D6A89" w:rsidRDefault="00000000">
      <w:pPr>
        <w:pStyle w:val="berschrift3"/>
      </w:pPr>
      <w:r>
        <w:rPr>
          <w:b/>
        </w:rPr>
        <w:t>Begrenzte Stützung.</w:t>
      </w:r>
    </w:p>
    <w:p w14:paraId="6CB8A476" w14:textId="77777777" w:rsidR="003D6A89" w:rsidRDefault="00000000">
      <w:r>
        <w:t>Im primären Scope – Prognosehorizont ≤90 Tage und geringe bis mittlere Poll-Distanz – hat Polymarket in 262 von 285 State-Date-Zeilen (91.9%) den niedrigeren Brier-Verlust. Behandelt man jeden Bundesstaat als diagnostische Einheit, stützen 9 von 9 States Polymarket (exakter einseitiger Binomialtest p = 0.0020). Die nationale Tagesreihe in Abbildung 1 illustriert die Prognosequalität zusätzlich an mehreren Vergleichsmassstäben.</w:t>
      </w:r>
    </w:p>
    <w:p w14:paraId="028A4386" w14:textId="77777777" w:rsidR="003D6A89" w:rsidRDefault="00000000">
      <w:pPr>
        <w:jc w:val="center"/>
      </w:pPr>
      <w:r>
        <w:rPr>
          <w:noProof/>
        </w:rPr>
        <w:lastRenderedPageBreak/>
        <w:drawing>
          <wp:inline distT="0" distB="0" distL="0" distR="0" wp14:anchorId="68CEE573" wp14:editId="64454B69">
            <wp:extent cx="5212080" cy="3316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forecast_quality.png"/>
                    <pic:cNvPicPr/>
                  </pic:nvPicPr>
                  <pic:blipFill>
                    <a:blip r:embed="rId19"/>
                    <a:stretch>
                      <a:fillRect/>
                    </a:stretch>
                  </pic:blipFill>
                  <pic:spPr>
                    <a:xfrm>
                      <a:off x="0" y="0"/>
                      <a:ext cx="5212080" cy="3316778"/>
                    </a:xfrm>
                    <a:prstGeom prst="rect">
                      <a:avLst/>
                    </a:prstGeom>
                  </pic:spPr>
                </pic:pic>
              </a:graphicData>
            </a:graphic>
          </wp:inline>
        </w:drawing>
      </w:r>
    </w:p>
    <w:p w14:paraId="0D4D1A83" w14:textId="77777777" w:rsidR="003D6A89" w:rsidRDefault="00000000">
      <w:pPr>
        <w:pStyle w:val="Beschriftung"/>
      </w:pPr>
      <w:r>
        <w:t>Abbildung 1: H1-Prognosequalität, nationale Tagesreihe (ein aufgelöster Markt, 194 Handelstage): mittlerer Brier-Verlust von Polymarket gegen FiveThirtyEight (umfragebasierter Wahlforecast), den naiven 50-Prozent-Benchmark (Brier konstant 0.25) und die Persistenz (Polymarket-Vortagespreis); tägliche Head-to-Head-Zählung des tieferen Verlusts; kumulierter Verlustvorteil gegenüber FiveThirtyEight; Wahrscheinlichkeitsverläufe für den Gewinner-Ausgang. Quelle:</w:t>
      </w:r>
      <w:r>
        <w:br/>
      </w:r>
      <w:r>
        <w:rPr>
          <w:i/>
        </w:rPr>
        <w:t>data/results/h1_forecast_quality.png</w:t>
      </w:r>
      <w:r>
        <w:t>.</w:t>
      </w:r>
    </w:p>
    <w:p w14:paraId="61FEDB39" w14:textId="77777777" w:rsidR="003D6A89" w:rsidRDefault="00000000">
      <w:pPr>
        <w:pStyle w:val="berschrift3"/>
      </w:pPr>
      <w:r>
        <w:rPr>
          <w:b/>
        </w:rPr>
        <w:t>Lesart der Abbildung.</w:t>
      </w:r>
    </w:p>
    <w:p w14:paraId="092CFD0E" w14:textId="77777777" w:rsidR="003D6A89" w:rsidRDefault="00000000">
      <w:r>
        <w:t xml:space="preserve">Drei Begriffe in der Abbildung sind Vergleichsmassstäbe: </w:t>
      </w:r>
      <w:r>
        <w:rPr>
          <w:i/>
        </w:rPr>
        <w:t>FiveThirtyEight</w:t>
      </w:r>
      <w:r>
        <w:t xml:space="preserve"> ist der bekannte umfragebasierte US-Wahlforecast, der </w:t>
      </w:r>
      <w:r>
        <w:rPr>
          <w:i/>
        </w:rPr>
        <w:t>50-Prozent-Benchmark</w:t>
      </w:r>
      <w:r>
        <w:t xml:space="preserve"> ist ein naiver Forecaster, der jedem Ausgang konstant 50 Prozent zuweist (Brier-Verlust fix 0.25), und </w:t>
      </w:r>
      <w:r>
        <w:rPr>
          <w:i/>
        </w:rPr>
        <w:t>Persistenz</w:t>
      </w:r>
      <w:r>
        <w:t xml:space="preserve"> verwendet den Polymarket-Vortagespreis als heutige Prognose. Am mittleren Brier-Verlust ist Polymarket (0.230) besser als FiveThirtyEight (0.332), das hier sogar über dem naiven 50-Prozent-Benchmark (0.250) liegt, also schlechter abschneidet als ein Münzwurf. Head-to-Head-Zählung und stetig steigender kumulierter Vorteil zeigen, dass dieser Abstand konsistent über die Tage entsteht und nicht von einzelnen Ausreissern stammt. Weil der Brier-Score eine strikt-proper Scoring Rule ist (Gneiting &amp; Raftery, 2007), lässt sich der tiefere Verlust als ehrlich kalibrierte Wahrscheinlichkeit lesen. Wichtig zur Einordnung: Die 194 Tageszeilen sind wiederholte Prognosen für </w:t>
      </w:r>
      <w:r>
        <w:rPr>
          <w:i/>
        </w:rPr>
        <w:t>einen</w:t>
      </w:r>
      <w:r>
        <w:t xml:space="preserve"> aufgelösten Markt und belegen Konsistenz im Zeitverlauf, nicht 194 unabhängige Treffer. Die breiter abgestützte Evidenz liefert die oben genannte Bundesstaaten-Ebene (262 von 285 Zeilen, 9 von 9 States), die Abbildung 2 der breiten Behauptung gegenüberstellt (Berg et al., 2008).</w:t>
      </w:r>
    </w:p>
    <w:p w14:paraId="1DF4C719" w14:textId="77777777" w:rsidR="003D6A89" w:rsidRDefault="00000000">
      <w:pPr>
        <w:pStyle w:val="berschrift3"/>
      </w:pPr>
      <w:r>
        <w:rPr>
          <w:b/>
        </w:rPr>
        <w:lastRenderedPageBreak/>
        <w:t>Breite Behauptung nicht bewiesen.</w:t>
      </w:r>
    </w:p>
    <w:p w14:paraId="5286C8B9" w14:textId="77777777" w:rsidR="003D6A89" w:rsidRDefault="00000000">
      <w:r>
        <w:t>Über die gesamte Evidenz bleibt die allgemeine Überlegenheit ungedeckt. Von neun Aggregat-Vergleichszeilen stützen sieben Polymarket im mittleren Brier-Verlust, aber nur drei nach Fallmehrheit, und keine einzige beweist die breite Mehr-Fälle-Behauptung. Fünf Audit-Zeilen widersprechen der starken Aussage. Das volle State-Date-Panel ist ein Gegenbeispiel: dort haben die poll-abgeleiteten Wahrscheinlichkeiten in 1360 von 1720 Zeilen den niedrigeren Verlust. Tabelle 2 und Abbildung 2 halten gestützten Scope und Gegenbeispiele nebeneinander.</w:t>
      </w:r>
    </w:p>
    <w:tbl>
      <w:tblPr>
        <w:tblStyle w:val="Tabellenraster"/>
        <w:tblW w:w="0" w:type="auto"/>
        <w:tblLook w:val="04A0" w:firstRow="1" w:lastRow="0" w:firstColumn="1" w:lastColumn="0" w:noHBand="0" w:noVBand="1"/>
      </w:tblPr>
      <w:tblGrid>
        <w:gridCol w:w="3209"/>
        <w:gridCol w:w="3209"/>
        <w:gridCol w:w="3210"/>
      </w:tblGrid>
      <w:tr w:rsidR="003D6A89" w14:paraId="7396F36C" w14:textId="77777777">
        <w:tc>
          <w:tcPr>
            <w:tcW w:w="3213" w:type="dxa"/>
          </w:tcPr>
          <w:p w14:paraId="17CF355B" w14:textId="77777777" w:rsidR="003D6A89" w:rsidRDefault="00000000">
            <w:r>
              <w:t>Vergleichsscope</w:t>
            </w:r>
          </w:p>
        </w:tc>
        <w:tc>
          <w:tcPr>
            <w:tcW w:w="3213" w:type="dxa"/>
          </w:tcPr>
          <w:p w14:paraId="033E96DD" w14:textId="77777777" w:rsidR="003D6A89" w:rsidRDefault="00000000">
            <w:r>
              <w:t>Polymarket-Stützung</w:t>
            </w:r>
          </w:p>
        </w:tc>
        <w:tc>
          <w:tcPr>
            <w:tcW w:w="3213" w:type="dxa"/>
          </w:tcPr>
          <w:p w14:paraId="132E559C" w14:textId="77777777" w:rsidR="003D6A89" w:rsidRDefault="00000000">
            <w:r>
              <w:t>Kennzahl</w:t>
            </w:r>
          </w:p>
        </w:tc>
      </w:tr>
      <w:tr w:rsidR="003D6A89" w14:paraId="3B9270BB" w14:textId="77777777">
        <w:tc>
          <w:tcPr>
            <w:tcW w:w="3213" w:type="dxa"/>
          </w:tcPr>
          <w:p w14:paraId="01057E75" w14:textId="77777777" w:rsidR="003D6A89" w:rsidRDefault="00000000">
            <w:r>
              <w:t>≤90 Tage, geringe/mittlere Poll-Distanz</w:t>
            </w:r>
          </w:p>
        </w:tc>
        <w:tc>
          <w:tcPr>
            <w:tcW w:w="3213" w:type="dxa"/>
          </w:tcPr>
          <w:p w14:paraId="4AD10AAC" w14:textId="77777777" w:rsidR="003D6A89" w:rsidRDefault="00000000">
            <w:r>
              <w:t>ja (begrenzt)</w:t>
            </w:r>
          </w:p>
        </w:tc>
        <w:tc>
          <w:tcPr>
            <w:tcW w:w="3213" w:type="dxa"/>
          </w:tcPr>
          <w:p w14:paraId="50933CDB" w14:textId="77777777" w:rsidR="003D6A89" w:rsidRDefault="00000000">
            <w:r>
              <w:t>262/285 Zeilen (91.9%), 9/9 States, p=0.0020</w:t>
            </w:r>
          </w:p>
        </w:tc>
      </w:tr>
      <w:tr w:rsidR="003D6A89" w14:paraId="12C6F335" w14:textId="77777777">
        <w:tc>
          <w:tcPr>
            <w:tcW w:w="3213" w:type="dxa"/>
          </w:tcPr>
          <w:p w14:paraId="7BFB813C" w14:textId="77777777" w:rsidR="003D6A89" w:rsidRDefault="00000000">
            <w:r>
              <w:t>Volles State-Date-Panel</w:t>
            </w:r>
          </w:p>
        </w:tc>
        <w:tc>
          <w:tcPr>
            <w:tcW w:w="3213" w:type="dxa"/>
          </w:tcPr>
          <w:p w14:paraId="7A99C9B0" w14:textId="77777777" w:rsidR="003D6A89" w:rsidRDefault="00000000">
            <w:r>
              <w:t>nein (Gegenbeispiel)</w:t>
            </w:r>
          </w:p>
        </w:tc>
        <w:tc>
          <w:tcPr>
            <w:tcW w:w="3213" w:type="dxa"/>
          </w:tcPr>
          <w:p w14:paraId="78DB5E8B" w14:textId="77777777" w:rsidR="003D6A89" w:rsidRDefault="00000000">
            <w:r>
              <w:t>poll-abgeleitet 1360/1720 Zeilen niedriger</w:t>
            </w:r>
          </w:p>
        </w:tc>
      </w:tr>
      <w:tr w:rsidR="003D6A89" w14:paraId="6802EEF4" w14:textId="77777777">
        <w:tc>
          <w:tcPr>
            <w:tcW w:w="3213" w:type="dxa"/>
          </w:tcPr>
          <w:p w14:paraId="756D03B4" w14:textId="77777777" w:rsidR="003D6A89" w:rsidRDefault="00000000">
            <w:r>
              <w:t>Breite Mehr-Fälle-Behauptung</w:t>
            </w:r>
          </w:p>
        </w:tc>
        <w:tc>
          <w:tcPr>
            <w:tcW w:w="3213" w:type="dxa"/>
          </w:tcPr>
          <w:p w14:paraId="72340D38" w14:textId="77777777" w:rsidR="003D6A89" w:rsidRDefault="00000000">
            <w:r>
              <w:t>nicht bewiesen</w:t>
            </w:r>
          </w:p>
        </w:tc>
        <w:tc>
          <w:tcPr>
            <w:tcW w:w="3213" w:type="dxa"/>
          </w:tcPr>
          <w:p w14:paraId="51EC0EDC" w14:textId="77777777" w:rsidR="003D6A89" w:rsidRDefault="00000000">
            <w:r>
              <w:t>0/9 Broad-Zeilen, 5 Audit-Zeilen dagegen</w:t>
            </w:r>
          </w:p>
        </w:tc>
      </w:tr>
    </w:tbl>
    <w:p w14:paraId="5395E918" w14:textId="77777777" w:rsidR="003D6A89" w:rsidRDefault="00000000">
      <w:pPr>
        <w:pStyle w:val="Beschriftung"/>
      </w:pPr>
      <w:r>
        <w:t>Tabelle 2: H1 – Prognosequalität und Poll-Vergleich</w:t>
      </w:r>
    </w:p>
    <w:p w14:paraId="391C317C" w14:textId="77777777" w:rsidR="003D6A89" w:rsidRDefault="00000000">
      <w:pPr>
        <w:jc w:val="center"/>
      </w:pPr>
      <w:r>
        <w:rPr>
          <w:noProof/>
        </w:rPr>
        <w:drawing>
          <wp:inline distT="0" distB="0" distL="0" distR="0" wp14:anchorId="516AE4CB" wp14:editId="0CD81DEF">
            <wp:extent cx="5212080" cy="32328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poll_claim_readiness.png"/>
                    <pic:cNvPicPr/>
                  </pic:nvPicPr>
                  <pic:blipFill>
                    <a:blip r:embed="rId20"/>
                    <a:stretch>
                      <a:fillRect/>
                    </a:stretch>
                  </pic:blipFill>
                  <pic:spPr>
                    <a:xfrm>
                      <a:off x="0" y="0"/>
                      <a:ext cx="5212080" cy="3232809"/>
                    </a:xfrm>
                    <a:prstGeom prst="rect">
                      <a:avLst/>
                    </a:prstGeom>
                  </pic:spPr>
                </pic:pic>
              </a:graphicData>
            </a:graphic>
          </wp:inline>
        </w:drawing>
      </w:r>
    </w:p>
    <w:p w14:paraId="09A32DE1" w14:textId="77777777" w:rsidR="003D6A89" w:rsidRDefault="00000000">
      <w:pPr>
        <w:pStyle w:val="Beschriftung"/>
      </w:pPr>
      <w:r>
        <w:t xml:space="preserve">Abbildung 2: H1-Claim-Readiness: der belegbare enge Vergleichsscope (Prognosehorizont bis 90 Tage, geringe Poll-Distanz) gegen die Gegenbeispiel-Scopes (volles State-Date-Panel), in denen sich der Vorteil umkehrt. Die Darstellung trennt damit die belegbare enge Aussage von der nicht belegbaren breiten Behauptung. Quelle: </w:t>
      </w:r>
      <w:r>
        <w:rPr>
          <w:i/>
        </w:rPr>
        <w:t>data/results/h1_poll_claim_readiness.png</w:t>
      </w:r>
      <w:r>
        <w:t>.</w:t>
      </w:r>
    </w:p>
    <w:p w14:paraId="5423BD52" w14:textId="77777777" w:rsidR="003D6A89" w:rsidRDefault="00000000">
      <w:pPr>
        <w:pStyle w:val="berschrift3"/>
      </w:pPr>
      <w:r>
        <w:rPr>
          <w:b/>
        </w:rPr>
        <w:lastRenderedPageBreak/>
        <w:t>Lesart der Abbildung.</w:t>
      </w:r>
    </w:p>
    <w:p w14:paraId="7A22CF8C" w14:textId="77777777" w:rsidR="003D6A89" w:rsidRDefault="00000000">
      <w:r>
        <w:t>Abbildung 2 stellt den gestützten Scope den Gegenbeispiel-Scopes gegenüber und macht damit die Kernbotschaft von H1 sichtbar: Der Polymarket-Vorteil ist real, aber an Bedingungen gebunden (kurzer Horizont, geringe Poll-Distanz). Im vollen Panel kehrt sich das Bild um. Die Abbildung dient so als Claim-Readiness-Prüfung, die die belegbare enge Aussage von der nicht belegbaren breiten Behauptung trennt. Diese Scope-Abhängigkeit deckt sich mit der gemischten, plattformübergreifenden Evidenz für 2024, in der Marktüberlegenheit nicht durchgängig auftrat (Clinton &amp; Huang, 2025).</w:t>
      </w:r>
    </w:p>
    <w:p w14:paraId="2481291E" w14:textId="77777777" w:rsidR="003D6A89" w:rsidRDefault="00000000">
      <w:pPr>
        <w:pStyle w:val="berschrift3"/>
      </w:pPr>
      <w:r>
        <w:rPr>
          <w:b/>
        </w:rPr>
        <w:t>Kalibrierung.</w:t>
      </w:r>
    </w:p>
    <w:p w14:paraId="0A133619" w14:textId="77777777" w:rsidR="003D6A89" w:rsidRDefault="00000000">
      <w:r>
        <w:t>Die Kalibrierungsdiagnostik in Abbildung 3 ergänzt den reinen Verlustvergleich. Über 192 aufgelöste Forecast-Fälle aus sieben Quellen ergeben sich fünf paarweise Vergleiche. Alle fünf stützen Polymarket im mittleren Brier-Verlust, aber nur zwei nach Fallmehrheit. Das bestätigt das zweigeteilte Bild: Polymarket ist im Mittel besser kalibriert, ohne in jedem Einzelfall zu führen.</w:t>
      </w:r>
    </w:p>
    <w:p w14:paraId="1E0F1A87" w14:textId="77777777" w:rsidR="003D6A89" w:rsidRDefault="00000000">
      <w:pPr>
        <w:jc w:val="center"/>
      </w:pPr>
      <w:r>
        <w:rPr>
          <w:noProof/>
        </w:rPr>
        <w:drawing>
          <wp:inline distT="0" distB="0" distL="0" distR="0" wp14:anchorId="5A0119A9" wp14:editId="77425F4D">
            <wp:extent cx="5212080" cy="1767090"/>
            <wp:effectExtent l="0" t="0" r="0" b="0"/>
            <wp:docPr id="1873717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calibration_diagnostic.png"/>
                    <pic:cNvPicPr/>
                  </pic:nvPicPr>
                  <pic:blipFill>
                    <a:blip r:embed="rId21"/>
                    <a:stretch>
                      <a:fillRect/>
                    </a:stretch>
                  </pic:blipFill>
                  <pic:spPr>
                    <a:xfrm>
                      <a:off x="0" y="0"/>
                      <a:ext cx="5212080" cy="1767090"/>
                    </a:xfrm>
                    <a:prstGeom prst="rect">
                      <a:avLst/>
                    </a:prstGeom>
                  </pic:spPr>
                </pic:pic>
              </a:graphicData>
            </a:graphic>
          </wp:inline>
        </w:drawing>
      </w:r>
    </w:p>
    <w:p w14:paraId="44795E6C" w14:textId="77777777" w:rsidR="003D6A89" w:rsidRDefault="00000000">
      <w:pPr>
        <w:pStyle w:val="Beschriftung"/>
      </w:pPr>
      <w:r>
        <w:t>Abbildung 3: H1-Prognosequalitäts-Scorecard über aufgelöste Forecast-Fälle: aggregierter Brier-Vorteil je Vergleich, paarweise Lower-Loss-Zählung und mittlerer Brier mit fix-gebinntem Kalibrierungsfehler (ECE). Quelle:</w:t>
      </w:r>
      <w:r>
        <w:br/>
      </w:r>
      <w:r>
        <w:rPr>
          <w:i/>
        </w:rPr>
        <w:t>data/results/h1_calibration_diagnostic.png</w:t>
      </w:r>
      <w:r>
        <w:t>.</w:t>
      </w:r>
    </w:p>
    <w:p w14:paraId="7F28239B" w14:textId="77777777" w:rsidR="003D6A89" w:rsidRDefault="00000000">
      <w:pPr>
        <w:pStyle w:val="berschrift3"/>
      </w:pPr>
      <w:r>
        <w:rPr>
          <w:b/>
        </w:rPr>
        <w:t>Lesart der Abbildung.</w:t>
      </w:r>
    </w:p>
    <w:p w14:paraId="41EAF15C" w14:textId="77777777" w:rsidR="003D6A89" w:rsidRDefault="00000000">
      <w:r>
        <w:t>Die Scorecard fasst drei Ansichten zusammen: links den aggregierten Brier-Vorteil je Vergleich (positiver Wert bedeutet tieferer Polymarket-Brier), in der Mitte die paarweise Zählung, in wie vielen Einzelfällen Polymarket, die Vergleichsquelle oder keiner von beiden den tieferen Verlust trägt, und rechts den mittleren Brier-Verlust samt fix-gebinntem Kalibrierungsfehler (ECE) je Quelle. Dass alle fünf paarweisen Vergleiche Polymarket im mittleren Brier stützen, aber nur zwei nach Fallmehrheit, zeigt einen im Mittel besser kalibrierten, jedoch nicht durchgängig führenden Forecast. Das passt zur Mahnung, einen Marktpreis nicht unbesehen mit einer Wahrscheinlichkeit gleichzusetzen (Manski, 2006).</w:t>
      </w:r>
    </w:p>
    <w:p w14:paraId="6D3A4098" w14:textId="77777777" w:rsidR="003D6A89" w:rsidRDefault="00000000">
      <w:pPr>
        <w:pStyle w:val="berschrift3"/>
      </w:pPr>
      <w:r>
        <w:rPr>
          <w:b/>
        </w:rPr>
        <w:lastRenderedPageBreak/>
        <w:t>Limitation.</w:t>
      </w:r>
    </w:p>
    <w:p w14:paraId="6ECCEFD1" w14:textId="77777777" w:rsidR="003D6A89" w:rsidRDefault="00000000">
      <w:r>
        <w:t>Die Evidenz besteht aus wiederholten Tageszeilen innerhalb eines einzelnen Wahlkontexts und ersetzt keine unabhängige Mehr-Wahlen-Stichprobe. Aus H1 folgt kein Beweis höherer Reaktionsgeschwindigkeit, keine universelle Marktüberlegenheit und keine kausale Erklärung.</w:t>
      </w:r>
    </w:p>
    <w:p w14:paraId="471914A5" w14:textId="77777777" w:rsidR="003D6A89" w:rsidRDefault="00000000">
      <w:pPr>
        <w:pStyle w:val="berschrift2"/>
      </w:pPr>
      <w:r>
        <w:t>H2: Ereignisfenster</w:t>
      </w:r>
    </w:p>
    <w:p w14:paraId="2839D130" w14:textId="77777777" w:rsidR="003D6A89" w:rsidRDefault="00000000">
      <w:r>
        <w:t>H2 prüft, ob sich Polymarket-Wahrscheinlichkeiten um sieben vorab kuratierte öffentliche Ereignisse in plausibler Richtung und innerhalb fester Tagesfenster bewegen (MacKinlay, 1997; Fama, 1970). Methodisch folgt die Analyse dem Ereignisstudien-Design: Ein Schätzfenster vor dem Ereignis beschreibt das normale Bewegungsverhalten der Wahrscheinlichkeit, im Ereignisfenster wird die abnormale, also über dieses Normalverhalten hinausgehende Veränderung gemessen (MacKinlay, 1997). Alle sieben Ereignisse wurden vor der Analyse mit Zeitstempel und a-priori erwarteter Richtung fixiert, sodass die Auswahl nicht nachträglich an sichtbaren Preisbewegungen ausgerichtet ist. Drei Ereignisse tragen eine gerichtete Erwartung, die übrigen vier wurden neutral kuratiert.</w:t>
      </w:r>
    </w:p>
    <w:p w14:paraId="4D1AF0B5" w14:textId="77777777" w:rsidR="003D6A89" w:rsidRDefault="00000000">
      <w:pPr>
        <w:pStyle w:val="berschrift3"/>
      </w:pPr>
      <w:r>
        <w:rPr>
          <w:b/>
        </w:rPr>
        <w:t>Sichtbare Tagesreaktion.</w:t>
      </w:r>
    </w:p>
    <w:p w14:paraId="1D913A87" w14:textId="77777777" w:rsidR="003D6A89" w:rsidRDefault="00000000">
      <w:r>
        <w:t>Die stärkste Primärfenster-Bewegung (0–1 Tag) zeigt das Attentat auf Trump am 13. Juli 2024 mit einer abnormalen Veränderung von +7.2 Prozentpunkten zugunsten von Trump. Die gerichtet erwarteten Ereignisse bewegen sich konsistent: die Verurteilung im Schweigegeld-Prozess (-4.1 pp) und Bidens Rückzug zugunsten von Harris (-1.7 pp für Trump) gehen in die erwartete Richtung. Die vier neutral kuratierten Ereignisse, also die beiden Debatten und die VP-Nominierungen, zeigen kleinere und in der Richtung gemischte Bewegungen zwischen -2.9 und +3.5 Prozentpunkten, was zu ihrer offenen a-priori-Erwartung passt. Insgesamt reagieren die Polymarket-Wahrscheinlichkeiten auf Tagesebene plausibel auf die kuratierten Ereignisse.</w:t>
      </w:r>
    </w:p>
    <w:tbl>
      <w:tblPr>
        <w:tblStyle w:val="Tabellenraster"/>
        <w:tblW w:w="0" w:type="auto"/>
        <w:tblLook w:val="04A0" w:firstRow="1" w:lastRow="0" w:firstColumn="1" w:lastColumn="0" w:noHBand="0" w:noVBand="1"/>
      </w:tblPr>
      <w:tblGrid>
        <w:gridCol w:w="3210"/>
        <w:gridCol w:w="3209"/>
        <w:gridCol w:w="3209"/>
      </w:tblGrid>
      <w:tr w:rsidR="003D6A89" w14:paraId="44918D2F" w14:textId="77777777">
        <w:tc>
          <w:tcPr>
            <w:tcW w:w="3213" w:type="dxa"/>
          </w:tcPr>
          <w:p w14:paraId="677F20A9" w14:textId="77777777" w:rsidR="003D6A89" w:rsidRDefault="00000000">
            <w:r>
              <w:t>Ereignis (2024)</w:t>
            </w:r>
          </w:p>
        </w:tc>
        <w:tc>
          <w:tcPr>
            <w:tcW w:w="3213" w:type="dxa"/>
          </w:tcPr>
          <w:p w14:paraId="1314E883" w14:textId="77777777" w:rsidR="003D6A89" w:rsidRDefault="00000000">
            <w:r>
              <w:t>erwartete Richtung</w:t>
            </w:r>
          </w:p>
        </w:tc>
        <w:tc>
          <w:tcPr>
            <w:tcW w:w="3213" w:type="dxa"/>
          </w:tcPr>
          <w:p w14:paraId="24289965" w14:textId="77777777" w:rsidR="003D6A89" w:rsidRDefault="00000000">
            <w:r>
              <w:t>abn. Veränderung (pp)</w:t>
            </w:r>
          </w:p>
        </w:tc>
      </w:tr>
      <w:tr w:rsidR="003D6A89" w14:paraId="61490B53" w14:textId="77777777">
        <w:tc>
          <w:tcPr>
            <w:tcW w:w="3213" w:type="dxa"/>
          </w:tcPr>
          <w:p w14:paraId="1EE22795" w14:textId="77777777" w:rsidR="003D6A89" w:rsidRDefault="00000000">
            <w:r>
              <w:t>Trump-Verurteilung (30.05.)</w:t>
            </w:r>
          </w:p>
        </w:tc>
        <w:tc>
          <w:tcPr>
            <w:tcW w:w="3213" w:type="dxa"/>
          </w:tcPr>
          <w:p w14:paraId="65153AFF" w14:textId="77777777" w:rsidR="003D6A89" w:rsidRDefault="00000000">
            <w:r>
              <w:t>Trump runter</w:t>
            </w:r>
          </w:p>
        </w:tc>
        <w:tc>
          <w:tcPr>
            <w:tcW w:w="3213" w:type="dxa"/>
          </w:tcPr>
          <w:p w14:paraId="7A85277E" w14:textId="77777777" w:rsidR="003D6A89" w:rsidRDefault="00000000">
            <w:r>
              <w:t>-4.1</w:t>
            </w:r>
          </w:p>
        </w:tc>
      </w:tr>
      <w:tr w:rsidR="003D6A89" w14:paraId="6EEA4AE2" w14:textId="77777777">
        <w:tc>
          <w:tcPr>
            <w:tcW w:w="3213" w:type="dxa"/>
          </w:tcPr>
          <w:p w14:paraId="4A446769" w14:textId="77777777" w:rsidR="003D6A89" w:rsidRDefault="00000000">
            <w:r>
              <w:t>Biden–Trump-Debatte (28.06.)</w:t>
            </w:r>
          </w:p>
        </w:tc>
        <w:tc>
          <w:tcPr>
            <w:tcW w:w="3213" w:type="dxa"/>
          </w:tcPr>
          <w:p w14:paraId="3D401571" w14:textId="77777777" w:rsidR="003D6A89" w:rsidRDefault="00000000">
            <w:r>
              <w:t>neutral</w:t>
            </w:r>
          </w:p>
        </w:tc>
        <w:tc>
          <w:tcPr>
            <w:tcW w:w="3213" w:type="dxa"/>
          </w:tcPr>
          <w:p w14:paraId="5E8351E9" w14:textId="77777777" w:rsidR="003D6A89" w:rsidRDefault="00000000">
            <w:r>
              <w:t>+2.5</w:t>
            </w:r>
          </w:p>
        </w:tc>
      </w:tr>
      <w:tr w:rsidR="003D6A89" w14:paraId="2A3334EA" w14:textId="77777777">
        <w:tc>
          <w:tcPr>
            <w:tcW w:w="3213" w:type="dxa"/>
          </w:tcPr>
          <w:p w14:paraId="2D47A7E1" w14:textId="77777777" w:rsidR="003D6A89" w:rsidRDefault="00000000">
            <w:r>
              <w:t>Attentat auf Trump (13.07.)</w:t>
            </w:r>
          </w:p>
        </w:tc>
        <w:tc>
          <w:tcPr>
            <w:tcW w:w="3213" w:type="dxa"/>
          </w:tcPr>
          <w:p w14:paraId="31002C3F" w14:textId="77777777" w:rsidR="003D6A89" w:rsidRDefault="00000000">
            <w:r>
              <w:t>Trump rauf</w:t>
            </w:r>
          </w:p>
        </w:tc>
        <w:tc>
          <w:tcPr>
            <w:tcW w:w="3213" w:type="dxa"/>
          </w:tcPr>
          <w:p w14:paraId="6EAE27A1" w14:textId="77777777" w:rsidR="003D6A89" w:rsidRDefault="00000000">
            <w:r>
              <w:t>+7.2</w:t>
            </w:r>
          </w:p>
        </w:tc>
      </w:tr>
      <w:tr w:rsidR="003D6A89" w14:paraId="4295E13B" w14:textId="77777777">
        <w:tc>
          <w:tcPr>
            <w:tcW w:w="3213" w:type="dxa"/>
          </w:tcPr>
          <w:p w14:paraId="0981BE5E" w14:textId="77777777" w:rsidR="003D6A89" w:rsidRDefault="00000000">
            <w:r>
              <w:t>Vance als VP (15.07.)</w:t>
            </w:r>
          </w:p>
        </w:tc>
        <w:tc>
          <w:tcPr>
            <w:tcW w:w="3213" w:type="dxa"/>
          </w:tcPr>
          <w:p w14:paraId="5170C8F4" w14:textId="77777777" w:rsidR="003D6A89" w:rsidRDefault="00000000">
            <w:r>
              <w:t>neutral</w:t>
            </w:r>
          </w:p>
        </w:tc>
        <w:tc>
          <w:tcPr>
            <w:tcW w:w="3213" w:type="dxa"/>
          </w:tcPr>
          <w:p w14:paraId="6EDA2A4E" w14:textId="77777777" w:rsidR="003D6A89" w:rsidRDefault="00000000">
            <w:r>
              <w:t>+3.5</w:t>
            </w:r>
          </w:p>
        </w:tc>
      </w:tr>
      <w:tr w:rsidR="003D6A89" w14:paraId="5C728133" w14:textId="77777777">
        <w:tc>
          <w:tcPr>
            <w:tcW w:w="3213" w:type="dxa"/>
          </w:tcPr>
          <w:p w14:paraId="0AEE67AF" w14:textId="77777777" w:rsidR="003D6A89" w:rsidRDefault="00000000">
            <w:r>
              <w:t>Biden-Rückzug (21.07.)</w:t>
            </w:r>
          </w:p>
        </w:tc>
        <w:tc>
          <w:tcPr>
            <w:tcW w:w="3213" w:type="dxa"/>
          </w:tcPr>
          <w:p w14:paraId="770C507B" w14:textId="77777777" w:rsidR="003D6A89" w:rsidRDefault="00000000">
            <w:r>
              <w:t>Harris rauf</w:t>
            </w:r>
          </w:p>
        </w:tc>
        <w:tc>
          <w:tcPr>
            <w:tcW w:w="3213" w:type="dxa"/>
          </w:tcPr>
          <w:p w14:paraId="2E786975" w14:textId="77777777" w:rsidR="003D6A89" w:rsidRDefault="00000000">
            <w:r>
              <w:t>-1.7</w:t>
            </w:r>
          </w:p>
        </w:tc>
      </w:tr>
      <w:tr w:rsidR="003D6A89" w14:paraId="65C43948" w14:textId="77777777">
        <w:tc>
          <w:tcPr>
            <w:tcW w:w="3213" w:type="dxa"/>
          </w:tcPr>
          <w:p w14:paraId="2FD3573F" w14:textId="77777777" w:rsidR="003D6A89" w:rsidRDefault="00000000">
            <w:r>
              <w:t>Walz als VP (06.08.)</w:t>
            </w:r>
          </w:p>
        </w:tc>
        <w:tc>
          <w:tcPr>
            <w:tcW w:w="3213" w:type="dxa"/>
          </w:tcPr>
          <w:p w14:paraId="59C6DDEF" w14:textId="77777777" w:rsidR="003D6A89" w:rsidRDefault="00000000">
            <w:r>
              <w:t>neutral</w:t>
            </w:r>
          </w:p>
        </w:tc>
        <w:tc>
          <w:tcPr>
            <w:tcW w:w="3213" w:type="dxa"/>
          </w:tcPr>
          <w:p w14:paraId="3D3CEFB1" w14:textId="77777777" w:rsidR="003D6A89" w:rsidRDefault="00000000">
            <w:r>
              <w:t>+1.3</w:t>
            </w:r>
          </w:p>
        </w:tc>
      </w:tr>
      <w:tr w:rsidR="003D6A89" w14:paraId="1C1A8759" w14:textId="77777777">
        <w:tc>
          <w:tcPr>
            <w:tcW w:w="3213" w:type="dxa"/>
          </w:tcPr>
          <w:p w14:paraId="33D67325" w14:textId="77777777" w:rsidR="003D6A89" w:rsidRDefault="00000000">
            <w:r>
              <w:lastRenderedPageBreak/>
              <w:t>Harris–Trump-Debatte (11.09.)</w:t>
            </w:r>
          </w:p>
        </w:tc>
        <w:tc>
          <w:tcPr>
            <w:tcW w:w="3213" w:type="dxa"/>
          </w:tcPr>
          <w:p w14:paraId="450C332D" w14:textId="77777777" w:rsidR="003D6A89" w:rsidRDefault="00000000">
            <w:r>
              <w:t>neutral</w:t>
            </w:r>
          </w:p>
        </w:tc>
        <w:tc>
          <w:tcPr>
            <w:tcW w:w="3213" w:type="dxa"/>
          </w:tcPr>
          <w:p w14:paraId="00140BEF" w14:textId="77777777" w:rsidR="003D6A89" w:rsidRDefault="00000000">
            <w:r>
              <w:t>-2.9</w:t>
            </w:r>
          </w:p>
        </w:tc>
      </w:tr>
    </w:tbl>
    <w:p w14:paraId="40C72BAA" w14:textId="77777777" w:rsidR="003D6A89" w:rsidRDefault="00000000">
      <w:pPr>
        <w:pStyle w:val="Beschriftung"/>
      </w:pPr>
      <w:r>
        <w:t>Tabelle 3: H2 – Abnormale Veränderung im Primärfenster (0–1 Tag)</w:t>
      </w:r>
    </w:p>
    <w:p w14:paraId="33E2E111" w14:textId="77777777" w:rsidR="003D6A89" w:rsidRDefault="00000000">
      <w:pPr>
        <w:jc w:val="center"/>
      </w:pPr>
      <w:r>
        <w:rPr>
          <w:noProof/>
        </w:rPr>
        <w:drawing>
          <wp:inline distT="0" distB="0" distL="0" distR="0" wp14:anchorId="484F174A" wp14:editId="1D3D57B6">
            <wp:extent cx="5212080" cy="2606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h2_event_window_car.png"/>
                    <pic:cNvPicPr/>
                  </pic:nvPicPr>
                  <pic:blipFill>
                    <a:blip r:embed="rId22"/>
                    <a:stretch>
                      <a:fillRect/>
                    </a:stretch>
                  </pic:blipFill>
                  <pic:spPr>
                    <a:xfrm>
                      <a:off x="0" y="0"/>
                      <a:ext cx="5212080" cy="2606040"/>
                    </a:xfrm>
                    <a:prstGeom prst="rect">
                      <a:avLst/>
                    </a:prstGeom>
                  </pic:spPr>
                </pic:pic>
              </a:graphicData>
            </a:graphic>
          </wp:inline>
        </w:drawing>
      </w:r>
    </w:p>
    <w:p w14:paraId="21E10785" w14:textId="77777777" w:rsidR="003D6A89" w:rsidRDefault="00000000">
      <w:pPr>
        <w:pStyle w:val="Beschriftung"/>
      </w:pPr>
      <w:r>
        <w:t>Abbildung 4: H2-Ereignisfenster: abnormale Veränderung der Polymarket-Wahrscheinlichkeit im Primärfenster (0–1 Tag nach dem Ereignis), in Prozentpunkten je Ereignis. Abnormal bezeichnet die über das normale Vor-Ereignis-Bewegungsverhalten hinausgehende Veränderung; ein positiver Wert begünstigt Trump. Quelle:</w:t>
      </w:r>
      <w:r>
        <w:br/>
      </w:r>
      <w:r>
        <w:rPr>
          <w:i/>
        </w:rPr>
        <w:t>data/results/thesis_h2_event_window_car.png</w:t>
      </w:r>
      <w:r>
        <w:t>.</w:t>
      </w:r>
    </w:p>
    <w:p w14:paraId="50EA3196" w14:textId="77777777" w:rsidR="003D6A89" w:rsidRDefault="00000000">
      <w:pPr>
        <w:pStyle w:val="berschrift3"/>
      </w:pPr>
      <w:r>
        <w:rPr>
          <w:b/>
        </w:rPr>
        <w:t>Lesart der Abbildung.</w:t>
      </w:r>
    </w:p>
    <w:p w14:paraId="437D3124" w14:textId="77777777" w:rsidR="003D6A89" w:rsidRDefault="00000000">
      <w:r>
        <w:t>Abbildung 4 stellt je Ereignis die abnormale Veränderung im Primärfenster dar und ordnet sie nach Stärke und Richtung. Sichtbar wird ein abgestuftes Muster: das Attentat als deutlichster Ausschlag, die beiden anderen gerichteten Ereignisse als klar erwartungskonforme, aber kleinere Bewegungen, und die neutralen Ereignisse als gestreutes Band um null. Die Abbildung macht damit zweierlei sichtbar: dass der Markt auf gerichtete Ereignisse erwartungsgemäss reagiert, und dass auch ohne vorgezeichnete Richtung Bewegung entsteht, wie sie neue öffentliche Information erwarten lässt.</w:t>
      </w:r>
    </w:p>
    <w:p w14:paraId="34D31044" w14:textId="77777777" w:rsidR="003D6A89" w:rsidRDefault="00000000">
      <w:pPr>
        <w:pStyle w:val="berschrift3"/>
      </w:pPr>
      <w:r>
        <w:rPr>
          <w:b/>
        </w:rPr>
        <w:t>Einordnung.</w:t>
      </w:r>
    </w:p>
    <w:p w14:paraId="2023C08B" w14:textId="77777777" w:rsidR="003D6A89" w:rsidRDefault="00000000">
      <w:r>
        <w:t>Das Muster ist mit einer halbstrengen Markteffizienz vereinbar, bei der öffentliche Information zügig in den Preis einfliesst (Fama, 1970). Es handelt sich jedoch um eine deskriptive, gerichtete Reaktionsdiagnostik und nicht um einen Kausalnachweis: Die abnormale Veränderung zeigt, dass sich die Wahrscheinlichkeit um das Ereignis herum in plausibler Richtung bewegt, nicht, dass allein das Ereignis sie verursacht hat.</w:t>
      </w:r>
    </w:p>
    <w:p w14:paraId="169E650C" w14:textId="77777777" w:rsidR="003D6A89" w:rsidRDefault="00000000">
      <w:pPr>
        <w:pStyle w:val="berschrift3"/>
      </w:pPr>
      <w:r>
        <w:rPr>
          <w:b/>
        </w:rPr>
        <w:lastRenderedPageBreak/>
        <w:t>Limitation.</w:t>
      </w:r>
    </w:p>
    <w:p w14:paraId="55973AF3" w14:textId="77777777" w:rsidR="003D6A89" w:rsidRDefault="00000000">
      <w:r>
        <w:t>Die Analyse beruht auf Tagespreisen und kann keine Intraday-Reaktionszeit identifizieren, H2 stützt damit eine Aussage über tägliche Reaktionsmuster, nicht über sofortige Marktreaktion. Die sieben Ereignisse sind eine kleine, kuratierte Stichprobe ohne formalen Signifikanztest je Ereignis, und mehrere fielen in eine Phase dichter Nachrichtenlage, sodass sich Einflüsse überlagern können. Da die Ereignisse vorab fixiert wurden, besteht aber keine nachträgliche Auswahl nach sichtbaren Preisbewegungen.</w:t>
      </w:r>
    </w:p>
    <w:p w14:paraId="25BD61F5" w14:textId="77777777" w:rsidR="003D6A89" w:rsidRDefault="00000000">
      <w:pPr>
        <w:pStyle w:val="berschrift2"/>
      </w:pPr>
      <w:r>
        <w:t>H3: Wallet-Timing</w:t>
      </w:r>
    </w:p>
    <w:p w14:paraId="6D63BA22" w14:textId="77777777" w:rsidR="003D6A89" w:rsidRDefault="00000000">
      <w:r>
        <w:t>H3 untersucht, ob dataset-relative Wallet-Tiers zeitliche Aktivitätsmuster vor oder um Polymarket-Preisbewegungen zeigen. Die Tiers werden aus den beobachteten kumulierten Betragsperzentilen der Wallet-Verteilung abgeleitet, nicht über eine willkürliche USD-Schwelle (Tsang &amp; Yang, 2026; Rezabek, 2024). Die Timing-Diagnostik nutzt Lead-Lag-Korrelationen und Granger-Tests (Granger, 1969).</w:t>
      </w:r>
    </w:p>
    <w:p w14:paraId="25E8AB28" w14:textId="77777777" w:rsidR="003D6A89" w:rsidRDefault="00000000">
      <w:pPr>
        <w:pStyle w:val="berschrift3"/>
      </w:pPr>
      <w:r>
        <w:rPr>
          <w:b/>
        </w:rPr>
        <w:t>Wallet-Tiers.</w:t>
      </w:r>
    </w:p>
    <w:p w14:paraId="69FADA4C" w14:textId="77777777" w:rsidR="003D6A89" w:rsidRDefault="00000000">
      <w:r>
        <w:t>Abbildung 5 zeigt die verteilungsbasierten Tiers und ihre Besetzung. Das oberste Tier umfasst das oberste eine Prozent der Wallets (32 Adressen im beobachteten, BUY-seitigen Datensatz). Die Tiers sind damit relativ zum Datensatz definiert und tragen keine externe Schwelle.</w:t>
      </w:r>
    </w:p>
    <w:p w14:paraId="57957B5C" w14:textId="77777777" w:rsidR="003D6A89" w:rsidRDefault="00000000">
      <w:pPr>
        <w:jc w:val="center"/>
      </w:pPr>
      <w:r>
        <w:rPr>
          <w:noProof/>
        </w:rPr>
        <w:drawing>
          <wp:inline distT="0" distB="0" distL="0" distR="0" wp14:anchorId="555AB530" wp14:editId="13E5C4A3">
            <wp:extent cx="5212080" cy="2895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h3_wallet_tier_counts.png"/>
                    <pic:cNvPicPr/>
                  </pic:nvPicPr>
                  <pic:blipFill>
                    <a:blip r:embed="rId23"/>
                    <a:stretch>
                      <a:fillRect/>
                    </a:stretch>
                  </pic:blipFill>
                  <pic:spPr>
                    <a:xfrm>
                      <a:off x="0" y="0"/>
                      <a:ext cx="5212080" cy="2895600"/>
                    </a:xfrm>
                    <a:prstGeom prst="rect">
                      <a:avLst/>
                    </a:prstGeom>
                  </pic:spPr>
                </pic:pic>
              </a:graphicData>
            </a:graphic>
          </wp:inline>
        </w:drawing>
      </w:r>
    </w:p>
    <w:p w14:paraId="1CAA6BE4" w14:textId="77777777" w:rsidR="003D6A89" w:rsidRDefault="00000000">
      <w:pPr>
        <w:pStyle w:val="Beschriftung"/>
      </w:pPr>
      <w:r>
        <w:t xml:space="preserve">Abbildung 5: H3-Wallet-Tiers: dataset-relative Grössenklassen der Wallets, abgeleitet aus den kumulierten Betragsperzentilen statt aus einer festen Dollar-Schwelle, mit ihrer Besetzung. Das oberste Tier </w:t>
      </w:r>
      <w:r>
        <w:lastRenderedPageBreak/>
        <w:t>ist das oberste 1 Prozent der Wallets (32 Adressen im BUY-seitigen Datensatz). Quelle:</w:t>
      </w:r>
      <w:r>
        <w:br/>
      </w:r>
      <w:r>
        <w:rPr>
          <w:i/>
        </w:rPr>
        <w:t>data/results/thesis_h3_wallet_tier_counts.png</w:t>
      </w:r>
      <w:r>
        <w:t>.</w:t>
      </w:r>
    </w:p>
    <w:p w14:paraId="50F9B9C8" w14:textId="77777777" w:rsidR="003D6A89" w:rsidRDefault="00000000">
      <w:pPr>
        <w:pStyle w:val="berschrift3"/>
      </w:pPr>
      <w:r>
        <w:rPr>
          <w:b/>
        </w:rPr>
        <w:t>Klarstes Muster im obersten Tier.</w:t>
      </w:r>
    </w:p>
    <w:p w14:paraId="17591117" w14:textId="77777777" w:rsidR="003D6A89" w:rsidRDefault="00000000">
      <w:r>
        <w:t>Das oberste Tier zeigt die deutlichste deterministische Timing-Struktur: eine Lag-1-Korrelation von 0.186 zwischen Tier-Aktivität und nachfolgenden Preisänderungen und einen minimalen Granger-p-Wert von 0.0012 über 1216 ausgerichtete Tageszeilen (Abbildung 6). Das ist ein prädiktives Timing-Signal unter den getesteten Modellannahmen, kein Nachweis von Kausalität oder privater Information (Hanson, 2007).</w:t>
      </w:r>
    </w:p>
    <w:p w14:paraId="4EF15441" w14:textId="77777777" w:rsidR="003D6A89" w:rsidRDefault="00000000">
      <w:pPr>
        <w:jc w:val="center"/>
      </w:pPr>
      <w:r>
        <w:rPr>
          <w:noProof/>
        </w:rPr>
        <w:drawing>
          <wp:inline distT="0" distB="0" distL="0" distR="0" wp14:anchorId="70B55EA7" wp14:editId="78FD2AC5">
            <wp:extent cx="5212080" cy="27797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h3_granger_pvalues.png"/>
                    <pic:cNvPicPr/>
                  </pic:nvPicPr>
                  <pic:blipFill>
                    <a:blip r:embed="rId24"/>
                    <a:stretch>
                      <a:fillRect/>
                    </a:stretch>
                  </pic:blipFill>
                  <pic:spPr>
                    <a:xfrm>
                      <a:off x="0" y="0"/>
                      <a:ext cx="5212080" cy="2779776"/>
                    </a:xfrm>
                    <a:prstGeom prst="rect">
                      <a:avLst/>
                    </a:prstGeom>
                  </pic:spPr>
                </pic:pic>
              </a:graphicData>
            </a:graphic>
          </wp:inline>
        </w:drawing>
      </w:r>
    </w:p>
    <w:p w14:paraId="1B3A2499" w14:textId="77777777" w:rsidR="003D6A89" w:rsidRDefault="00000000">
      <w:pPr>
        <w:pStyle w:val="Beschriftung"/>
      </w:pPr>
      <w:r>
        <w:t>Abbildung 6: H3-Granger-Diagnostik je Tier: kleinster Granger-p-Wert je Tier. Der Granger-Test prüft, ob vergangene Tier-Aktivität die Preisänderung über deren eigene Vergangenheit hinaus vorhersagt; ein kleiner p-Wert (unter 0.05) zeigt prädiktiven Vorlauf, nicht Kausalität. Quelle:</w:t>
      </w:r>
      <w:r>
        <w:br/>
      </w:r>
      <w:r>
        <w:rPr>
          <w:i/>
        </w:rPr>
        <w:t>data/results/thesis_h3_granger_pvalues.png</w:t>
      </w:r>
      <w:r>
        <w:t>.</w:t>
      </w:r>
    </w:p>
    <w:p w14:paraId="209AB309" w14:textId="77777777" w:rsidR="003D6A89" w:rsidRDefault="00000000">
      <w:pPr>
        <w:pStyle w:val="berschrift3"/>
      </w:pPr>
      <w:r>
        <w:rPr>
          <w:b/>
        </w:rPr>
        <w:t>Deskriptives Lead-Time-Profil.</w:t>
      </w:r>
    </w:p>
    <w:p w14:paraId="69D3359C" w14:textId="77777777" w:rsidR="003D6A89" w:rsidRDefault="00000000">
      <w:r>
        <w:t>Abbildung 7 stellt die Lead-Time der Tier-Aktivität relativ zu ausgewählten Bewegungen dar. Das Profil ist rein deskriptiv und beschreibt, wie sich beobachtete Aktivität zeitlich um Preisänderungen verteilt, ohne eine Wirkungsrichtung zu behaupten.</w:t>
      </w:r>
    </w:p>
    <w:p w14:paraId="66BC9D9A" w14:textId="77777777" w:rsidR="003D6A89" w:rsidRDefault="00000000">
      <w:pPr>
        <w:jc w:val="center"/>
      </w:pPr>
      <w:r>
        <w:rPr>
          <w:noProof/>
        </w:rPr>
        <w:lastRenderedPageBreak/>
        <w:drawing>
          <wp:inline distT="0" distB="0" distL="0" distR="0" wp14:anchorId="235EBC62" wp14:editId="046DB5FA">
            <wp:extent cx="5212080" cy="31272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h3_lead_time_amount.png"/>
                    <pic:cNvPicPr/>
                  </pic:nvPicPr>
                  <pic:blipFill>
                    <a:blip r:embed="rId25"/>
                    <a:stretch>
                      <a:fillRect/>
                    </a:stretch>
                  </pic:blipFill>
                  <pic:spPr>
                    <a:xfrm>
                      <a:off x="0" y="0"/>
                      <a:ext cx="5212080" cy="3127248"/>
                    </a:xfrm>
                    <a:prstGeom prst="rect">
                      <a:avLst/>
                    </a:prstGeom>
                  </pic:spPr>
                </pic:pic>
              </a:graphicData>
            </a:graphic>
          </wp:inline>
        </w:drawing>
      </w:r>
    </w:p>
    <w:p w14:paraId="6CF7076A" w14:textId="77777777" w:rsidR="003D6A89" w:rsidRDefault="00000000">
      <w:pPr>
        <w:pStyle w:val="Beschriftung"/>
      </w:pPr>
      <w:r>
        <w:t>Abbildung 7: H3-Lead-Time-Profil (deskriptiv): zeitlicher Abstand zwischen Tier-Aktivität und Preisbewegung. Eine positive Lead-Time bedeutet, dass die Aktivität der Preisänderung vorausläuft; rein beschreibend, ohne Aussage zur Wirkungsrichtung. Quelle:</w:t>
      </w:r>
      <w:r>
        <w:br/>
      </w:r>
      <w:r>
        <w:rPr>
          <w:i/>
        </w:rPr>
        <w:t>data/results/thesis_h3_lead_time_amount.png</w:t>
      </w:r>
      <w:r>
        <w:t>.</w:t>
      </w:r>
    </w:p>
    <w:tbl>
      <w:tblPr>
        <w:tblStyle w:val="Tabellenraster"/>
        <w:tblW w:w="0" w:type="auto"/>
        <w:tblLook w:val="04A0" w:firstRow="1" w:lastRow="0" w:firstColumn="1" w:lastColumn="0" w:noHBand="0" w:noVBand="1"/>
      </w:tblPr>
      <w:tblGrid>
        <w:gridCol w:w="2407"/>
        <w:gridCol w:w="2407"/>
        <w:gridCol w:w="2407"/>
        <w:gridCol w:w="2407"/>
      </w:tblGrid>
      <w:tr w:rsidR="003D6A89" w14:paraId="29860E51" w14:textId="77777777">
        <w:tc>
          <w:tcPr>
            <w:tcW w:w="2409" w:type="dxa"/>
          </w:tcPr>
          <w:p w14:paraId="5BE471FB" w14:textId="77777777" w:rsidR="003D6A89" w:rsidRDefault="00000000">
            <w:r>
              <w:t>Tier</w:t>
            </w:r>
          </w:p>
        </w:tc>
        <w:tc>
          <w:tcPr>
            <w:tcW w:w="2409" w:type="dxa"/>
          </w:tcPr>
          <w:p w14:paraId="65F5896A" w14:textId="77777777" w:rsidR="003D6A89" w:rsidRDefault="00000000">
            <w:r>
              <w:t>Lag-1-Korrelation</w:t>
            </w:r>
          </w:p>
        </w:tc>
        <w:tc>
          <w:tcPr>
            <w:tcW w:w="2409" w:type="dxa"/>
          </w:tcPr>
          <w:p w14:paraId="17A5A28B" w14:textId="77777777" w:rsidR="003D6A89" w:rsidRDefault="00000000">
            <w:r>
              <w:t>Granger-p (min)</w:t>
            </w:r>
          </w:p>
        </w:tc>
        <w:tc>
          <w:tcPr>
            <w:tcW w:w="2409" w:type="dxa"/>
          </w:tcPr>
          <w:p w14:paraId="48596BB6" w14:textId="77777777" w:rsidR="003D6A89" w:rsidRDefault="00000000">
            <w:r>
              <w:t>ausgerichtete Zeilen</w:t>
            </w:r>
          </w:p>
        </w:tc>
      </w:tr>
      <w:tr w:rsidR="003D6A89" w14:paraId="2F0E7DA5" w14:textId="77777777">
        <w:tc>
          <w:tcPr>
            <w:tcW w:w="2409" w:type="dxa"/>
          </w:tcPr>
          <w:p w14:paraId="16E0142B" w14:textId="77777777" w:rsidR="003D6A89" w:rsidRDefault="00000000">
            <w:r>
              <w:t>Oberstes 1%-Tier</w:t>
            </w:r>
          </w:p>
        </w:tc>
        <w:tc>
          <w:tcPr>
            <w:tcW w:w="2409" w:type="dxa"/>
          </w:tcPr>
          <w:p w14:paraId="2D7267D3" w14:textId="77777777" w:rsidR="003D6A89" w:rsidRDefault="00000000">
            <w:r>
              <w:t>0.186</w:t>
            </w:r>
          </w:p>
        </w:tc>
        <w:tc>
          <w:tcPr>
            <w:tcW w:w="2409" w:type="dxa"/>
          </w:tcPr>
          <w:p w14:paraId="1905D7F5" w14:textId="77777777" w:rsidR="003D6A89" w:rsidRDefault="00000000">
            <w:r>
              <w:t>0.0012</w:t>
            </w:r>
          </w:p>
        </w:tc>
        <w:tc>
          <w:tcPr>
            <w:tcW w:w="2409" w:type="dxa"/>
          </w:tcPr>
          <w:p w14:paraId="103A7E5D" w14:textId="77777777" w:rsidR="003D6A89" w:rsidRDefault="00000000">
            <w:r>
              <w:t>1216</w:t>
            </w:r>
          </w:p>
        </w:tc>
      </w:tr>
    </w:tbl>
    <w:p w14:paraId="59F6DDD5" w14:textId="77777777" w:rsidR="003D6A89" w:rsidRDefault="00000000">
      <w:pPr>
        <w:pStyle w:val="Beschriftung"/>
      </w:pPr>
      <w:r>
        <w:t>Tabelle 4: H3 – Wallet-Tier-Timing-Diagnostik</w:t>
      </w:r>
    </w:p>
    <w:p w14:paraId="6EA92BBD" w14:textId="77777777" w:rsidR="003D6A89" w:rsidRDefault="00000000">
      <w:pPr>
        <w:pStyle w:val="berschrift3"/>
      </w:pPr>
      <w:r>
        <w:rPr>
          <w:b/>
        </w:rPr>
        <w:t>Ereignis-Wallet-Anomalien als deskriptive Diagnostik</w:t>
      </w:r>
    </w:p>
    <w:p w14:paraId="6AFFD90F" w14:textId="77777777" w:rsidR="003D6A89" w:rsidRDefault="00000000">
      <w:r>
        <w:t>Auf derselben Datenbasis prüft eine deterministische Anomalie-Diagnostik, ob sich um die kuratierten Ereignisse auffällige Aktivitäts-, Bewegungs- oder Konzentrationsmuster zeigen. Eine Tagesbeobachtung gilt als auffällig, wenn ihr robuster z-Wert mindestens 2.0 erreicht oder ihr Perzentilrang mindestens 0.95 beträgt, gemessen gegen ein Basisfenster von 30 bis 8 Tagen vor dem Ereignis und ein Ereignisfenster von einem Tag davor bis drei Tage danach. Die Diagnostik betrachtet vier Familien: aktive Wallets je Tier, absolute Marktbewegung, Top-Tier-Konzentration und Tier-Betragssumme.</w:t>
      </w:r>
    </w:p>
    <w:p w14:paraId="743707C3" w14:textId="77777777" w:rsidR="003D6A89" w:rsidRDefault="00000000">
      <w:r>
        <w:t>Als Beispiel zeigt die Verurteilung im Schweigegeld-Prozess vom 30. Mai 2024 im Basis-Tier eine deutliche Aktiv-Wallet-Auffälligkeit (z = 3.5, Perzentilrang 1.0, zwei auffällige Tage) sowie eine auffällige Marktbewegung (Perzentilrang 0.96, ein Tag). Abbildung 8 fasst über alle sieben Ereignisse zusammen, welche Familien an welchen Ereignissen auffällige Tage aufweisen.</w:t>
      </w:r>
    </w:p>
    <w:p w14:paraId="7E31B2A8" w14:textId="77777777" w:rsidR="003D6A89" w:rsidRDefault="00000000">
      <w:pPr>
        <w:jc w:val="center"/>
      </w:pPr>
      <w:r>
        <w:rPr>
          <w:noProof/>
        </w:rPr>
        <w:lastRenderedPageBreak/>
        <w:drawing>
          <wp:inline distT="0" distB="0" distL="0" distR="0" wp14:anchorId="7FEAD809" wp14:editId="6F6ED584">
            <wp:extent cx="5212080" cy="25017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h3_event_wallet_anomalies.png"/>
                    <pic:cNvPicPr/>
                  </pic:nvPicPr>
                  <pic:blipFill>
                    <a:blip r:embed="rId26"/>
                    <a:stretch>
                      <a:fillRect/>
                    </a:stretch>
                  </pic:blipFill>
                  <pic:spPr>
                    <a:xfrm>
                      <a:off x="0" y="0"/>
                      <a:ext cx="5212080" cy="2501798"/>
                    </a:xfrm>
                    <a:prstGeom prst="rect">
                      <a:avLst/>
                    </a:prstGeom>
                  </pic:spPr>
                </pic:pic>
              </a:graphicData>
            </a:graphic>
          </wp:inline>
        </w:drawing>
      </w:r>
    </w:p>
    <w:p w14:paraId="539FC9BF" w14:textId="77777777" w:rsidR="003D6A89" w:rsidRDefault="00000000">
      <w:pPr>
        <w:pStyle w:val="Beschriftung"/>
      </w:pPr>
      <w:r>
        <w:t xml:space="preserve">Abbildung 8: H3-Ereignis-Wallet-Anomalien (deskriptiv): je Ereignis und Anomalie-Familie (aktive Wallets, Marktbewegung, Top-Tier-Konzentration, Tier-Betragssumme), welche Familien im Ereignisfenster auffällige Tage zeigen. Auffällig heisst ein robuster z-Wert ab 2.0 oder ein Perzentilrang ab 0.95 gegenüber dem Vor-Ereignis-Basisfenster. Quelle: </w:t>
      </w:r>
      <w:r>
        <w:rPr>
          <w:i/>
        </w:rPr>
        <w:t>data/results/thesis_h3_event_wallet_anomalies.png</w:t>
      </w:r>
      <w:r>
        <w:t>.</w:t>
      </w:r>
    </w:p>
    <w:p w14:paraId="340B81D3" w14:textId="77777777" w:rsidR="003D6A89" w:rsidRDefault="00000000">
      <w:pPr>
        <w:pStyle w:val="berschrift3"/>
      </w:pPr>
      <w:r>
        <w:rPr>
          <w:b/>
        </w:rPr>
        <w:t>Was die Diagnostik nicht ist.</w:t>
      </w:r>
    </w:p>
    <w:p w14:paraId="38804289" w14:textId="77777777" w:rsidR="003D6A89" w:rsidRDefault="00000000">
      <w:r>
        <w:t>Die Diagnostik arbeitet ausschliesslich mit aggregierten Tier-Zählungen und gibt keine Wallet-Adressen aus. Sie ist als historische, deskriptive Auffälligkeits-Diagnostik zu lesen und liefert Prüf-Hinweise, kein Beweis von privater Information, Insiderhandel, Fehlverhalten, Kausalität oder Profitabilität. Die spätere Review-Schicht, die solche Hinweise einordnet, wird in Kapitel 4 beschrieben.</w:t>
      </w:r>
    </w:p>
    <w:p w14:paraId="2B85552B" w14:textId="77777777" w:rsidR="003D6A89" w:rsidRDefault="00000000">
      <w:pPr>
        <w:pStyle w:val="berschrift3"/>
      </w:pPr>
      <w:r>
        <w:rPr>
          <w:b/>
        </w:rPr>
        <w:t>Limitation.</w:t>
      </w:r>
    </w:p>
    <w:p w14:paraId="35210C77" w14:textId="77777777" w:rsidR="003D6A89" w:rsidRDefault="00000000">
      <w:r>
        <w:t>Die Wallet-Daten enthalten nur Kauftransaktionen und sind quellseitig gefiltert, die Ausrichtung erfolgt auf Tagesebene, und über mehrere Tiers und Lags hinweg besteht ein Multiple-Testing-Problem. Die Granger- und Anomalie-Ausgaben sind deshalb als prädiktive Timing- und Auffälligkeits-Diagnostik zu lesen, nicht als Beweis von Kausalität, privater Information oder Profitabilität.</w:t>
      </w:r>
    </w:p>
    <w:p w14:paraId="4FE813C3" w14:textId="77777777" w:rsidR="003D6A89" w:rsidRDefault="00000000">
      <w:pPr>
        <w:pStyle w:val="berschrift3"/>
      </w:pPr>
      <w:r>
        <w:rPr>
          <w:b/>
        </w:rPr>
        <w:t>Signaturen informierten Handels und ein Verdachts-Profil</w:t>
      </w:r>
    </w:p>
    <w:p w14:paraId="154AF436" w14:textId="77777777" w:rsidR="003D6A89" w:rsidRDefault="00000000">
      <w:r>
        <w:t xml:space="preserve">Forschung und Praxis nennen wiederkehrende Signaturen informierten oder Insider-Handels: frische Wallets mit wenigen Lebenstransaktionen, die grosse Positionen eingehen, ungewöhnliche Positionsgrösse vor noch nicht angekündigten Ausgängen, abnormale Handelsgrösse und Volumen, hohe Konzentration und einseitiger Fluss sowie Aktivität, die sich gegen die Marktauflösung verdichtet. Akademisch zeigt Delvecchio (2026) für Kalshi-Märkte, dass informierter Handel real und über eine Abnormal-Trade-Size-Kennzahl detektierbar ist und sich gegen die Auflösung verstärkt, im </w:t>
      </w:r>
      <w:r>
        <w:lastRenderedPageBreak/>
        <w:t>Einklang mit dem Insider-Modell von Kyle (1985). Praktisch setzt Polymarket eine On-Chain-Überwachung ein, die unter anderem ungewöhnliche Positionsgrösse vor Ergebnissen und auffällige Wallets flaggt (Decrypt, 2026), gestützt auf forensische Heuristiken wie Funding-Quellen und Wallet-Clustering (Chainalysis, 2024). Konzeptionell rahmt Hanson (2007) Insiderhandel in Prognosemärkten.</w:t>
      </w:r>
    </w:p>
    <w:p w14:paraId="77878352" w14:textId="77777777" w:rsidR="003D6A89" w:rsidRDefault="00000000">
      <w:pPr>
        <w:pStyle w:val="berschrift3"/>
      </w:pPr>
      <w:r>
        <w:rPr>
          <w:b/>
        </w:rPr>
        <w:t>Profil aus dem getesteten Signatur-Modul.</w:t>
      </w:r>
    </w:p>
    <w:p w14:paraId="24C5DA79" w14:textId="77777777" w:rsidR="003D6A89" w:rsidRDefault="00000000">
      <w:r>
        <w:t>Dieselben Signaturen werden in einem deterministischen, getesteten Modul (</w:t>
      </w:r>
      <w:r>
        <w:rPr>
          <w:i/>
        </w:rPr>
        <w:t>informed_trading_signature</w:t>
      </w:r>
      <w:r>
        <w:t xml:space="preserve">) auf den BUY-seitigen Whale-Datensatz (ab 10 000 USD) anwenden. In den sieben Ereignisfenstern dominieren neu erscheinende Wallets. Im Median traten 54% der aktiven Wallets erst um das Ereignis herum erstmals auf (Spanne 48–69%), bei einer Top-1-Konzentration von im Median 64% (54–81%) und gegenüber der Vorperiode erhöhter Aktivität und erhöhtem Volumen (Abbildung 9). Das Modul fasst die Einzel-Signaturen perzentil-normalisiert zu einem </w:t>
      </w:r>
      <w:r>
        <w:rPr>
          <w:i/>
        </w:rPr>
        <w:t>suspicion_score</w:t>
      </w:r>
      <w:r>
        <w:t xml:space="preserve"> zusammen (Spanne 0.10–0.81, Median 0.55). Dieses Muster deckt sich mit der Literatur-Signatur aus frischen Wallets, grosser Positionsgrösse und Konzentration.</w:t>
      </w:r>
    </w:p>
    <w:p w14:paraId="555B2D32" w14:textId="77777777" w:rsidR="003D6A89" w:rsidRDefault="00000000">
      <w:pPr>
        <w:jc w:val="center"/>
      </w:pPr>
      <w:r>
        <w:rPr>
          <w:noProof/>
        </w:rPr>
        <w:drawing>
          <wp:inline distT="0" distB="0" distL="0" distR="0" wp14:anchorId="0A0219B9" wp14:editId="0DA18FEC">
            <wp:extent cx="5212080" cy="26639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_informed_trading_profile.png"/>
                    <pic:cNvPicPr/>
                  </pic:nvPicPr>
                  <pic:blipFill>
                    <a:blip r:embed="rId27"/>
                    <a:stretch>
                      <a:fillRect/>
                    </a:stretch>
                  </pic:blipFill>
                  <pic:spPr>
                    <a:xfrm>
                      <a:off x="0" y="0"/>
                      <a:ext cx="5212080" cy="2663952"/>
                    </a:xfrm>
                    <a:prstGeom prst="rect">
                      <a:avLst/>
                    </a:prstGeom>
                  </pic:spPr>
                </pic:pic>
              </a:graphicData>
            </a:graphic>
          </wp:inline>
        </w:drawing>
      </w:r>
    </w:p>
    <w:p w14:paraId="25E1BDD1" w14:textId="77777777" w:rsidR="003D6A89" w:rsidRDefault="00000000">
      <w:pPr>
        <w:pStyle w:val="Beschriftung"/>
      </w:pPr>
      <w:r>
        <w:t>Abbildung 9: H3-Signatur-Profil je Ereignisfenster: Anteil neuer Wallets (im Fenster erstmals aktiv), Top-1-Konzentration (Anteil der grössten Wallet am Fenster-Volumen) und Fenster-Volumen je Ereignis (BUY-only, ab 10 000 USD).</w:t>
      </w:r>
      <w:r>
        <w:br/>
        <w:t xml:space="preserve">Quelle: </w:t>
      </w:r>
      <w:r>
        <w:rPr>
          <w:i/>
        </w:rPr>
        <w:t>data/results/h3_informed_trading_signature.csv</w:t>
      </w:r>
      <w:r>
        <w:t>.</w:t>
      </w:r>
    </w:p>
    <w:p w14:paraId="603BCEEB" w14:textId="77777777" w:rsidR="003D6A89" w:rsidRDefault="00000000">
      <w:pPr>
        <w:pStyle w:val="berschrift3"/>
      </w:pPr>
      <w:r>
        <w:rPr>
          <w:b/>
        </w:rPr>
        <w:t>Verdachts-Profil als Hypothese.</w:t>
      </w:r>
    </w:p>
    <w:p w14:paraId="717DFEF6" w14:textId="77777777" w:rsidR="003D6A89" w:rsidRDefault="00000000">
      <w:r>
        <w:t xml:space="preserve">Daraus folgt ein Verdachts-Profil, das als Hypothese und Prüf-Filter dient. Ein Ereignisfenster ist prüfwürdig, wenn mehrere Signaturen gemeinsam auftreten – ein hoher Anteil neuer Wallets, hohe Konzentration, abnormale Aktiv-Wallet- und Volumen-Werte aus Abschnitt 2.5 sowie ein Vorlauf der </w:t>
      </w:r>
      <w:r>
        <w:lastRenderedPageBreak/>
        <w:t>Tier-Aktivität vor der Preisbewegung aus der Lead-Lag- und Granger-Diagnostik. Genau diese Kombination speist die Review-Queue in Kapitel 4.</w:t>
      </w:r>
    </w:p>
    <w:p w14:paraId="09AB0B4C" w14:textId="77777777" w:rsidR="003D6A89" w:rsidRDefault="00000000">
      <w:pPr>
        <w:pStyle w:val="berschrift3"/>
      </w:pPr>
      <w:r>
        <w:rPr>
          <w:b/>
        </w:rPr>
        <w:t>Was das Profil nicht beweist.</w:t>
      </w:r>
    </w:p>
    <w:p w14:paraId="01DD13B1" w14:textId="77777777" w:rsidR="003D6A89" w:rsidRDefault="00000000">
      <w:r>
        <w:t>Ein hoher Anteil neuer Wallets ist kein Insider-Nachweis. Aufmerksamkeitsstarke Ereignisse ziehen allgemein neue Teilnehmer an, frische Adressen entstehen auch aus Datenschutz- oder Komfortgründen, und der Datensatz ist BUY-only und ab 10 000 USD gefiltert, was den Anteil neuer Wallets mechanisch erhöht. Zudem zeigen Tsang und Yang (2026) für die Oktober-Episode 2024, dass Kapital auf beide Marktseiten floss, vereinbar mit heterogenen Erwartungen statt Manipulation. Das Profil bleibt damit eine Verdachts-Hypothese und ein Prüf-Filter, kein Nachweis privater Information.</w:t>
      </w:r>
    </w:p>
    <w:p w14:paraId="19491FCE" w14:textId="77777777" w:rsidR="003D6A89" w:rsidRDefault="00000000">
      <w:pPr>
        <w:pStyle w:val="berschrift3"/>
      </w:pPr>
      <w:r>
        <w:rPr>
          <w:b/>
        </w:rPr>
        <w:t>Was die Diagnostik härten würde.</w:t>
      </w:r>
    </w:p>
    <w:p w14:paraId="2555E5A6" w14:textId="77777777" w:rsidR="003D6A89" w:rsidRDefault="00000000">
      <w:r>
        <w:t>Zur Härtung fehlen deterministische, getestete Merkmale: die Funding-Quelle der Wallets (zentrale Börse oder Mixer), Wallet-Lebensdauer und Transaktionszahl, einseitiger Fluss je Markt, der Vorlauf gegenüber verifizierten Nachrichten-Zeitstempeln und ein Out-of-Sample-Test gegen die wenigen dokumentierten Insider-Fälle. Diese Erweiterungen sind als Spezifikation vermerkt und bleiben an die Audit- und Wallet-Adress-Grenzen gebunden.</w:t>
      </w:r>
    </w:p>
    <w:p w14:paraId="6B57EA8B" w14:textId="77777777" w:rsidR="003D6A89" w:rsidRDefault="00000000">
      <w:pPr>
        <w:pStyle w:val="berschrift1"/>
      </w:pPr>
      <w:r>
        <w:lastRenderedPageBreak/>
        <w:t>Schlussfolgerung aus der Analyse</w:t>
      </w:r>
    </w:p>
    <w:p w14:paraId="26CDBD26" w14:textId="77777777" w:rsidR="003D6A89" w:rsidRDefault="00000000">
      <w:pPr>
        <w:pStyle w:val="berschrift2"/>
      </w:pPr>
      <w:r>
        <w:t>Synthese der drei Hypothesen</w:t>
      </w:r>
    </w:p>
    <w:p w14:paraId="3DDE2EF3" w14:textId="77777777" w:rsidR="003D6A89" w:rsidRDefault="00000000">
      <w:r>
        <w:t>Die drei Hypothesen ergeben ein konsistentes, aber bewusst begrenztes Bild. H1 zeigt eine bessere Prognosequalität von Polymarket nur in einem klar definierten Vergleichsscope: In der nationalen Tagesreihe trägt Polymarket den tieferen mittleren Brier-Verlust (0.230 gegen 0.332 von FiveThirtyEight), und auf Bundesstaaten-Ebene stützen 262 von 285 Zeilen sowie 9 von 9 Staaten den Vorteil (exakter Binomialtest, p = 0.0020). Die breite Überlegenheit bleibt jedoch ungedeckt, und das volle State-Date-Panel ist ein Gegenbeispiel. H2 zeigt plausible Tagesreaktionen auf die sieben vorab kuratierten Ereignisse, am deutlichsten beim Attentat auf Trump (+7.2 Prozentpunkte), während die neutral kuratierten Ereignisse erwartungsgemäss streuen. H3 findet das klarste prädiktive Timing-Muster im obersten Wallet-Tier (Lag-1-Korrelation 0.186, minimaler Granger-p-Wert 0.0012 über 1216 ausgerichtete Zeilen). Zusammengenommen stützen die Befunde begrenzte, scope-spezifische Diagnosen informationeller Effizienz, keine universelle Aussage.</w:t>
      </w:r>
    </w:p>
    <w:p w14:paraId="0FBBF972" w14:textId="77777777" w:rsidR="003D6A89" w:rsidRDefault="00000000">
      <w:pPr>
        <w:pStyle w:val="berschrift2"/>
      </w:pPr>
      <w:r>
        <w:t>Stützende Evidenz ausserhalb der Hypothesen</w:t>
      </w:r>
    </w:p>
    <w:p w14:paraId="395D43BC" w14:textId="77777777" w:rsidR="003D6A89" w:rsidRDefault="00000000">
      <w:r>
        <w:t>Zwei weitere Beobachtungen fügen sich in dieses Bild. Erstens deckt sich der paper-only Arbitrage-Befund (Kapitel 4) mit weitgehend effizienten Märkten: Saubere strukturelle Arbitragen sind selten, die wenigen echten Cross-Venue-Fälle sind kleine Carry-Trades, und die kaum robust ausnutzbare Ineffizienz ist selbst ein Effizienz-Indiz. Zweitens lag Polymarket in der Schweizer Referendums-Fallstudie als binäre Wahrscheinlichkeit auf der richtigen Seite des Resultats; dies ist jedoch ein transparenter Proxy und ein einzelner, frischer Datenpunkt ausserhalb der US-Wahl, keine Verallgemeinerung.</w:t>
      </w:r>
    </w:p>
    <w:p w14:paraId="49FC5B6A" w14:textId="77777777" w:rsidR="003D6A89" w:rsidRDefault="00000000">
      <w:pPr>
        <w:pStyle w:val="berschrift2"/>
      </w:pPr>
      <w:r>
        <w:t>Einordnung in die Literatur</w:t>
      </w:r>
    </w:p>
    <w:p w14:paraId="714BBC5C" w14:textId="77777777" w:rsidR="003D6A89" w:rsidRDefault="00000000">
      <w:r>
        <w:t>Der begrenzte H1-Vorteil ist mit Cutting et al. (2025) vereinbar, die einen Polymarket-Vorteil besonders in Swing States berichten, zugleich aber zur Vorsicht bei Verallgemeinerung mahnen. Das Gegenbeispiel im vollen Panel passt zur kritischen Lesart von Wu (2024), wonach Prognosemärkte reflexiv statt eine «Truth Machine» sind, sowie zur gemischten plattformübergreifenden Evidenz für 2024 (Clinton &amp; Huang, 2025). Die Vorsicht bei H3 deckt sich mit Tsang und Yang (2026), deren Grosskonto-Befund heterogene Erwartungen statt Manipulation nahelegt, und mit der Insider-Rahmung von Kyle (1985) und Delvecchio (2026). Insgesamt verarbeiten die Märkte Information innerhalb von Grenzen gut, vereinbar mit einer halbstrengen Effizienzlesart (Fama, 1970), ohne dass Preis und Wahrscheinlichkeit unbesehen gleichzusetzen wären (Manski, 2006).</w:t>
      </w:r>
    </w:p>
    <w:p w14:paraId="018600E0" w14:textId="77777777" w:rsidR="003D6A89" w:rsidRDefault="00000000">
      <w:pPr>
        <w:pStyle w:val="berschrift2"/>
      </w:pPr>
      <w:r>
        <w:lastRenderedPageBreak/>
        <w:t>Folgerung für die Forschungsfrage</w:t>
      </w:r>
    </w:p>
    <w:p w14:paraId="0CDC30C6" w14:textId="77777777" w:rsidR="003D6A89" w:rsidRDefault="00000000">
      <w:r>
        <w:t>Aus der Analyse folgt, dass Polymarket im untersuchten Kontext Information nachweisbar gut verarbeitet, aber nur in klar abgegrenzten Fällen messbar besser als traditionelle Quellen. Diese begrenzte, doch belastbare Diagnose ist der eigentliche Beitrag: Sie trennt Gestütztes sauber von Nicht-Gestütztem. Genau das motiviert den folgenden Lösungsteil – ein Werkzeug, das solche begrenzten, deterministisch geprüften Hinweise sichtbar und für Menschen prüfbar macht.</w:t>
      </w:r>
    </w:p>
    <w:p w14:paraId="7647D386" w14:textId="77777777" w:rsidR="003D6A89" w:rsidRDefault="00000000">
      <w:pPr>
        <w:pStyle w:val="berschrift1"/>
      </w:pPr>
      <w:r>
        <w:lastRenderedPageBreak/>
        <w:t>Lösung: Monitoring-Werkzeug und Agenten-Orchestrierung</w:t>
      </w:r>
    </w:p>
    <w:p w14:paraId="3C8ABED8" w14:textId="77777777" w:rsidR="003D6A89" w:rsidRDefault="00000000">
      <w:r>
        <w:t>Aus der Analyse (Kapitel 2) ist nicht nur ein empirischer Befund hervorgegangen, sondern auch der Bedarf an einem praktischen Werkzeug, das die Effizienz-Perspektive der Arbeit laufend sichtbar und für Menschen prüfbar macht. Dieses Kapitel dokumentiert diese Lösung als Gestaltungsbeitrag: die im Projektverlauf entstandenen Artefakte, das daraus fokussierte read-only Monitoring-Werkzeug und die Agenten-Orchestrierung seiner Entwicklung. Alle Teile stützen die Forschungsfrage, ersetzen aber den H1–H3-Beleg nicht und überlagern ihn nicht. Sämtliche Werkzeuge sind read-only und paper-only: kein Live-Handel, keine Orders, keine Schlüssel- oder Wallet-Verwaltung.</w:t>
      </w:r>
    </w:p>
    <w:p w14:paraId="31C829C7" w14:textId="77777777" w:rsidR="003D6A89" w:rsidRDefault="00000000">
      <w:pPr>
        <w:pStyle w:val="berschrift2"/>
      </w:pPr>
      <w:r>
        <w:t>Ausgangspunkt und Gestaltungsansatz</w:t>
      </w:r>
    </w:p>
    <w:p w14:paraId="66F791CE" w14:textId="77777777" w:rsidR="003D6A89" w:rsidRDefault="00000000">
      <w:r>
        <w:t>Während der Untersuchung wurde wiederholt der Bedarf an einem praktischen Analyse-Werkzeug für Prognosemärkte erkennbar. Als Gestaltungsbeitrag entstand daraus ein laufendes, read-only Webprodukt, das die Effizienz-Perspektive der Arbeit operationalisiert. Der Beitrag ist bewusst sekundär: Er macht begrenzte, deterministisch geprüfte Hinweise sichtbar, liefert aber selbst keine thesis-relevanten Kennzahlen und darf die Forschungsfrage nicht überlagern. Umfang und Anrechnung sind mit der Betreuung abzustimmen.</w:t>
      </w:r>
    </w:p>
    <w:p w14:paraId="42A175DC" w14:textId="77777777" w:rsidR="003D6A89" w:rsidRDefault="00000000">
      <w:pPr>
        <w:pStyle w:val="berschrift2"/>
      </w:pPr>
      <w:r>
        <w:t>Erstes Artefakt: paper-only Arbitrage-Scanner</w:t>
      </w:r>
    </w:p>
    <w:p w14:paraId="47335396" w14:textId="77777777" w:rsidR="003D6A89" w:rsidRDefault="00000000">
      <w:r>
        <w:t>Der erste praktische Zugang war ein ausschliesslich auf Papier arbeitender Scanner (TypeScript/Node), der Markt- und Orderbuch-Daten von Polymarket und Kalshi liest, mögliche Preis-Ineffizienzen erkennt und Reports schreibt. Er prüfte einen Katalog von Strategien, geordnet nach Evidenz-Stufen von strukturell garantiert (S) über empirisch belegt (A), vielversprechend (B) und blosse Hypothese (C) bis getestet und gescheitert (F). Tabelle 5 fasst die wichtigsten Strategien und die jeweils tatsächliche Beobachtung zusammen.</w:t>
      </w:r>
    </w:p>
    <w:p w14:paraId="171A7318" w14:textId="77777777" w:rsidR="003D6A89" w:rsidRDefault="00000000">
      <w:r>
        <w:t>Zentral ist die Unterscheidung von Preisunterschied und Arbitrage: Eine risikofreie Cross-Venue-Arbitrage entsteht erst, wenn sich YES auf der einen und NO auf der anderen Börse für denselben Ausgang zusammen für unter 1.00 kaufen lassen; ein blosser Same-side-Spread ist nur ein Bewertungsunterschied. In Forward-Replay- und Snapshot-Läufen über rund zwei Wochen (20. Mai bis 2. Juni 2026) fanden die strukturellen Scanner keine validierte, sauber ausführbare Arbitrage; einzelne sehr grosse scheinbare Edges waren als experimentell, unverknüpft oder durch veraltete Teil-Snapshots verzerrt markiert, also Artefakte. Die wenigen echten Cross-Venue-Fälle (etwa ein Somaliland-Markt) waren klein und faktisch Carry-Trades: Beide Seiten müssen bis zur teils Monate entfernten Marktauflösung gehalten werden, was den ohnehin kleinen Edge über eine lange Haltedauer verteilt; Tiefe, Gebühren und Slippage verkleinern ihn zusätzlich.</w:t>
      </w:r>
    </w:p>
    <w:tbl>
      <w:tblPr>
        <w:tblStyle w:val="Tabellenraster"/>
        <w:tblW w:w="0" w:type="auto"/>
        <w:tblLook w:val="04A0" w:firstRow="1" w:lastRow="0" w:firstColumn="1" w:lastColumn="0" w:noHBand="0" w:noVBand="1"/>
      </w:tblPr>
      <w:tblGrid>
        <w:gridCol w:w="3210"/>
        <w:gridCol w:w="3209"/>
        <w:gridCol w:w="3209"/>
      </w:tblGrid>
      <w:tr w:rsidR="003D6A89" w14:paraId="5898875F" w14:textId="77777777">
        <w:tc>
          <w:tcPr>
            <w:tcW w:w="3213" w:type="dxa"/>
          </w:tcPr>
          <w:p w14:paraId="6CBE0BC6" w14:textId="77777777" w:rsidR="003D6A89" w:rsidRDefault="00000000">
            <w:r>
              <w:lastRenderedPageBreak/>
              <w:t>Strategie</w:t>
            </w:r>
          </w:p>
        </w:tc>
        <w:tc>
          <w:tcPr>
            <w:tcW w:w="3213" w:type="dxa"/>
          </w:tcPr>
          <w:p w14:paraId="51D6A3A3" w14:textId="77777777" w:rsidR="003D6A89" w:rsidRDefault="00000000">
            <w:r>
              <w:t>Evidenz</w:t>
            </w:r>
          </w:p>
        </w:tc>
        <w:tc>
          <w:tcPr>
            <w:tcW w:w="3213" w:type="dxa"/>
          </w:tcPr>
          <w:p w14:paraId="32509608" w14:textId="77777777" w:rsidR="003D6A89" w:rsidRDefault="00000000">
            <w:r>
              <w:t>Beobachtung im Lauf</w:t>
            </w:r>
          </w:p>
        </w:tc>
      </w:tr>
      <w:tr w:rsidR="003D6A89" w14:paraId="49CA9207" w14:textId="77777777">
        <w:tc>
          <w:tcPr>
            <w:tcW w:w="3213" w:type="dxa"/>
          </w:tcPr>
          <w:p w14:paraId="6E8E38E0" w14:textId="77777777" w:rsidR="003D6A89" w:rsidRPr="00DD63C5" w:rsidRDefault="00000000">
            <w:pPr>
              <w:rPr>
                <w:lang w:val="en-US"/>
              </w:rPr>
            </w:pPr>
            <w:r w:rsidRPr="00DD63C5">
              <w:rPr>
                <w:lang w:val="en-US"/>
              </w:rPr>
              <w:t>NEG_RISK Basket Sum-Arb</w:t>
            </w:r>
          </w:p>
        </w:tc>
        <w:tc>
          <w:tcPr>
            <w:tcW w:w="3213" w:type="dxa"/>
          </w:tcPr>
          <w:p w14:paraId="6128E2C2" w14:textId="77777777" w:rsidR="003D6A89" w:rsidRDefault="00000000">
            <w:r>
              <w:t>S</w:t>
            </w:r>
          </w:p>
        </w:tc>
        <w:tc>
          <w:tcPr>
            <w:tcW w:w="3213" w:type="dxa"/>
          </w:tcPr>
          <w:p w14:paraId="78901034" w14:textId="77777777" w:rsidR="003D6A89" w:rsidRDefault="00000000">
            <w:r>
              <w:t>meist 0 saubere Arbs; ein toter Leg macht den Basket unbaubar</w:t>
            </w:r>
          </w:p>
        </w:tc>
      </w:tr>
      <w:tr w:rsidR="003D6A89" w14:paraId="76BC29C9" w14:textId="77777777">
        <w:tc>
          <w:tcPr>
            <w:tcW w:w="3213" w:type="dxa"/>
          </w:tcPr>
          <w:p w14:paraId="7B50E930" w14:textId="77777777" w:rsidR="003D6A89" w:rsidRDefault="00000000">
            <w:r>
              <w:t>Within-Market (YES+NO &lt; 1)</w:t>
            </w:r>
          </w:p>
        </w:tc>
        <w:tc>
          <w:tcPr>
            <w:tcW w:w="3213" w:type="dxa"/>
          </w:tcPr>
          <w:p w14:paraId="6A0EBDB0" w14:textId="77777777" w:rsidR="003D6A89" w:rsidRDefault="00000000">
            <w:r>
              <w:t>S</w:t>
            </w:r>
          </w:p>
        </w:tc>
        <w:tc>
          <w:tcPr>
            <w:tcW w:w="3213" w:type="dxa"/>
          </w:tcPr>
          <w:p w14:paraId="528FEE77" w14:textId="77777777" w:rsidR="003D6A89" w:rsidRDefault="00000000">
            <w:r>
              <w:t>nächste Fälle bei Summe ≈ 1.001, schliessen in Sekunden</w:t>
            </w:r>
          </w:p>
        </w:tc>
      </w:tr>
      <w:tr w:rsidR="003D6A89" w14:paraId="2DF43A88" w14:textId="77777777">
        <w:tc>
          <w:tcPr>
            <w:tcW w:w="3213" w:type="dxa"/>
          </w:tcPr>
          <w:p w14:paraId="2B9C0D11" w14:textId="77777777" w:rsidR="003D6A89" w:rsidRDefault="00000000">
            <w:r>
              <w:t>Cross-Venue (Kalshi × Polymarket)</w:t>
            </w:r>
          </w:p>
        </w:tc>
        <w:tc>
          <w:tcPr>
            <w:tcW w:w="3213" w:type="dxa"/>
          </w:tcPr>
          <w:p w14:paraId="1CAE0132" w14:textId="77777777" w:rsidR="003D6A89" w:rsidRDefault="00000000">
            <w:r>
              <w:t>A</w:t>
            </w:r>
          </w:p>
        </w:tc>
        <w:tc>
          <w:tcPr>
            <w:tcW w:w="3213" w:type="dxa"/>
          </w:tcPr>
          <w:p w14:paraId="5A70A198" w14:textId="77777777" w:rsidR="003D6A89" w:rsidRDefault="00000000">
            <w:r>
              <w:t>selten, nur um Katalysator-Events; sonst Kadenz null</w:t>
            </w:r>
          </w:p>
        </w:tc>
      </w:tr>
      <w:tr w:rsidR="003D6A89" w14:paraId="64D89229" w14:textId="77777777">
        <w:tc>
          <w:tcPr>
            <w:tcW w:w="3213" w:type="dxa"/>
          </w:tcPr>
          <w:p w14:paraId="0D7645FB" w14:textId="77777777" w:rsidR="003D6A89" w:rsidRDefault="00000000">
            <w:r>
              <w:t>Cross-Market-Monotonie</w:t>
            </w:r>
          </w:p>
        </w:tc>
        <w:tc>
          <w:tcPr>
            <w:tcW w:w="3213" w:type="dxa"/>
          </w:tcPr>
          <w:p w14:paraId="0D67681B" w14:textId="77777777" w:rsidR="003D6A89" w:rsidRDefault="00000000">
            <w:r>
              <w:t>A</w:t>
            </w:r>
          </w:p>
        </w:tc>
        <w:tc>
          <w:tcPr>
            <w:tcW w:w="3213" w:type="dxa"/>
          </w:tcPr>
          <w:p w14:paraId="531196F2" w14:textId="77777777" w:rsidR="003D6A89" w:rsidRDefault="00000000">
            <w:r>
              <w:t>real, aber dünne Tiefe (&lt;50 USD, 5–7 pp Spread)</w:t>
            </w:r>
          </w:p>
        </w:tc>
      </w:tr>
      <w:tr w:rsidR="003D6A89" w14:paraId="3C0A6F09" w14:textId="77777777">
        <w:tc>
          <w:tcPr>
            <w:tcW w:w="3213" w:type="dxa"/>
          </w:tcPr>
          <w:p w14:paraId="636C1D56" w14:textId="77777777" w:rsidR="003D6A89" w:rsidRDefault="00000000">
            <w:r>
              <w:t>Sum-Arb Lock-In</w:t>
            </w:r>
          </w:p>
        </w:tc>
        <w:tc>
          <w:tcPr>
            <w:tcW w:w="3213" w:type="dxa"/>
          </w:tcPr>
          <w:p w14:paraId="45AE6267" w14:textId="77777777" w:rsidR="003D6A89" w:rsidRDefault="00000000">
            <w:r>
              <w:t>A</w:t>
            </w:r>
          </w:p>
        </w:tc>
        <w:tc>
          <w:tcPr>
            <w:tcW w:w="3213" w:type="dxa"/>
          </w:tcPr>
          <w:p w14:paraId="4E01F46A" w14:textId="77777777" w:rsidR="003D6A89" w:rsidRDefault="00000000">
            <w:r>
              <w:t>bester real beobachteter Edge; Baskets bei 1.025–1.030</w:t>
            </w:r>
          </w:p>
        </w:tc>
      </w:tr>
      <w:tr w:rsidR="003D6A89" w14:paraId="74588A8D" w14:textId="77777777">
        <w:tc>
          <w:tcPr>
            <w:tcW w:w="3213" w:type="dxa"/>
          </w:tcPr>
          <w:p w14:paraId="77526EA7" w14:textId="77777777" w:rsidR="003D6A89" w:rsidRDefault="00000000">
            <w:r>
              <w:t>Tail-Fade / Premium-Harvest</w:t>
            </w:r>
          </w:p>
        </w:tc>
        <w:tc>
          <w:tcPr>
            <w:tcW w:w="3213" w:type="dxa"/>
          </w:tcPr>
          <w:p w14:paraId="306BFA53" w14:textId="77777777" w:rsidR="003D6A89" w:rsidRDefault="00000000">
            <w:r>
              <w:t>B</w:t>
            </w:r>
          </w:p>
        </w:tc>
        <w:tc>
          <w:tcPr>
            <w:tcW w:w="3213" w:type="dxa"/>
          </w:tcPr>
          <w:p w14:paraId="396F0D28" w14:textId="77777777" w:rsidR="003D6A89" w:rsidRDefault="00000000">
            <w:r>
              <w:t>konstanter Klein-Edge; Haltedisziplin nötig</w:t>
            </w:r>
          </w:p>
        </w:tc>
      </w:tr>
      <w:tr w:rsidR="003D6A89" w14:paraId="159A1192" w14:textId="77777777">
        <w:tc>
          <w:tcPr>
            <w:tcW w:w="3213" w:type="dxa"/>
          </w:tcPr>
          <w:p w14:paraId="03C826F5" w14:textId="77777777" w:rsidR="003D6A89" w:rsidRDefault="00000000">
            <w:r>
              <w:t>Whale-Following / Copy</w:t>
            </w:r>
          </w:p>
        </w:tc>
        <w:tc>
          <w:tcPr>
            <w:tcW w:w="3213" w:type="dxa"/>
          </w:tcPr>
          <w:p w14:paraId="308B2F7D" w14:textId="77777777" w:rsidR="003D6A89" w:rsidRDefault="00000000">
            <w:r>
              <w:t>B</w:t>
            </w:r>
          </w:p>
        </w:tc>
        <w:tc>
          <w:tcPr>
            <w:tcW w:w="3213" w:type="dxa"/>
          </w:tcPr>
          <w:p w14:paraId="66A9A7DF" w14:textId="77777777" w:rsidR="003D6A89" w:rsidRDefault="00000000">
            <w:r>
              <w:t>Elite-Whales existieren; Kopieren nur schwaches Signal</w:t>
            </w:r>
          </w:p>
        </w:tc>
      </w:tr>
      <w:tr w:rsidR="003D6A89" w14:paraId="317C69E0" w14:textId="77777777">
        <w:tc>
          <w:tcPr>
            <w:tcW w:w="3213" w:type="dxa"/>
          </w:tcPr>
          <w:p w14:paraId="52A0D5AB" w14:textId="77777777" w:rsidR="003D6A89" w:rsidRDefault="00000000">
            <w:r>
              <w:t>Crypto Oracle-Divergence-Fade</w:t>
            </w:r>
          </w:p>
        </w:tc>
        <w:tc>
          <w:tcPr>
            <w:tcW w:w="3213" w:type="dxa"/>
          </w:tcPr>
          <w:p w14:paraId="7F31F3D5" w14:textId="77777777" w:rsidR="003D6A89" w:rsidRDefault="00000000">
            <w:r>
              <w:t>B</w:t>
            </w:r>
          </w:p>
        </w:tc>
        <w:tc>
          <w:tcPr>
            <w:tcW w:w="3213" w:type="dxa"/>
          </w:tcPr>
          <w:p w14:paraId="3A64361B" w14:textId="77777777" w:rsidR="003D6A89" w:rsidRDefault="00000000">
            <w:r>
              <w:t>vielversprechend (N=28), Out-of-Sample offen</w:t>
            </w:r>
          </w:p>
        </w:tc>
      </w:tr>
      <w:tr w:rsidR="003D6A89" w14:paraId="0F922C4A" w14:textId="77777777">
        <w:tc>
          <w:tcPr>
            <w:tcW w:w="3213" w:type="dxa"/>
          </w:tcPr>
          <w:p w14:paraId="0CF67578" w14:textId="77777777" w:rsidR="003D6A89" w:rsidRDefault="00000000">
            <w:r>
              <w:t>UMA-Dispute-Arb</w:t>
            </w:r>
          </w:p>
        </w:tc>
        <w:tc>
          <w:tcPr>
            <w:tcW w:w="3213" w:type="dxa"/>
          </w:tcPr>
          <w:p w14:paraId="66052DD2" w14:textId="77777777" w:rsidR="003D6A89" w:rsidRDefault="00000000">
            <w:r>
              <w:t>F</w:t>
            </w:r>
          </w:p>
        </w:tc>
        <w:tc>
          <w:tcPr>
            <w:tcW w:w="3213" w:type="dxa"/>
          </w:tcPr>
          <w:p w14:paraId="6FBBB817" w14:textId="77777777" w:rsidR="003D6A89" w:rsidRDefault="00000000">
            <w:r>
              <w:t>verworfen: kategorie-gefilterte Backtests trügen</w:t>
            </w:r>
          </w:p>
        </w:tc>
      </w:tr>
      <w:tr w:rsidR="003D6A89" w14:paraId="41A0E564" w14:textId="77777777">
        <w:tc>
          <w:tcPr>
            <w:tcW w:w="3213" w:type="dxa"/>
          </w:tcPr>
          <w:p w14:paraId="75B9D5F1" w14:textId="77777777" w:rsidR="003D6A89" w:rsidRDefault="00000000">
            <w:r>
              <w:t>Temporal Anchoring</w:t>
            </w:r>
          </w:p>
        </w:tc>
        <w:tc>
          <w:tcPr>
            <w:tcW w:w="3213" w:type="dxa"/>
          </w:tcPr>
          <w:p w14:paraId="75516E31" w14:textId="77777777" w:rsidR="003D6A89" w:rsidRDefault="00000000">
            <w:r>
              <w:t>F</w:t>
            </w:r>
          </w:p>
        </w:tc>
        <w:tc>
          <w:tcPr>
            <w:tcW w:w="3213" w:type="dxa"/>
          </w:tcPr>
          <w:p w14:paraId="4FFD4084" w14:textId="77777777" w:rsidR="003D6A89" w:rsidRDefault="00000000">
            <w:r>
              <w:t>Null-Ergebnis (Artefakte fast aufgelöster Monate)</w:t>
            </w:r>
          </w:p>
        </w:tc>
      </w:tr>
    </w:tbl>
    <w:p w14:paraId="548CF436" w14:textId="77777777" w:rsidR="003D6A89" w:rsidRDefault="00000000">
      <w:pPr>
        <w:pStyle w:val="Beschriftung"/>
      </w:pPr>
      <w:r>
        <w:t>Tabelle 5: Getestete Arbitrage-Strategien und beobachtete Evidenz</w:t>
      </w:r>
    </w:p>
    <w:p w14:paraId="3E818F03" w14:textId="77777777" w:rsidR="003D6A89" w:rsidRDefault="00000000">
      <w:pPr>
        <w:pStyle w:val="berschrift3"/>
      </w:pPr>
      <w:r>
        <w:rPr>
          <w:b/>
        </w:rPr>
        <w:t>Einordnung.</w:t>
      </w:r>
    </w:p>
    <w:p w14:paraId="0B58464D" w14:textId="77777777" w:rsidR="003D6A89" w:rsidRDefault="00000000">
      <w:r>
        <w:t>Dieser Befund ist selbst ein Effizienz-Indiz: Saubere strukturelle Arbitragen sind selten und schliessen schnell, empirische Edges sind dünn oder unbestätigt, und mehrere zunächst attraktive Muster fielen bei kategorie-fairer Prüfung in sich zusammen. Die kaum robust ausnutzbare Ineffizienz motivierte den in Kapitel 1 beschriebenen Wechsel zur Messperspektive. Es wird ausdrücklich keine Handelbarkeits- oder Profitabilitätsaussage getroffen.</w:t>
      </w:r>
    </w:p>
    <w:p w14:paraId="548DB424" w14:textId="77777777" w:rsidR="003D6A89" w:rsidRDefault="00000000">
      <w:pPr>
        <w:pStyle w:val="berschrift2"/>
      </w:pPr>
      <w:r>
        <w:lastRenderedPageBreak/>
        <w:t>Research-Terminal: Aufbau und Workspaces</w:t>
      </w:r>
    </w:p>
    <w:p w14:paraId="5B449D72" w14:textId="77777777" w:rsidR="003D6A89" w:rsidRDefault="00000000">
      <w:r>
        <w:t>Parallel entstand ein Research-Terminal, ursprünglich als Data-Wrangling-Modulprojekt mit der Frage, ob die Reddit-Stimmung mit Polymarket-Wahrscheinlichkeiten zusammenhängt. Aufgebaut als ETL-Pipeline (Polymarket-API, Reddit-Suche, Sentiment-Klassifikation, je Markt aggregiert) und ergänzt um einen Zero-Shot-Stance-Score, ergab die Auswertung über 29 Live-Märkte und 725 Posts keinen statistisch signifikanten Zusammenhang (Tabelle 6); der Stance-Score war nicht trennschärfer als reines Sentiment. Methodisch zentral: Sentiment misst Stimmung, nicht Zustimmung, weshalb je Marktfrage eine Polaritäts-Korrektur nötig war. Reddit-Stimmung allein ist damit kein robuster Prädiktor für Polymarket-Preise.</w:t>
      </w:r>
    </w:p>
    <w:tbl>
      <w:tblPr>
        <w:tblStyle w:val="Tabellenraster"/>
        <w:tblW w:w="0" w:type="auto"/>
        <w:tblLook w:val="04A0" w:firstRow="1" w:lastRow="0" w:firstColumn="1" w:lastColumn="0" w:noHBand="0" w:noVBand="1"/>
      </w:tblPr>
      <w:tblGrid>
        <w:gridCol w:w="2407"/>
        <w:gridCol w:w="2407"/>
        <w:gridCol w:w="2407"/>
        <w:gridCol w:w="2407"/>
      </w:tblGrid>
      <w:tr w:rsidR="003D6A89" w14:paraId="051C4866" w14:textId="77777777">
        <w:tc>
          <w:tcPr>
            <w:tcW w:w="2409" w:type="dxa"/>
          </w:tcPr>
          <w:p w14:paraId="72590C7B" w14:textId="77777777" w:rsidR="003D6A89" w:rsidRDefault="00000000">
            <w:r>
              <w:t>Modell</w:t>
            </w:r>
          </w:p>
        </w:tc>
        <w:tc>
          <w:tcPr>
            <w:tcW w:w="2409" w:type="dxa"/>
          </w:tcPr>
          <w:p w14:paraId="5D40C45E" w14:textId="77777777" w:rsidR="003D6A89" w:rsidRDefault="00000000">
            <w:r>
              <w:t>Pearson r</w:t>
            </w:r>
          </w:p>
        </w:tc>
        <w:tc>
          <w:tcPr>
            <w:tcW w:w="2409" w:type="dxa"/>
          </w:tcPr>
          <w:p w14:paraId="18BA2364" w14:textId="77777777" w:rsidR="003D6A89" w:rsidRDefault="00000000">
            <w:r>
              <w:t>Spearman rho</w:t>
            </w:r>
          </w:p>
        </w:tc>
        <w:tc>
          <w:tcPr>
            <w:tcW w:w="2409" w:type="dxa"/>
          </w:tcPr>
          <w:p w14:paraId="37EC739E" w14:textId="77777777" w:rsidR="003D6A89" w:rsidRDefault="00000000">
            <w:r>
              <w:t>Richtungstreffer</w:t>
            </w:r>
          </w:p>
        </w:tc>
      </w:tr>
      <w:tr w:rsidR="003D6A89" w14:paraId="7D52CCC6" w14:textId="77777777">
        <w:tc>
          <w:tcPr>
            <w:tcW w:w="2409" w:type="dxa"/>
          </w:tcPr>
          <w:p w14:paraId="291215EC" w14:textId="77777777" w:rsidR="003D6A89" w:rsidRDefault="00000000">
            <w:r>
              <w:t>VADER (Baseline)</w:t>
            </w:r>
          </w:p>
        </w:tc>
        <w:tc>
          <w:tcPr>
            <w:tcW w:w="2409" w:type="dxa"/>
          </w:tcPr>
          <w:p w14:paraId="35DFC04C" w14:textId="77777777" w:rsidR="003D6A89" w:rsidRDefault="00000000">
            <w:r>
              <w:t>+0.069</w:t>
            </w:r>
          </w:p>
        </w:tc>
        <w:tc>
          <w:tcPr>
            <w:tcW w:w="2409" w:type="dxa"/>
          </w:tcPr>
          <w:p w14:paraId="63E0FAF9" w14:textId="77777777" w:rsidR="003D6A89" w:rsidRDefault="00000000">
            <w:r>
              <w:t>+0.115</w:t>
            </w:r>
          </w:p>
        </w:tc>
        <w:tc>
          <w:tcPr>
            <w:tcW w:w="2409" w:type="dxa"/>
          </w:tcPr>
          <w:p w14:paraId="49091AB7" w14:textId="77777777" w:rsidR="003D6A89" w:rsidRDefault="00000000">
            <w:r>
              <w:t>27.6%</w:t>
            </w:r>
          </w:p>
        </w:tc>
      </w:tr>
      <w:tr w:rsidR="003D6A89" w14:paraId="62A8E478" w14:textId="77777777">
        <w:tc>
          <w:tcPr>
            <w:tcW w:w="2409" w:type="dxa"/>
          </w:tcPr>
          <w:p w14:paraId="6C86B027" w14:textId="77777777" w:rsidR="003D6A89" w:rsidRDefault="00000000">
            <w:r>
              <w:t>Twitter-RoBERTa</w:t>
            </w:r>
          </w:p>
        </w:tc>
        <w:tc>
          <w:tcPr>
            <w:tcW w:w="2409" w:type="dxa"/>
          </w:tcPr>
          <w:p w14:paraId="0620BB7D" w14:textId="77777777" w:rsidR="003D6A89" w:rsidRDefault="00000000">
            <w:r>
              <w:t>+0.079</w:t>
            </w:r>
          </w:p>
        </w:tc>
        <w:tc>
          <w:tcPr>
            <w:tcW w:w="2409" w:type="dxa"/>
          </w:tcPr>
          <w:p w14:paraId="30C54C81" w14:textId="77777777" w:rsidR="003D6A89" w:rsidRDefault="00000000">
            <w:r>
              <w:t>+0.151</w:t>
            </w:r>
          </w:p>
        </w:tc>
        <w:tc>
          <w:tcPr>
            <w:tcW w:w="2409" w:type="dxa"/>
          </w:tcPr>
          <w:p w14:paraId="1C14BD25" w14:textId="77777777" w:rsidR="003D6A89" w:rsidRDefault="00000000">
            <w:r>
              <w:t>44.8%</w:t>
            </w:r>
          </w:p>
        </w:tc>
      </w:tr>
    </w:tbl>
    <w:p w14:paraId="0451B9FF" w14:textId="77777777" w:rsidR="003D6A89" w:rsidRDefault="00000000">
      <w:pPr>
        <w:pStyle w:val="Beschriftung"/>
      </w:pPr>
      <w:r>
        <w:t>Tabelle 6: Reddit-Sentiment gegen Polymarket-Wahrscheinlichkeit</w:t>
      </w:r>
    </w:p>
    <w:p w14:paraId="4E591C6A" w14:textId="77777777" w:rsidR="003D6A89" w:rsidRDefault="00000000">
      <w:r>
        <w:t>Aus diesem Ausgangspunkt wuchs eine Streamlit-Research-Plattform für Polymarket und Kalshi mit mehreren Arbeitsbereichen: Marktsuche, Trader-Leaderboard und Wallet-Profile, Live-Trade-Flow, Whale Flow, Verdachts-Screening, Cross-Venue-Vergleich, Backtester, Paper-Copytrading sowie Monitor und Portfolio. Das Paper-Copytrading bleibt bewusst rein simuliert: Es beobachtet öffentliche Trades einer Zielwallet, skaliert sie in ein lokales Portfolio und misst Latenz, Sizing und Treue der Nachbildung, ohne echte Orders.</w:t>
      </w:r>
    </w:p>
    <w:p w14:paraId="4BA3F1DD" w14:textId="77777777" w:rsidR="003D6A89" w:rsidRDefault="00000000">
      <w:pPr>
        <w:pStyle w:val="berschrift2"/>
      </w:pPr>
      <w:r>
        <w:t>Verdachts-Screening als Brücke zu H3</w:t>
      </w:r>
    </w:p>
    <w:p w14:paraId="6B827F94" w14:textId="77777777" w:rsidR="003D6A89" w:rsidRDefault="00000000">
      <w:r>
        <w:t>Der für die Forschungsfrage relevanteste Teil des Terminals ist das Verdachts-Screening, das den in Abschnitt 2.5 beschriebenen Signatur-Ansatz vorwegnimmt. Eine Wallet wird nicht wegen ihrer Grösse allein markiert, sondern anhand einer Kombination von Mustern: Fresh-Wallet-Cluster (mehrere im Sample kaum gesehene Wallets mit Whale-Volumen, die im selben Markt auf dieselbe Seite drängen), Wallet-Alter, Co-Trading-Cluster (über ein Netzwerk erkannte, wiederholt gemeinsam handelnde Adressen) sowie beschreibende Verhaltens-Etiketten. Entscheidend ist die Gewichtung nach Marktart: Sport, Asset-Preise und Wetter gelten als wenig insider-plausibel (öffentliche Quoten bzw. modellgetriebene Ausgänge), während Politik, Awards und interne Firmen-Märkte mit asymmetrischem Informationszugang anfällig sind. Der resultierende Score wird in Bänder gefasst (erhöht, mittel, hoch). Das Screening ist ein Best-Effort-Filter auf öffentlichen Daten, kein juristischer Nachweis, und gibt keine Wallet-Adressen aus.</w:t>
      </w:r>
    </w:p>
    <w:p w14:paraId="086537DF" w14:textId="77777777" w:rsidR="003D6A89" w:rsidRDefault="00000000">
      <w:pPr>
        <w:pStyle w:val="berschrift3"/>
      </w:pPr>
      <w:r>
        <w:rPr>
          <w:b/>
        </w:rPr>
        <w:lastRenderedPageBreak/>
        <w:t>Fallbeispiel Swisstony.</w:t>
      </w:r>
    </w:p>
    <w:p w14:paraId="2E1D1717" w14:textId="77777777" w:rsidR="003D6A89" w:rsidRDefault="00000000">
      <w:r>
        <w:t>Zum Test der gesamten Pipeline (Trader-Erkennung, Backtesting, Paper-Copytrading) diente ein öffentlich sichtbarer, sehr profitabler Trader (Pseudonym Swisstony). Es ging nicht darum, ihn auszuzeichnen, sondern an einem starken realen Beispiel zu messen, wie gut sich eine Quelle analysieren und nachbilden lässt. Die Kennzahlen (Tabelle 7) stammen aus lokaler Analyse öffentlicher Daten und sind vor produktivem Einsatz neu zu prüfen; sie sind kein Ergebnis zur Forschungsfrage und keine Profitabilitätsaussage. Aufschlussreich ist die Struktur des Edges: nicht wenige grosse Richtungswetten, sondern Marktselektion, Timing, hoher Umschlag und sauberes Kapital-Recycling – eine Winrate um 53% erklärt den Erfolg allein nicht.</w:t>
      </w:r>
    </w:p>
    <w:tbl>
      <w:tblPr>
        <w:tblStyle w:val="Tabellenraster"/>
        <w:tblW w:w="0" w:type="auto"/>
        <w:tblLook w:val="04A0" w:firstRow="1" w:lastRow="0" w:firstColumn="1" w:lastColumn="0" w:noHBand="0" w:noVBand="1"/>
      </w:tblPr>
      <w:tblGrid>
        <w:gridCol w:w="4814"/>
        <w:gridCol w:w="4814"/>
      </w:tblGrid>
      <w:tr w:rsidR="003D6A89" w14:paraId="6D255C8D" w14:textId="77777777">
        <w:tc>
          <w:tcPr>
            <w:tcW w:w="4819" w:type="dxa"/>
          </w:tcPr>
          <w:p w14:paraId="2D0BA639" w14:textId="77777777" w:rsidR="003D6A89" w:rsidRDefault="00000000">
            <w:r>
              <w:t>Kennzahl</w:t>
            </w:r>
          </w:p>
        </w:tc>
        <w:tc>
          <w:tcPr>
            <w:tcW w:w="4819" w:type="dxa"/>
          </w:tcPr>
          <w:p w14:paraId="32F49C85" w14:textId="77777777" w:rsidR="003D6A89" w:rsidRDefault="00000000">
            <w:r>
              <w:t>Wert (lokale Analyse)</w:t>
            </w:r>
          </w:p>
        </w:tc>
      </w:tr>
      <w:tr w:rsidR="003D6A89" w14:paraId="48BBF061" w14:textId="77777777">
        <w:tc>
          <w:tcPr>
            <w:tcW w:w="4819" w:type="dxa"/>
          </w:tcPr>
          <w:p w14:paraId="4D5C7CF1" w14:textId="77777777" w:rsidR="003D6A89" w:rsidRDefault="00000000">
            <w:r>
              <w:t>Berichtete PnL</w:t>
            </w:r>
          </w:p>
        </w:tc>
        <w:tc>
          <w:tcPr>
            <w:tcW w:w="4819" w:type="dxa"/>
          </w:tcPr>
          <w:p w14:paraId="7031FCCB" w14:textId="77777777" w:rsidR="003D6A89" w:rsidRDefault="00000000">
            <w:r>
              <w:t>ca. 9.6 Mio. USD</w:t>
            </w:r>
          </w:p>
        </w:tc>
      </w:tr>
      <w:tr w:rsidR="003D6A89" w14:paraId="6C491ACC" w14:textId="77777777">
        <w:tc>
          <w:tcPr>
            <w:tcW w:w="4819" w:type="dxa"/>
          </w:tcPr>
          <w:p w14:paraId="6D01A429" w14:textId="77777777" w:rsidR="003D6A89" w:rsidRDefault="00000000">
            <w:r>
              <w:t>Cashflow-bereinigter ROI</w:t>
            </w:r>
          </w:p>
        </w:tc>
        <w:tc>
          <w:tcPr>
            <w:tcW w:w="4819" w:type="dxa"/>
          </w:tcPr>
          <w:p w14:paraId="73039A73" w14:textId="77777777" w:rsidR="003D6A89" w:rsidRDefault="00000000">
            <w:r>
              <w:t>ca. +200%</w:t>
            </w:r>
          </w:p>
        </w:tc>
      </w:tr>
      <w:tr w:rsidR="003D6A89" w14:paraId="6B614F5A" w14:textId="77777777">
        <w:tc>
          <w:tcPr>
            <w:tcW w:w="4819" w:type="dxa"/>
          </w:tcPr>
          <w:p w14:paraId="4B95E90A" w14:textId="77777777" w:rsidR="003D6A89" w:rsidRDefault="00000000">
            <w:r>
              <w:t>Winrate</w:t>
            </w:r>
          </w:p>
        </w:tc>
        <w:tc>
          <w:tcPr>
            <w:tcW w:w="4819" w:type="dxa"/>
          </w:tcPr>
          <w:p w14:paraId="5119F1E2" w14:textId="77777777" w:rsidR="003D6A89" w:rsidRDefault="00000000">
            <w:r>
              <w:t>ca. 53%</w:t>
            </w:r>
          </w:p>
        </w:tc>
      </w:tr>
      <w:tr w:rsidR="003D6A89" w14:paraId="5605485D" w14:textId="77777777">
        <w:tc>
          <w:tcPr>
            <w:tcW w:w="4819" w:type="dxa"/>
          </w:tcPr>
          <w:p w14:paraId="0F2E3140" w14:textId="77777777" w:rsidR="003D6A89" w:rsidRDefault="00000000">
            <w:r>
              <w:t>All-time-Volumen</w:t>
            </w:r>
          </w:p>
        </w:tc>
        <w:tc>
          <w:tcPr>
            <w:tcW w:w="4819" w:type="dxa"/>
          </w:tcPr>
          <w:p w14:paraId="7A2419F8" w14:textId="77777777" w:rsidR="003D6A89" w:rsidRDefault="00000000">
            <w:r>
              <w:t>ca. 867 Mio. USD</w:t>
            </w:r>
          </w:p>
        </w:tc>
      </w:tr>
      <w:tr w:rsidR="003D6A89" w14:paraId="6870C09E" w14:textId="77777777">
        <w:tc>
          <w:tcPr>
            <w:tcW w:w="4819" w:type="dxa"/>
          </w:tcPr>
          <w:p w14:paraId="23B5E8A3" w14:textId="77777777" w:rsidR="003D6A89" w:rsidRDefault="00000000">
            <w:r>
              <w:t>Sharpe-ähnlich (täglich)</w:t>
            </w:r>
          </w:p>
        </w:tc>
        <w:tc>
          <w:tcPr>
            <w:tcW w:w="4819" w:type="dxa"/>
          </w:tcPr>
          <w:p w14:paraId="14AA6852" w14:textId="77777777" w:rsidR="003D6A89" w:rsidRDefault="00000000">
            <w:r>
              <w:t>ca. 4.1</w:t>
            </w:r>
          </w:p>
        </w:tc>
      </w:tr>
      <w:tr w:rsidR="003D6A89" w14:paraId="750EC95B" w14:textId="77777777">
        <w:tc>
          <w:tcPr>
            <w:tcW w:w="4819" w:type="dxa"/>
          </w:tcPr>
          <w:p w14:paraId="489A5B65" w14:textId="77777777" w:rsidR="003D6A89" w:rsidRDefault="00000000">
            <w:r>
              <w:t>Max. Drawdown</w:t>
            </w:r>
          </w:p>
        </w:tc>
        <w:tc>
          <w:tcPr>
            <w:tcW w:w="4819" w:type="dxa"/>
          </w:tcPr>
          <w:p w14:paraId="64B0FE0B" w14:textId="77777777" w:rsidR="003D6A89" w:rsidRDefault="00000000">
            <w:r>
              <w:t>ca. -0.97 Mio. USD</w:t>
            </w:r>
          </w:p>
        </w:tc>
      </w:tr>
    </w:tbl>
    <w:p w14:paraId="534F8E56" w14:textId="77777777" w:rsidR="003D6A89" w:rsidRDefault="00000000">
      <w:pPr>
        <w:pStyle w:val="Beschriftung"/>
      </w:pPr>
      <w:r>
        <w:t>Tabelle 7: Fallbeispiel Swisstony: Kennzahlen aus lokaler Analyse öffentlicher Daten</w:t>
      </w:r>
    </w:p>
    <w:p w14:paraId="2E1450D6" w14:textId="77777777" w:rsidR="003D6A89" w:rsidRPr="00DD63C5" w:rsidRDefault="00000000">
      <w:pPr>
        <w:pStyle w:val="berschrift2"/>
        <w:rPr>
          <w:lang w:val="en-US"/>
        </w:rPr>
      </w:pPr>
      <w:proofErr w:type="spellStart"/>
      <w:r w:rsidRPr="00DD63C5">
        <w:rPr>
          <w:lang w:val="en-US"/>
        </w:rPr>
        <w:t>Fokussiertes</w:t>
      </w:r>
      <w:proofErr w:type="spellEnd"/>
      <w:r w:rsidRPr="00DD63C5">
        <w:rPr>
          <w:lang w:val="en-US"/>
        </w:rPr>
        <w:t xml:space="preserve"> Monitoring-</w:t>
      </w:r>
      <w:proofErr w:type="spellStart"/>
      <w:r w:rsidRPr="00DD63C5">
        <w:rPr>
          <w:lang w:val="en-US"/>
        </w:rPr>
        <w:t>Werkzeug</w:t>
      </w:r>
      <w:proofErr w:type="spellEnd"/>
      <w:r w:rsidRPr="00DD63C5">
        <w:rPr>
          <w:lang w:val="en-US"/>
        </w:rPr>
        <w:t xml:space="preserve"> (Read-only-</w:t>
      </w:r>
      <w:proofErr w:type="spellStart"/>
      <w:r w:rsidRPr="00DD63C5">
        <w:rPr>
          <w:lang w:val="en-US"/>
        </w:rPr>
        <w:t>Prototyp</w:t>
      </w:r>
      <w:proofErr w:type="spellEnd"/>
      <w:r w:rsidRPr="00DD63C5">
        <w:rPr>
          <w:lang w:val="en-US"/>
        </w:rPr>
        <w:t>)</w:t>
      </w:r>
    </w:p>
    <w:p w14:paraId="5C6DE22E" w14:textId="77777777" w:rsidR="003D6A89" w:rsidRDefault="00000000">
      <w:r>
        <w:t>Aus den breiten Terminal-Funktionen wurde ein fokussierter, akademisch sauberer Monitor abgeleitet. Er kombiniert Marktbewegung, aggregierte Wallet-Tier-Aktivität, Konzentration und Ereigniskontext zu deterministischen Prüf-Hinweisen (Bürgi et al., 2025; Wu, 2024). Er bleibt read-only, erzeugt keine Order- oder Trading-Pfade und liefert Prüf-Hinweise, keine kausale oder Effizienz-Evidenz. Im Haupttext erscheint er nur als Workflow, Einzelfälle bleiben bis zur manuellen Prüfung im Anhang.</w:t>
      </w:r>
    </w:p>
    <w:p w14:paraId="7E8AE0A4" w14:textId="77777777" w:rsidR="003D6A89" w:rsidRDefault="00000000">
      <w:pPr>
        <w:pStyle w:val="berschrift2"/>
      </w:pPr>
      <w:r>
        <w:t>Anomalie-Review-Queue als Prüf-Workflow</w:t>
      </w:r>
    </w:p>
    <w:p w14:paraId="30D8DCEE" w14:textId="77777777" w:rsidR="003D6A89" w:rsidRDefault="00000000">
      <w:r>
        <w:t>Die deterministische Anomalie-Diagnostik aus Abschnitt 2.5 liefert Hinweise, die eine nachgelagerte Review-Schicht einordnet. Die aktuelle Review-Queue enthält drei Fälle: einen mit hoher Priorität, der als Prüf-Kandidat markiert ist, und zwei mit mittlerer Priorität als Beobachtungs-Hinweis. Alle drei stehen auf Quellenprüfung ausstehend. Bei der Überlappung mit den kuratierten Referenzfällen ergeben sich ein Treffer, eine teilweise und eine fehlende Überlappung.</w:t>
      </w:r>
    </w:p>
    <w:p w14:paraId="0AA058ED" w14:textId="77777777" w:rsidR="003D6A89" w:rsidRDefault="00000000">
      <w:r>
        <w:lastRenderedPageBreak/>
        <w:t>Diese Queue ist ausdrücklich ein menschlicher Prüf-Workflow über begrenzte, bereits berechnete Monitor-Artefakte. Die Risiko-Etiketten sind Beobachtungs-Marker, keine Befunde. Die Queue beweist weder private Information noch Fehlverhalten, Kausalität, Handelbarkeit, Profitabilität oder künftige Performance.</w:t>
      </w:r>
    </w:p>
    <w:p w14:paraId="448033FF" w14:textId="77777777" w:rsidR="003D6A89" w:rsidRDefault="00000000">
      <w:pPr>
        <w:pStyle w:val="berschrift2"/>
      </w:pPr>
      <w:r>
        <w:t>Agenten-Orchestrierung: gebaute, read-only Review-Schicht</w:t>
      </w:r>
    </w:p>
    <w:p w14:paraId="05578473" w14:textId="77777777" w:rsidR="003D6A89" w:rsidRDefault="00000000">
      <w:r>
        <w:t>Die ursprüngliche Projektidee, eine MCP-gestützte Multiagenten-Orchestrierung, ist nicht nur als Methode dokumentiert, sondern als read-only Review-Schicht tatsächlich gebaut und mit einer Testsuite abgesichert. Sie diente zweifach: als Entwicklungsmethode bei der Umsetzung des Werkzeugs und als lauffähige Orchestrierung, welche die deterministische Anomalie-Review-Queue (Abschnitt ?) sichtet und nach Prüf-Dringlichkeit ordnet. Entscheidend und konform mit dem Architektur-Entscheid «deterministischer Kern zuerst»: Die Agenten berechnen keine thesis-relevanten Kennzahlen, sie interpretieren ausschliesslich begrenzte, bereits berechnete Zusammenfassungen.</w:t>
      </w:r>
    </w:p>
    <w:p w14:paraId="0980D5D8" w14:textId="77777777" w:rsidR="003D6A89" w:rsidRDefault="00000000">
      <w:r>
        <w:t>Abbildung 10 zeigt den Aufbau. Vier Rollen greifen ineinander: ein EventScout normalisiert nur extern gelieferte Ereigniskandidaten und erfindet keine Ereignisse, ein CaseNarrative macht aus einem begrenzten Fall-Datensatz eine lesbare Beschreibung, ein SkepticReviewer formuliert Gegenargumente und einen begrenzten Konfidenz-Abschlag, und ein Orchestrator rangiert die Fälle in eine priorisierte Review-Queue und korrigiert die bereits vorhandene deterministische Priorität dabei nur nach unten. Der Zugriff läuft ausschliesslich über eine read-only MCP-Schicht mit vier Werkzeugen (Anomalie-Review-Summary, Einzelfall, Artefaktliste, Methodengrenzen), maximal 50 Zeilen je Abfrage, mit Wallet-Adress-Redaction und Protokollierung jeder LLM-Interaktion; die LLM-Schicht selbst nutzt standardmässig einen deterministischen Mock.</w:t>
      </w:r>
    </w:p>
    <w:p w14:paraId="2E987D70" w14:textId="77777777" w:rsidR="003D6A89" w:rsidRDefault="00000000">
      <w:pPr>
        <w:jc w:val="center"/>
      </w:pPr>
      <w:r>
        <w:rPr>
          <w:noProof/>
        </w:rPr>
        <w:drawing>
          <wp:inline distT="0" distB="0" distL="0" distR="0" wp14:anchorId="0A1B0FAE" wp14:editId="4B352980">
            <wp:extent cx="5212080" cy="29307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orchestration_architecture.png"/>
                    <pic:cNvPicPr/>
                  </pic:nvPicPr>
                  <pic:blipFill>
                    <a:blip r:embed="rId28"/>
                    <a:stretch>
                      <a:fillRect/>
                    </a:stretch>
                  </pic:blipFill>
                  <pic:spPr>
                    <a:xfrm>
                      <a:off x="0" y="0"/>
                      <a:ext cx="5212080" cy="2930744"/>
                    </a:xfrm>
                    <a:prstGeom prst="rect">
                      <a:avLst/>
                    </a:prstGeom>
                  </pic:spPr>
                </pic:pic>
              </a:graphicData>
            </a:graphic>
          </wp:inline>
        </w:drawing>
      </w:r>
    </w:p>
    <w:p w14:paraId="2B10ED7B" w14:textId="77777777" w:rsidR="003D6A89" w:rsidRDefault="00000000">
      <w:pPr>
        <w:pStyle w:val="Beschriftung"/>
      </w:pPr>
      <w:r>
        <w:lastRenderedPageBreak/>
        <w:t>Abbildung 10: Architektur der gebauten Agenten-Orchestrierung: vier read-only Rollen</w:t>
      </w:r>
      <w:r>
        <w:br/>
        <w:t>(EventScout, CaseNarrative, SkepticReviewer, Orchestrator) ordnen über eine</w:t>
      </w:r>
      <w:r>
        <w:br/>
        <w:t>begrenzte, read-only MCP-Schicht die deterministische Review-Queue, ohne selbst</w:t>
      </w:r>
      <w:r>
        <w:br/>
        <w:t xml:space="preserve">Kennzahlen zu berechnen. Quelle: </w:t>
      </w:r>
      <w:r>
        <w:rPr>
          <w:i/>
        </w:rPr>
        <w:t>operations/agents/review_queue/</w:t>
      </w:r>
      <w:r>
        <w:t>.</w:t>
      </w:r>
    </w:p>
    <w:p w14:paraId="43735F93" w14:textId="77777777" w:rsidR="003D6A89" w:rsidRDefault="00000000">
      <w:r>
        <w:t>Bewusst zurückgestellt bleibt allein der produktive, metrik-erzeugende oder autonom handelnde Betrieb: Solange der deterministische Kern und die Audit-Grenzen nicht vollständig freigegeben sind, berechnen Agenten keine Kennzahlen, greifen nicht ungefiltert auf Rohdaten zu und lösen keine Trades aus. Die Orchestrierung ist damit ein realer, getesteter Gestaltungsbeitrag innerhalb klar gezogener Grenzen: kein blosser Entwurf, aber auch nicht Teil des empirischen Belegs.</w:t>
      </w:r>
    </w:p>
    <w:p w14:paraId="3C2666B7" w14:textId="77777777" w:rsidR="003D6A89" w:rsidRDefault="00000000">
      <w:pPr>
        <w:pStyle w:val="berschrift2"/>
      </w:pPr>
      <w:r>
        <w:t>Schweizer Referendum als begrenzte Fallstudie</w:t>
      </w:r>
    </w:p>
    <w:p w14:paraId="283F4BEE" w14:textId="77777777" w:rsidR="003D6A89" w:rsidRDefault="00000000">
      <w:r>
        <w:t>Als aktueller, eigenständiger Vergleich ausserhalb der US-Wahl dient die eidgenössische Abstimmung vom 14. Juni 2026. Beim offiziellen Ja-Anteil von 45.21% lag die finale Umfrage als Stimmenanteil näher am Resultat, während Polymarket im lokalen Live-Fenster (Ja zuletzt 21.5%) als binäre Ablehnungswahrscheinlichkeit klarer auf der richtigen Seite lag (Cutting et al., 2025). Wichtig: Polymarket-Preise sind Annahmewahrscheinlichkeiten, Umfragen sind Stimmenanteile. Der Binärvergleich ist nur ein transparenter Proxy und kein Mispricing-, Effizienz- oder Tradeability-Beweis (Abbildung 11).</w:t>
      </w:r>
    </w:p>
    <w:p w14:paraId="1F50ADF3" w14:textId="77777777" w:rsidR="003D6A89" w:rsidRDefault="00000000">
      <w:pPr>
        <w:jc w:val="center"/>
      </w:pPr>
      <w:r>
        <w:rPr>
          <w:noProof/>
        </w:rPr>
        <w:drawing>
          <wp:inline distT="0" distB="0" distL="0" distR="0" wp14:anchorId="5186028B" wp14:editId="1D1C6FAE">
            <wp:extent cx="5212080" cy="27481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ss_referendum_10mio_final_case_study.png"/>
                    <pic:cNvPicPr/>
                  </pic:nvPicPr>
                  <pic:blipFill>
                    <a:blip r:embed="rId29"/>
                    <a:stretch>
                      <a:fillRect/>
                    </a:stretch>
                  </pic:blipFill>
                  <pic:spPr>
                    <a:xfrm>
                      <a:off x="0" y="0"/>
                      <a:ext cx="5212080" cy="2748188"/>
                    </a:xfrm>
                    <a:prstGeom prst="rect">
                      <a:avLst/>
                    </a:prstGeom>
                  </pic:spPr>
                </pic:pic>
              </a:graphicData>
            </a:graphic>
          </wp:inline>
        </w:drawing>
      </w:r>
    </w:p>
    <w:p w14:paraId="752DF780" w14:textId="77777777" w:rsidR="003D6A89" w:rsidRPr="00DD63C5" w:rsidRDefault="00000000">
      <w:pPr>
        <w:pStyle w:val="Beschriftung"/>
        <w:rPr>
          <w:lang w:val="en-US"/>
        </w:rPr>
      </w:pPr>
      <w:r>
        <w:t>Abbildung 11: Schweizer Referendum 14. Juni 2026: offizieller Ja-Anteil (45.21%) gegen die finale Umfrage als Stimmenanteil und den Polymarket-Preis als Annahmewahrscheinlichkeit. Der Binärvergleich ist nur ein transparenter Proxy, kein Effizienz- oder Mispricing-Beweis.</w:t>
      </w:r>
      <w:r>
        <w:br/>
      </w:r>
      <w:r w:rsidRPr="00DD63C5">
        <w:rPr>
          <w:lang w:val="en-US"/>
        </w:rPr>
        <w:t xml:space="preserve">Quelle: </w:t>
      </w:r>
      <w:r w:rsidRPr="00DD63C5">
        <w:rPr>
          <w:i/>
          <w:lang w:val="en-US"/>
        </w:rPr>
        <w:t>data/results/swiss_referendum_10mio_final_case_study.png</w:t>
      </w:r>
      <w:r w:rsidRPr="00DD63C5">
        <w:rPr>
          <w:lang w:val="en-US"/>
        </w:rPr>
        <w:t>.</w:t>
      </w:r>
    </w:p>
    <w:p w14:paraId="7F7CDA7D" w14:textId="77777777" w:rsidR="003D6A89" w:rsidRDefault="00000000">
      <w:pPr>
        <w:pStyle w:val="berschrift2"/>
      </w:pPr>
      <w:r>
        <w:lastRenderedPageBreak/>
        <w:t>Einordnung, Eigenständigkeit und Grenzen</w:t>
      </w:r>
    </w:p>
    <w:p w14:paraId="73D6EA50" w14:textId="77777777" w:rsidR="003D6A89" w:rsidRDefault="00000000">
      <w:r>
        <w:t>Alle beschriebenen Teile sind Sekundär- und Gestaltungsbeiträge: Sie operationalisieren die Effizienz-Perspektive und dokumentieren den Weg, ersetzen aber den empirischen Beleg nicht. Sämtliche Werkzeuge sind paper-only und read-only – kein Live-Handel, keine Orders, keine Wallet- oder Schlüssel-Verwaltung, keine Anlageberatung, keine Secrets im Code. Das Research-Terminal ist teilweise aus einem Data-Wrangling-Modulprojekt hervorgegangen; eine Wiederverwendung von Teilen daraus ist nur zulässig, wenn sie mit der Betreuung abgesprochen und in der Eigenständigkeitserklärung ausgewiesen wird. Umfang und Anrechnung dieses Kapitels sind entsprechend mit der Betreuung abzustimmen.</w:t>
      </w:r>
    </w:p>
    <w:p w14:paraId="16E7F77A" w14:textId="77777777" w:rsidR="003D6A89" w:rsidRDefault="00000000">
      <w:pPr>
        <w:pStyle w:val="berschrift1"/>
      </w:pPr>
      <w:r>
        <w:lastRenderedPageBreak/>
        <w:t>Allgemeine Schlussfolgerung und Einschränkungen</w:t>
      </w:r>
    </w:p>
    <w:p w14:paraId="5C0DB2E6" w14:textId="77777777" w:rsidR="003D6A89" w:rsidRDefault="00000000">
      <w:pPr>
        <w:pStyle w:val="berschrift2"/>
      </w:pPr>
      <w:r>
        <w:t>Gesamtfazit</w:t>
      </w:r>
    </w:p>
    <w:p w14:paraId="14950882" w14:textId="77777777" w:rsidR="003D6A89" w:rsidRDefault="00000000">
      <w:r>
        <w:t>Auf die Forschungsfrage antwortet die Arbeit differenziert: Polymarket verarbeitet Information im untersuchten Kontext nachweisbar gut, aber nur in klar abgegrenzten Fällen messbar besser als traditionelle Quellen. Die Stärke der Arbeit liegt weniger in einer einzelnen grossen Behauptung als in der reproduzierbaren, deterministisch geprüften Trennung von gestützter und nicht gestützter Evidenz (Fama, 1970), ergänzt um ein lauffähiges Werkzeug, das diese Trennung operationalisiert.</w:t>
      </w:r>
    </w:p>
    <w:p w14:paraId="34742CBB" w14:textId="77777777" w:rsidR="003D6A89" w:rsidRDefault="00000000">
      <w:pPr>
        <w:pStyle w:val="berschrift2"/>
      </w:pPr>
      <w:r>
        <w:t>Beitrag</w:t>
      </w:r>
    </w:p>
    <w:p w14:paraId="67E4E30A" w14:textId="77777777" w:rsidR="003D6A89" w:rsidRDefault="00000000">
      <w:r>
        <w:t>Die Arbeit leistet drei Beiträge. Empirisch führt sie Prognosequalität (H1), Ereignisreaktion (H2) und On-Chain-Timing (H3) für denselben Marktkontext reproduzierbar zusammen. Methodisch etabliert sie eine Disziplin des deterministischen Kerns: Alle Kennzahlen werden berechnet, versioniert und getestet, bevor sie interpretiert werden, und Sprachmodelle dürfen nur begrenzte, vorab berechnete Ergebnisse deuten – diese Reihenfolge ist selbst ein methodischer Beitrag. Gestalterisch entsteht ein read-only Monitoring-Werkzeug samt dokumentierter Agenten-Orchestrierung (Kapitel 4).</w:t>
      </w:r>
    </w:p>
    <w:p w14:paraId="52E6E00E" w14:textId="77777777" w:rsidR="003D6A89" w:rsidRDefault="00000000">
      <w:pPr>
        <w:pStyle w:val="berschrift2"/>
      </w:pPr>
      <w:r>
        <w:t>Einschränkungen</w:t>
      </w:r>
    </w:p>
    <w:p w14:paraId="7E2E68BA" w14:textId="77777777" w:rsidR="003D6A89" w:rsidRDefault="00000000">
      <w:r>
        <w:t>Die Evidenz stammt aus einem einzelnen Wahlkontext mit wiederholten Tageszeilen und erlaubt keine Mehr-Wahlen-Verallgemeinerung; die nationale Tagesreihe ist ein einziger aufgelöster Markt, kein Satz unabhängiger Treffer. H2 beruht auf Tagesdaten und identifiziert keine Intraday-Reaktionszeit (MacKinlay, 1997). Die H3-Wallet-Daten sind BUY-only und quellseitig ab 10 000 USD gefiltert, die Ausrichtung erfolgt täglich, das oberste Tier ist klein (32 Adressen), und über mehrere Tiers und Lags besteht ein Multiple-Testing-Problem (Granger, 1969). Die Kalibrierungs-Fall-Sets sind klein, die Schweizer Fallstudie ist ein einzelner Post-Resultat-Proxy, und der Arbitrage-Scan ist paper-only und unvalidiert. Verhaltensverzerrungen und erhöhte Volatilität (Rezabek, 2024) begrenzen die Tragweite zusätzlich. Das Werkzeug bleibt read-only und liefert Prüf-Hinweise, keine Beweise; es werden keine Aussagen zu Kausalität, privater Information, Handelbarkeit oder universeller Marktüberlegenheit getroffen.</w:t>
      </w:r>
    </w:p>
    <w:p w14:paraId="55749A22" w14:textId="77777777" w:rsidR="003D6A89" w:rsidRDefault="00000000">
      <w:pPr>
        <w:pStyle w:val="berschrift2"/>
      </w:pPr>
      <w:r>
        <w:t>Validität und Generalisierbarkeit</w:t>
      </w:r>
    </w:p>
    <w:p w14:paraId="754A0036" w14:textId="77777777" w:rsidR="003D6A89" w:rsidRDefault="00000000">
      <w:r>
        <w:t xml:space="preserve">Die interne Validität stützt sich auf Determinismus, Versionierung und Tests; die externe Validität ist durch den einzelnen Markt- und Wahlkontext begrenzt. Eine Übertragung auf andere Wahlen, Themenfelder oder Plattformen verlangt Replikation mit unabhängigen Stichproben. Soweit Teile aus </w:t>
      </w:r>
      <w:r>
        <w:lastRenderedPageBreak/>
        <w:t>einem früheren Data-Wrangling-Modulprojekt wiederverwendet werden, ist dies mit der Betreuung abzusprechen und in der Eigenständigkeitserklärung auszuweisen.</w:t>
      </w:r>
    </w:p>
    <w:p w14:paraId="32F70D1B" w14:textId="77777777" w:rsidR="003D6A89" w:rsidRDefault="00000000">
      <w:pPr>
        <w:pStyle w:val="berschrift1"/>
      </w:pPr>
      <w:r>
        <w:lastRenderedPageBreak/>
        <w:t>Nächste Schritte</w:t>
      </w:r>
    </w:p>
    <w:p w14:paraId="4ABE9774" w14:textId="77777777" w:rsidR="003D6A89" w:rsidRDefault="00000000">
      <w:pPr>
        <w:pStyle w:val="berschrift2"/>
      </w:pPr>
      <w:r>
        <w:t>Empirische Erweiterungen</w:t>
      </w:r>
    </w:p>
    <w:p w14:paraId="0CC52465" w14:textId="77777777" w:rsidR="003D6A89" w:rsidRDefault="00000000">
      <w:r>
        <w:t>Die naheliegendste Erweiterung ist eine Mehr-Wahlen- und Mehr-Markt-Stichprobe, die den Befund über den Einzelkontext der US-Wahl 2024 hinaus prüft und so die externe Validität adressiert. Für H2 würden Intraday-Daten erlauben, statt täglicher Reaktionsmuster die tatsächliche Reaktionsgeschwindigkeit zu messen. Für H3 wäre ein Out-of-Sample-Test der Verdachts-Signatur (Abschnitt 2.5) gegen die wenigen öffentlich dokumentierten Insider-Fälle aufschlussreich, ebenso ein Abgleich des Tier-Vorlaufs gegen verifizierte Nachrichten-Zeitstempel.</w:t>
      </w:r>
    </w:p>
    <w:p w14:paraId="0211F5B6" w14:textId="77777777" w:rsidR="003D6A89" w:rsidRDefault="00000000">
      <w:pPr>
        <w:pStyle w:val="berschrift2"/>
      </w:pPr>
      <w:r>
        <w:t>Methodische Härtung</w:t>
      </w:r>
    </w:p>
    <w:p w14:paraId="060BF161" w14:textId="77777777" w:rsidR="003D6A89" w:rsidRDefault="00000000">
      <w:r>
        <w:t>Zur Härtung der Verdachts-Signatur fehlen deterministische, getestete Merkmale: die Funding-Quelle der Wallets (zentrale Börse oder Mixer), Wallet-Lebensdauer und Transaktionszahl, einseitiger Fluss je Markt sowie Konzentrationsmasse. Parallel ist die dokumentierte Logit-Transformation für RealClearPolitics abzuschliessen; erst danach dürfen umfragebasierte Quellen wie der Poll-Transform vollständig in die Wahrscheinlichkeits- und Kalibrierungsmetriken eingehen. Jede solche Transformation wird vor Gebrauch dokumentiert.</w:t>
      </w:r>
    </w:p>
    <w:p w14:paraId="1337DACE" w14:textId="77777777" w:rsidR="003D6A89" w:rsidRDefault="00000000">
      <w:pPr>
        <w:pStyle w:val="berschrift2"/>
      </w:pPr>
      <w:r>
        <w:t>Werkzeug und Agenten-Schicht</w:t>
      </w:r>
    </w:p>
    <w:p w14:paraId="60D1BCA8" w14:textId="77777777" w:rsidR="003D6A89" w:rsidRDefault="00000000">
      <w:r>
        <w:t>Die agentengestützte Assistenzschicht bleibt Future Work, bis klar definierte Aktivierungs-Gates stehen: ein separates Goal, Tests, begrenzte Eingaben (maximal 50 Zeilen je Abfrage) und die Protokollierung jeder LLM-Interaktion. Künftige Agenten dürfen begrenzte, bereits berechnete Zusammenfassungen sichten und einordnen, aber keine Kennzahlen berechnen; eine spätere MCP-Schicht stellt nur lesende Werkzeuge bereit, ohne rohes SQL und ohne standardmässige Wallet-Adress-Ausgabe.</w:t>
      </w:r>
    </w:p>
    <w:p w14:paraId="693F73F3" w14:textId="77777777" w:rsidR="003D6A89" w:rsidRDefault="00000000">
      <w:pPr>
        <w:pStyle w:val="berschrift2"/>
      </w:pPr>
      <w:r>
        <w:t>Organisatorische Schritte</w:t>
      </w:r>
    </w:p>
    <w:p w14:paraId="42501DA0" w14:textId="77777777" w:rsidR="003D6A89" w:rsidRDefault="00000000">
      <w:r>
        <w:t>Schliesslich sind Umfang und Anrechnung der Sekundärbeiträge sowie die Wiederverwendung des Data-Wrangling-Moduls mit der Betreuung zu klären und in der Eigenständigkeitserklärung auszuweisen.</w:t>
      </w:r>
    </w:p>
    <w:p w14:paraId="168D4FA1" w14:textId="77777777" w:rsidR="003D6A89" w:rsidRDefault="00000000">
      <w:pPr>
        <w:pStyle w:val="berschrift1"/>
      </w:pPr>
      <w:r>
        <w:lastRenderedPageBreak/>
        <w:t>Anhang: Ergänzende Abbildungen</w:t>
      </w:r>
    </w:p>
    <w:p w14:paraId="4634986C" w14:textId="77777777" w:rsidR="003D6A89" w:rsidRDefault="00000000">
      <w:r>
        <w:t>Dieser Anhang sammelt ergänzende, im Haupttext nicht abgebildete Diagnostiken zu H1 sowie eine Ansicht des Monitoring-Werkzeugs. Sie stützen die Befunde, sind für die Argumentation aber nicht zwingend.</w:t>
      </w:r>
    </w:p>
    <w:p w14:paraId="6AC84544" w14:textId="77777777" w:rsidR="003D6A89" w:rsidRDefault="00000000">
      <w:pPr>
        <w:pStyle w:val="berschrift2"/>
      </w:pPr>
      <w:r>
        <w:t>H1-Robustheit nach Prognosehorizont</w:t>
      </w:r>
    </w:p>
    <w:p w14:paraId="20164056" w14:textId="77777777" w:rsidR="003D6A89" w:rsidRDefault="00000000">
      <w:r>
        <w:t>Abbildung 12 schlüsselt den H1-Poll-Vergleich nach Prognosehorizont auf und zeigt, dass der Polymarket-Vorteil an das Fenster bis 90 Tage gebunden ist, während das volle Panel ihn nicht trägt.</w:t>
      </w:r>
    </w:p>
    <w:p w14:paraId="10AED5D2" w14:textId="77777777" w:rsidR="003D6A89" w:rsidRDefault="00000000">
      <w:pPr>
        <w:jc w:val="center"/>
      </w:pPr>
      <w:r>
        <w:rPr>
          <w:noProof/>
        </w:rPr>
        <w:drawing>
          <wp:inline distT="0" distB="0" distL="0" distR="0" wp14:anchorId="66F5303D" wp14:editId="67487FAE">
            <wp:extent cx="5212080" cy="3257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state_poll_panel_horizon_diagnostic.png"/>
                    <pic:cNvPicPr/>
                  </pic:nvPicPr>
                  <pic:blipFill>
                    <a:blip r:embed="rId30"/>
                    <a:stretch>
                      <a:fillRect/>
                    </a:stretch>
                  </pic:blipFill>
                  <pic:spPr>
                    <a:xfrm>
                      <a:off x="0" y="0"/>
                      <a:ext cx="5212080" cy="3257550"/>
                    </a:xfrm>
                    <a:prstGeom prst="rect">
                      <a:avLst/>
                    </a:prstGeom>
                  </pic:spPr>
                </pic:pic>
              </a:graphicData>
            </a:graphic>
          </wp:inline>
        </w:drawing>
      </w:r>
    </w:p>
    <w:p w14:paraId="1E4DA412" w14:textId="77777777" w:rsidR="003D6A89" w:rsidRPr="00DD63C5" w:rsidRDefault="00000000">
      <w:pPr>
        <w:pStyle w:val="Beschriftung"/>
        <w:rPr>
          <w:lang w:val="en-US"/>
        </w:rPr>
      </w:pPr>
      <w:r>
        <w:t>Abbildung 12: H1-Robustheit nach Prognosehorizont: mittlerer Brier-Verlust,</w:t>
      </w:r>
      <w:r>
        <w:br/>
        <w:t>Lower-Loss-Zählung und Mehrheitsschwelle je Horizont-Bin sowie Claim-Audit. Das</w:t>
      </w:r>
      <w:r>
        <w:br/>
        <w:t xml:space="preserve">Fenster bis 90 Tage stützt Polymarket, das volle Panel nicht. </w:t>
      </w:r>
      <w:r w:rsidRPr="00DD63C5">
        <w:rPr>
          <w:lang w:val="en-US"/>
        </w:rPr>
        <w:t>Quelle:</w:t>
      </w:r>
      <w:r w:rsidRPr="00DD63C5">
        <w:rPr>
          <w:lang w:val="en-US"/>
        </w:rPr>
        <w:br/>
      </w:r>
      <w:r w:rsidRPr="00DD63C5">
        <w:rPr>
          <w:i/>
          <w:lang w:val="en-US"/>
        </w:rPr>
        <w:t>data/results/h1_state_poll_panel_horizon_diagnostic.png</w:t>
      </w:r>
      <w:r w:rsidRPr="00DD63C5">
        <w:rPr>
          <w:lang w:val="en-US"/>
        </w:rPr>
        <w:t>.</w:t>
      </w:r>
    </w:p>
    <w:p w14:paraId="239C04A8" w14:textId="77777777" w:rsidR="003D6A89" w:rsidRDefault="00000000">
      <w:pPr>
        <w:pStyle w:val="berschrift2"/>
      </w:pPr>
      <w:r>
        <w:t>H1-Robustheit gegenüber Ausreissern und Bundesstaaten</w:t>
      </w:r>
    </w:p>
    <w:p w14:paraId="336B6AC3" w14:textId="77777777" w:rsidR="003D6A89" w:rsidRDefault="00000000">
      <w:r>
        <w:t>Abbildung 13 prüft, ob der Vorteil an einzelnen Bundesstaaten hängt.</w:t>
      </w:r>
    </w:p>
    <w:p w14:paraId="3AEB8A7D" w14:textId="77777777" w:rsidR="003D6A89" w:rsidRDefault="00000000">
      <w:pPr>
        <w:jc w:val="center"/>
      </w:pPr>
      <w:r>
        <w:rPr>
          <w:noProof/>
        </w:rPr>
        <w:lastRenderedPageBreak/>
        <w:drawing>
          <wp:inline distT="0" distB="0" distL="0" distR="0" wp14:anchorId="63572926" wp14:editId="21D28913">
            <wp:extent cx="5212080" cy="32074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direct_poll_outlier_robustness.png"/>
                    <pic:cNvPicPr/>
                  </pic:nvPicPr>
                  <pic:blipFill>
                    <a:blip r:embed="rId31"/>
                    <a:stretch>
                      <a:fillRect/>
                    </a:stretch>
                  </pic:blipFill>
                  <pic:spPr>
                    <a:xfrm>
                      <a:off x="0" y="0"/>
                      <a:ext cx="5212080" cy="3207434"/>
                    </a:xfrm>
                    <a:prstGeom prst="rect">
                      <a:avLst/>
                    </a:prstGeom>
                  </pic:spPr>
                </pic:pic>
              </a:graphicData>
            </a:graphic>
          </wp:inline>
        </w:drawing>
      </w:r>
    </w:p>
    <w:p w14:paraId="792CBA78" w14:textId="77777777" w:rsidR="003D6A89" w:rsidRDefault="00000000">
      <w:pPr>
        <w:pStyle w:val="Beschriftung"/>
      </w:pPr>
      <w:r>
        <w:t>Abbildung 13: H1-Robustheit gegenüber Ausreissern: Leave-one-state-out-Mittel, Erosion</w:t>
      </w:r>
      <w:r>
        <w:br/>
        <w:t>beim Entfernen der grössten positiven Staaten und Beitrag je Bundesstaat. Der</w:t>
      </w:r>
      <w:r>
        <w:br/>
        <w:t>Vorteil hängt nicht an einem einzelnen Staat, bleibt aber auf die Top-Staaten</w:t>
      </w:r>
      <w:r>
        <w:br/>
        <w:t>konzentriert; die breite Mehr-Fälle-Behauptung bleibt ungedeckt. Quelle:</w:t>
      </w:r>
      <w:r>
        <w:br/>
      </w:r>
      <w:r>
        <w:rPr>
          <w:i/>
        </w:rPr>
        <w:t>data/results/h1_direct_poll_outlier_robustness.png</w:t>
      </w:r>
      <w:r>
        <w:t>.</w:t>
      </w:r>
    </w:p>
    <w:p w14:paraId="43FA7E5C" w14:textId="77777777" w:rsidR="003D6A89" w:rsidRPr="00DD63C5" w:rsidRDefault="00000000">
      <w:pPr>
        <w:pStyle w:val="berschrift2"/>
        <w:rPr>
          <w:lang w:val="en-US"/>
        </w:rPr>
      </w:pPr>
      <w:r w:rsidRPr="00DD63C5">
        <w:rPr>
          <w:lang w:val="en-US"/>
        </w:rPr>
        <w:t>Monitoring-</w:t>
      </w:r>
      <w:proofErr w:type="spellStart"/>
      <w:r w:rsidRPr="00DD63C5">
        <w:rPr>
          <w:lang w:val="en-US"/>
        </w:rPr>
        <w:t>Werkzeug</w:t>
      </w:r>
      <w:proofErr w:type="spellEnd"/>
      <w:r w:rsidRPr="00DD63C5">
        <w:rPr>
          <w:lang w:val="en-US"/>
        </w:rPr>
        <w:t xml:space="preserve"> (Read-only-</w:t>
      </w:r>
      <w:proofErr w:type="spellStart"/>
      <w:r w:rsidRPr="00DD63C5">
        <w:rPr>
          <w:lang w:val="en-US"/>
        </w:rPr>
        <w:t>Prototyp</w:t>
      </w:r>
      <w:proofErr w:type="spellEnd"/>
      <w:r w:rsidRPr="00DD63C5">
        <w:rPr>
          <w:lang w:val="en-US"/>
        </w:rPr>
        <w:t>)</w:t>
      </w:r>
    </w:p>
    <w:p w14:paraId="7BCE777E" w14:textId="77777777" w:rsidR="003D6A89" w:rsidRDefault="00000000">
      <w:r>
        <w:t xml:space="preserve">Abbildung 14 zeigt eine Ansicht des </w:t>
      </w:r>
      <w:proofErr w:type="spellStart"/>
      <w:r>
        <w:t>read-only</w:t>
      </w:r>
      <w:proofErr w:type="spellEnd"/>
      <w:r>
        <w:t xml:space="preserve"> Monitors über mehrere Live-Märkte.</w:t>
      </w:r>
    </w:p>
    <w:p w14:paraId="3ACB2871" w14:textId="77777777" w:rsidR="003D6A89" w:rsidRDefault="00000000">
      <w:pPr>
        <w:jc w:val="center"/>
      </w:pPr>
      <w:r>
        <w:rPr>
          <w:noProof/>
        </w:rPr>
        <w:drawing>
          <wp:inline distT="0" distB="0" distL="0" distR="0" wp14:anchorId="24E15174" wp14:editId="72FEA7C7">
            <wp:extent cx="5212080" cy="30403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_v2_polymarket_rolling_history.png"/>
                    <pic:cNvPicPr/>
                  </pic:nvPicPr>
                  <pic:blipFill>
                    <a:blip r:embed="rId32"/>
                    <a:stretch>
                      <a:fillRect/>
                    </a:stretch>
                  </pic:blipFill>
                  <pic:spPr>
                    <a:xfrm>
                      <a:off x="0" y="0"/>
                      <a:ext cx="5212080" cy="3040380"/>
                    </a:xfrm>
                    <a:prstGeom prst="rect">
                      <a:avLst/>
                    </a:prstGeom>
                  </pic:spPr>
                </pic:pic>
              </a:graphicData>
            </a:graphic>
          </wp:inline>
        </w:drawing>
      </w:r>
    </w:p>
    <w:p w14:paraId="1EDB40B5" w14:textId="77777777" w:rsidR="003D6A89" w:rsidRDefault="00000000">
      <w:pPr>
        <w:pStyle w:val="Beschriftung"/>
      </w:pPr>
      <w:r>
        <w:lastRenderedPageBreak/>
        <w:t>Abbildung 14: Monitoring-Werkzeug (Read-only-Prototyp): rollende Polymarket-Midpoint-Historie</w:t>
      </w:r>
      <w:r>
        <w:br/>
        <w:t>und aggregierte öffentliche Handelsaktivität je Zeitfenster (Illustration, kurzer</w:t>
      </w:r>
      <w:r>
        <w:br/>
        <w:t>Beobachtungszeitraum). Quelle:</w:t>
      </w:r>
      <w:r>
        <w:br/>
      </w:r>
      <w:r>
        <w:rPr>
          <w:i/>
        </w:rPr>
        <w:t>data/results/monitor_v2_polymarket_rolling_history.png</w:t>
      </w:r>
      <w:r>
        <w:t>.</w:t>
      </w:r>
    </w:p>
    <w:p w14:paraId="5C4E286F" w14:textId="77777777" w:rsidR="00BA0923" w:rsidRPr="008E3B72" w:rsidRDefault="00BA0923" w:rsidP="00D000CF">
      <w:pPr>
        <w:pStyle w:val="berschrift1ohneNummerierung"/>
      </w:pPr>
      <w:bookmarkStart w:id="7" w:name="_Toc57457378"/>
      <w:bookmarkStart w:id="8" w:name="_Toc119117843"/>
      <w:bookmarkStart w:id="9" w:name="_Toc134025436"/>
      <w:bookmarkStart w:id="10" w:name="_Toc51063184"/>
      <w:bookmarkStart w:id="11" w:name="_Toc10599446"/>
      <w:r w:rsidRPr="008E3B72">
        <w:lastRenderedPageBreak/>
        <w:t>Literaturverzeichnis</w:t>
      </w:r>
      <w:bookmarkEnd w:id="7"/>
      <w:bookmarkEnd w:id="8"/>
      <w:bookmarkEnd w:id="9"/>
    </w:p>
    <w:p w14:paraId="3D720B82" w14:textId="77777777" w:rsidR="00BD265D" w:rsidRPr="00BD265D" w:rsidRDefault="00BD265D" w:rsidP="00BD265D">
      <w:pPr>
        <w:spacing w:after="80"/>
        <w:ind w:left="284" w:hanging="284"/>
        <w:rPr>
          <w:rFonts w:cs="Arial"/>
          <w:color w:val="000000" w:themeColor="text1"/>
          <w:szCs w:val="22"/>
        </w:rPr>
      </w:pPr>
      <w:bookmarkStart w:id="12" w:name="Abbildungsverzeichnis"/>
      <w:bookmarkStart w:id="13" w:name="_Toc59933380"/>
      <w:bookmarkEnd w:id="10"/>
      <w:r w:rsidRPr="00BD265D">
        <w:rPr>
          <w:rFonts w:cs="Arial"/>
          <w:color w:val="000000" w:themeColor="text1"/>
          <w:szCs w:val="22"/>
        </w:rPr>
        <w:t>Ihr Literaturverzeichnis</w:t>
      </w:r>
    </w:p>
    <w:p w14:paraId="5B304441" w14:textId="77777777" w:rsidR="003D6A89" w:rsidRPr="00DD63C5" w:rsidRDefault="00000000">
      <w:pPr>
        <w:pStyle w:val="Literatureintrag"/>
        <w:rPr>
          <w:lang w:val="en-US"/>
        </w:rPr>
      </w:pPr>
      <w:r w:rsidRPr="00DD63C5">
        <w:rPr>
          <w:lang w:val="en-US"/>
        </w:rPr>
        <w:t>Arrow, K. J., Forsythe, R., Gorham, M. et al. (2008). The promise of prediction markets. Science, 320(5878), 877–878.</w:t>
      </w:r>
    </w:p>
    <w:p w14:paraId="65B75D22" w14:textId="77777777" w:rsidR="003D6A89" w:rsidRPr="00DD63C5" w:rsidRDefault="00000000">
      <w:pPr>
        <w:pStyle w:val="Literatureintrag"/>
        <w:rPr>
          <w:lang w:val="en-US"/>
        </w:rPr>
      </w:pPr>
      <w:r w:rsidRPr="00DD63C5">
        <w:rPr>
          <w:lang w:val="en-US"/>
        </w:rPr>
        <w:t>Berg, J. E., Nelson, F. D. &amp; Rietz, T. A. (2008). Prediction market accuracy in the long run. International Journal of Forecasting, 24(2), 285–300.</w:t>
      </w:r>
    </w:p>
    <w:p w14:paraId="467CD44B" w14:textId="77777777" w:rsidR="003D6A89" w:rsidRPr="00DD63C5" w:rsidRDefault="00000000">
      <w:pPr>
        <w:pStyle w:val="Literatureintrag"/>
        <w:rPr>
          <w:lang w:val="en-US"/>
        </w:rPr>
      </w:pPr>
      <w:r w:rsidRPr="00DD63C5">
        <w:rPr>
          <w:lang w:val="en-US"/>
        </w:rPr>
        <w:t>Brier, G. W. (1950). Verification of forecasts expressed in terms of probability. Monthly Weather Review, 78(1), 1–3.</w:t>
      </w:r>
    </w:p>
    <w:p w14:paraId="3DE90D26" w14:textId="77777777" w:rsidR="003D6A89" w:rsidRPr="00DD63C5" w:rsidRDefault="00000000">
      <w:pPr>
        <w:pStyle w:val="Literatureintrag"/>
        <w:rPr>
          <w:lang w:val="en-US"/>
        </w:rPr>
      </w:pPr>
      <w:r w:rsidRPr="00DD63C5">
        <w:rPr>
          <w:lang w:val="en-US"/>
        </w:rPr>
        <w:t xml:space="preserve">Britannica Money. (2026). </w:t>
      </w:r>
      <w:proofErr w:type="spellStart"/>
      <w:r w:rsidRPr="00DD63C5">
        <w:rPr>
          <w:lang w:val="en-US"/>
        </w:rPr>
        <w:t>Polymarket</w:t>
      </w:r>
      <w:proofErr w:type="spellEnd"/>
      <w:r w:rsidRPr="00DD63C5">
        <w:rPr>
          <w:lang w:val="en-US"/>
        </w:rPr>
        <w:t>. https://www.britannica.com/money/Polymarket</w:t>
      </w:r>
    </w:p>
    <w:p w14:paraId="30AA44B8" w14:textId="77777777" w:rsidR="003D6A89" w:rsidRPr="00DD63C5" w:rsidRDefault="00000000">
      <w:pPr>
        <w:pStyle w:val="Literatureintrag"/>
        <w:rPr>
          <w:lang w:val="en-US"/>
        </w:rPr>
      </w:pPr>
      <w:r>
        <w:t xml:space="preserve">Bürgi, C., Deng, W. &amp; Whelan, K. (2025). </w:t>
      </w:r>
      <w:r w:rsidRPr="00DD63C5">
        <w:rPr>
          <w:lang w:val="en-US"/>
        </w:rPr>
        <w:t>Makers and takers: The economics of the Kalshi prediction market (</w:t>
      </w:r>
      <w:proofErr w:type="spellStart"/>
      <w:r w:rsidRPr="00DD63C5">
        <w:rPr>
          <w:lang w:val="en-US"/>
        </w:rPr>
        <w:t>CESifo</w:t>
      </w:r>
      <w:proofErr w:type="spellEnd"/>
      <w:r w:rsidRPr="00DD63C5">
        <w:rPr>
          <w:lang w:val="en-US"/>
        </w:rPr>
        <w:t xml:space="preserve"> Working Paper Nr. 12122). </w:t>
      </w:r>
      <w:proofErr w:type="spellStart"/>
      <w:r w:rsidRPr="00DD63C5">
        <w:rPr>
          <w:lang w:val="en-US"/>
        </w:rPr>
        <w:t>CESifo</w:t>
      </w:r>
      <w:proofErr w:type="spellEnd"/>
      <w:r w:rsidRPr="00DD63C5">
        <w:rPr>
          <w:lang w:val="en-US"/>
        </w:rPr>
        <w:t>.</w:t>
      </w:r>
    </w:p>
    <w:p w14:paraId="0F1B1F7D" w14:textId="77777777" w:rsidR="003D6A89" w:rsidRPr="00DD63C5" w:rsidRDefault="00000000">
      <w:pPr>
        <w:pStyle w:val="Literatureintrag"/>
        <w:rPr>
          <w:lang w:val="en-US"/>
        </w:rPr>
      </w:pPr>
      <w:proofErr w:type="spellStart"/>
      <w:r w:rsidRPr="00DD63C5">
        <w:rPr>
          <w:lang w:val="en-US"/>
        </w:rPr>
        <w:t>Chainalysis</w:t>
      </w:r>
      <w:proofErr w:type="spellEnd"/>
      <w:r w:rsidRPr="00DD63C5">
        <w:rPr>
          <w:lang w:val="en-US"/>
        </w:rPr>
        <w:t>. (2024). What is blockchain forensics? https://www.chainalysis.com/glossary/blockchain-forensics/</w:t>
      </w:r>
    </w:p>
    <w:p w14:paraId="1E93AD51" w14:textId="77777777" w:rsidR="003D6A89" w:rsidRPr="00DD63C5" w:rsidRDefault="00000000">
      <w:pPr>
        <w:pStyle w:val="Literatureintrag"/>
        <w:rPr>
          <w:lang w:val="en-US"/>
        </w:rPr>
      </w:pPr>
      <w:r w:rsidRPr="00DD63C5">
        <w:rPr>
          <w:lang w:val="fr-CH"/>
        </w:rPr>
        <w:t xml:space="preserve">Clinton, J. D. &amp; Huang, T. (2025). </w:t>
      </w:r>
      <w:r w:rsidRPr="00DD63C5">
        <w:rPr>
          <w:lang w:val="en-US"/>
        </w:rPr>
        <w:t xml:space="preserve">Prediction markets? The accuracy and efficiency of 2.4 billion in the 2024 presidential election [Preprint]. </w:t>
      </w:r>
      <w:proofErr w:type="spellStart"/>
      <w:r w:rsidRPr="00DD63C5">
        <w:rPr>
          <w:lang w:val="en-US"/>
        </w:rPr>
        <w:t>SocArXiv</w:t>
      </w:r>
      <w:proofErr w:type="spellEnd"/>
      <w:r w:rsidRPr="00DD63C5">
        <w:rPr>
          <w:lang w:val="en-US"/>
        </w:rPr>
        <w:t>. https://osf.io/preprints/socarxiv/d5yx2</w:t>
      </w:r>
    </w:p>
    <w:p w14:paraId="226CCB07" w14:textId="77777777" w:rsidR="003D6A89" w:rsidRPr="00DD63C5" w:rsidRDefault="00000000">
      <w:pPr>
        <w:pStyle w:val="Literatureintrag"/>
        <w:rPr>
          <w:lang w:val="en-US"/>
        </w:rPr>
      </w:pPr>
      <w:r w:rsidRPr="00DD63C5">
        <w:rPr>
          <w:lang w:val="en-US"/>
        </w:rPr>
        <w:t>Cutting, L. E., Hughes-</w:t>
      </w:r>
      <w:proofErr w:type="spellStart"/>
      <w:r w:rsidRPr="00DD63C5">
        <w:rPr>
          <w:lang w:val="en-US"/>
        </w:rPr>
        <w:t>Berheim</w:t>
      </w:r>
      <w:proofErr w:type="spellEnd"/>
      <w:r w:rsidRPr="00DD63C5">
        <w:rPr>
          <w:lang w:val="en-US"/>
        </w:rPr>
        <w:t xml:space="preserve">, S. S., Johnson, P. M., Baroud, H. &amp; Goldstein, B. (2025). Are betting markets better than polling in predicting political elections? (arXiv:2507.08921). </w:t>
      </w:r>
      <w:proofErr w:type="spellStart"/>
      <w:r w:rsidRPr="00DD63C5">
        <w:rPr>
          <w:lang w:val="en-US"/>
        </w:rPr>
        <w:t>arXiv</w:t>
      </w:r>
      <w:proofErr w:type="spellEnd"/>
      <w:r w:rsidRPr="00DD63C5">
        <w:rPr>
          <w:lang w:val="en-US"/>
        </w:rPr>
        <w:t>.</w:t>
      </w:r>
    </w:p>
    <w:p w14:paraId="42B593C6" w14:textId="77777777" w:rsidR="003D6A89" w:rsidRPr="00DD63C5" w:rsidRDefault="00000000">
      <w:pPr>
        <w:pStyle w:val="Literatureintrag"/>
        <w:rPr>
          <w:lang w:val="en-US"/>
        </w:rPr>
      </w:pPr>
      <w:r w:rsidRPr="00DD63C5">
        <w:rPr>
          <w:lang w:val="en-US"/>
        </w:rPr>
        <w:t xml:space="preserve">Decrypt. (2026). </w:t>
      </w:r>
      <w:proofErr w:type="spellStart"/>
      <w:r w:rsidRPr="00DD63C5">
        <w:rPr>
          <w:lang w:val="en-US"/>
        </w:rPr>
        <w:t>Polymarket</w:t>
      </w:r>
      <w:proofErr w:type="spellEnd"/>
      <w:r w:rsidRPr="00DD63C5">
        <w:rPr>
          <w:lang w:val="en-US"/>
        </w:rPr>
        <w:t xml:space="preserve"> launches market integrity tools following soldier's insider trading arrest. https://decrypt.co/366177/</w:t>
      </w:r>
    </w:p>
    <w:p w14:paraId="4AF2F0AA" w14:textId="77777777" w:rsidR="003D6A89" w:rsidRPr="00DD63C5" w:rsidRDefault="00000000">
      <w:pPr>
        <w:pStyle w:val="Literatureintrag"/>
        <w:rPr>
          <w:lang w:val="en-US"/>
        </w:rPr>
      </w:pPr>
      <w:r w:rsidRPr="00DD63C5">
        <w:rPr>
          <w:lang w:val="en-US"/>
        </w:rPr>
        <w:t>Delvecchio, E. (2026). Informed trading in prediction markets: Evidence from Kalshi mentions contracts [Senior Thesis, Claremont McKenna College].</w:t>
      </w:r>
    </w:p>
    <w:p w14:paraId="65078C83" w14:textId="77777777" w:rsidR="003D6A89" w:rsidRPr="00DD63C5" w:rsidRDefault="00000000">
      <w:pPr>
        <w:pStyle w:val="Literatureintrag"/>
        <w:rPr>
          <w:lang w:val="en-US"/>
        </w:rPr>
      </w:pPr>
      <w:r w:rsidRPr="00DD63C5">
        <w:rPr>
          <w:lang w:val="en-US"/>
        </w:rPr>
        <w:t>Diebold, F. X. &amp; Mariano, R. S. (1995). Comparing predictive accuracy. Journal of Business &amp; Economic Statistics, 13(3), 253–263.</w:t>
      </w:r>
    </w:p>
    <w:p w14:paraId="6DA666DD" w14:textId="77777777" w:rsidR="003D6A89" w:rsidRPr="00DD63C5" w:rsidRDefault="00000000">
      <w:pPr>
        <w:pStyle w:val="Literatureintrag"/>
        <w:rPr>
          <w:lang w:val="en-US"/>
        </w:rPr>
      </w:pPr>
      <w:r w:rsidRPr="00DD63C5">
        <w:rPr>
          <w:lang w:val="en-US"/>
        </w:rPr>
        <w:t>Fama, E. F. (1970). Efficient capital markets: A review of theory and empirical work. The Journal of Finance, 25(2), 383–417.</w:t>
      </w:r>
    </w:p>
    <w:p w14:paraId="23C50DFE" w14:textId="77777777" w:rsidR="003D6A89" w:rsidRPr="00DD63C5" w:rsidRDefault="00000000">
      <w:pPr>
        <w:pStyle w:val="Literatureintrag"/>
        <w:rPr>
          <w:lang w:val="en-US"/>
        </w:rPr>
      </w:pPr>
      <w:r w:rsidRPr="00DD63C5">
        <w:rPr>
          <w:lang w:val="en-US"/>
        </w:rPr>
        <w:t>Gneiting, T. &amp; Raftery, A. E. (2007). Strictly proper scoring rules, prediction, and estimation. Journal of the American Statistical Association, 102(477), 359–378.</w:t>
      </w:r>
    </w:p>
    <w:p w14:paraId="59B69DB7" w14:textId="77777777" w:rsidR="003D6A89" w:rsidRPr="00DD63C5" w:rsidRDefault="00000000">
      <w:pPr>
        <w:pStyle w:val="Literatureintrag"/>
        <w:rPr>
          <w:lang w:val="en-US"/>
        </w:rPr>
      </w:pPr>
      <w:r w:rsidRPr="00DD63C5">
        <w:rPr>
          <w:lang w:val="en-US"/>
        </w:rPr>
        <w:t xml:space="preserve">Granger, C. W. J. (1969). Investigating causal relations by econometric models and cross-spectral methods. </w:t>
      </w:r>
      <w:proofErr w:type="spellStart"/>
      <w:r w:rsidRPr="00DD63C5">
        <w:rPr>
          <w:lang w:val="en-US"/>
        </w:rPr>
        <w:t>Econometrica</w:t>
      </w:r>
      <w:proofErr w:type="spellEnd"/>
      <w:r w:rsidRPr="00DD63C5">
        <w:rPr>
          <w:lang w:val="en-US"/>
        </w:rPr>
        <w:t>, 37(3), 424–438.</w:t>
      </w:r>
    </w:p>
    <w:p w14:paraId="4DCD6A85" w14:textId="77777777" w:rsidR="003D6A89" w:rsidRPr="00DD63C5" w:rsidRDefault="00000000">
      <w:pPr>
        <w:pStyle w:val="Literatureintrag"/>
        <w:rPr>
          <w:lang w:val="en-US"/>
        </w:rPr>
      </w:pPr>
      <w:r w:rsidRPr="00DD63C5">
        <w:rPr>
          <w:lang w:val="en-US"/>
        </w:rPr>
        <w:lastRenderedPageBreak/>
        <w:t>Gruca, T. S. &amp; Rietz, T. A. (2025). Iowa Electronic Markets: Forecasting the 2024 U.S. presidential election. PS: Political Science &amp; Politics, 58(2).</w:t>
      </w:r>
    </w:p>
    <w:p w14:paraId="5C7C3F84" w14:textId="77777777" w:rsidR="003D6A89" w:rsidRPr="00DD63C5" w:rsidRDefault="00000000">
      <w:pPr>
        <w:pStyle w:val="Literatureintrag"/>
        <w:rPr>
          <w:lang w:val="en-US"/>
        </w:rPr>
      </w:pPr>
      <w:r w:rsidRPr="00DD63C5">
        <w:rPr>
          <w:lang w:val="en-US"/>
        </w:rPr>
        <w:t xml:space="preserve">Hanson, R. (2007). Insider trading and prediction markets. George Mason University. https://mason.gmu.edu/ </w:t>
      </w:r>
      <w:proofErr w:type="spellStart"/>
      <w:r w:rsidRPr="00DD63C5">
        <w:rPr>
          <w:lang w:val="en-US"/>
        </w:rPr>
        <w:t>rhanson</w:t>
      </w:r>
      <w:proofErr w:type="spellEnd"/>
      <w:r w:rsidRPr="00DD63C5">
        <w:rPr>
          <w:lang w:val="en-US"/>
        </w:rPr>
        <w:t>/insiderbet.pdf</w:t>
      </w:r>
    </w:p>
    <w:p w14:paraId="259D8492" w14:textId="77777777" w:rsidR="003D6A89" w:rsidRPr="00DD63C5" w:rsidRDefault="00000000">
      <w:pPr>
        <w:pStyle w:val="Literatureintrag"/>
        <w:rPr>
          <w:lang w:val="en-US"/>
        </w:rPr>
      </w:pPr>
      <w:r w:rsidRPr="00DD63C5">
        <w:rPr>
          <w:lang w:val="en-US"/>
        </w:rPr>
        <w:t xml:space="preserve">Intercontinental Exchange. (2025). ICE announces strategic investment in </w:t>
      </w:r>
      <w:proofErr w:type="spellStart"/>
      <w:r w:rsidRPr="00DD63C5">
        <w:rPr>
          <w:lang w:val="en-US"/>
        </w:rPr>
        <w:t>Polymarket</w:t>
      </w:r>
      <w:proofErr w:type="spellEnd"/>
      <w:r w:rsidRPr="00DD63C5">
        <w:rPr>
          <w:lang w:val="en-US"/>
        </w:rPr>
        <w:t>. https://ir.theice.com/press/news-details/2025/ICE-Announces-Strategic-Investment-in-Polymarket/default.aspx</w:t>
      </w:r>
    </w:p>
    <w:p w14:paraId="26F391CF" w14:textId="77777777" w:rsidR="003D6A89" w:rsidRPr="00DD63C5" w:rsidRDefault="00000000">
      <w:pPr>
        <w:pStyle w:val="Literatureintrag"/>
        <w:rPr>
          <w:lang w:val="en-US"/>
        </w:rPr>
      </w:pPr>
      <w:r w:rsidRPr="00DD63C5">
        <w:rPr>
          <w:lang w:val="en-US"/>
        </w:rPr>
        <w:t>KPMG. (2025). The current state of prediction markets. https://kpmg.com/us/en/articles/2025/current-state-of-prediction-markets.html</w:t>
      </w:r>
    </w:p>
    <w:p w14:paraId="692D7196" w14:textId="77777777" w:rsidR="003D6A89" w:rsidRPr="00DD63C5" w:rsidRDefault="00000000">
      <w:pPr>
        <w:pStyle w:val="Literatureintrag"/>
        <w:rPr>
          <w:lang w:val="en-US"/>
        </w:rPr>
      </w:pPr>
      <w:r w:rsidRPr="00DD63C5">
        <w:rPr>
          <w:lang w:val="en-US"/>
        </w:rPr>
        <w:t xml:space="preserve">Kyle, A. S. (1985). Continuous auctions and insider trading. </w:t>
      </w:r>
      <w:proofErr w:type="spellStart"/>
      <w:r w:rsidRPr="00DD63C5">
        <w:rPr>
          <w:lang w:val="en-US"/>
        </w:rPr>
        <w:t>Econometrica</w:t>
      </w:r>
      <w:proofErr w:type="spellEnd"/>
      <w:r w:rsidRPr="00DD63C5">
        <w:rPr>
          <w:lang w:val="en-US"/>
        </w:rPr>
        <w:t>, 53(6), 1315–1335.</w:t>
      </w:r>
    </w:p>
    <w:p w14:paraId="0F6B7AF6" w14:textId="77777777" w:rsidR="003D6A89" w:rsidRPr="00DD63C5" w:rsidRDefault="00000000">
      <w:pPr>
        <w:pStyle w:val="Literatureintrag"/>
        <w:rPr>
          <w:lang w:val="en-US"/>
        </w:rPr>
      </w:pPr>
      <w:proofErr w:type="spellStart"/>
      <w:r w:rsidRPr="00DD63C5">
        <w:rPr>
          <w:lang w:val="en-US"/>
        </w:rPr>
        <w:t>MacKinlay</w:t>
      </w:r>
      <w:proofErr w:type="spellEnd"/>
      <w:r w:rsidRPr="00DD63C5">
        <w:rPr>
          <w:lang w:val="en-US"/>
        </w:rPr>
        <w:t>, A. C. (1997). Event studies in economics and finance. Journal of Economic Literature, 35(1), 13–39.</w:t>
      </w:r>
    </w:p>
    <w:p w14:paraId="2958DF53" w14:textId="77777777" w:rsidR="003D6A89" w:rsidRPr="00DD63C5" w:rsidRDefault="00000000">
      <w:pPr>
        <w:pStyle w:val="Literatureintrag"/>
        <w:rPr>
          <w:lang w:val="en-US"/>
        </w:rPr>
      </w:pPr>
      <w:r w:rsidRPr="00DD63C5">
        <w:rPr>
          <w:lang w:val="en-US"/>
        </w:rPr>
        <w:t>Manski, C. F. (2006). Interpreting the predictions of prediction markets. Economics Letters, 91(3), 425–429.</w:t>
      </w:r>
    </w:p>
    <w:p w14:paraId="517C3038" w14:textId="77777777" w:rsidR="003D6A89" w:rsidRPr="00DD63C5" w:rsidRDefault="00000000">
      <w:pPr>
        <w:pStyle w:val="Literatureintrag"/>
        <w:rPr>
          <w:lang w:val="en-US"/>
        </w:rPr>
      </w:pPr>
      <w:r w:rsidRPr="00DD63C5">
        <w:rPr>
          <w:lang w:val="en-US"/>
        </w:rPr>
        <w:t>Rezabek, P. (2024). Analysis of prediction markets in crypto [</w:t>
      </w:r>
      <w:proofErr w:type="spellStart"/>
      <w:r w:rsidRPr="00DD63C5">
        <w:rPr>
          <w:lang w:val="en-US"/>
        </w:rPr>
        <w:t>Masterarbeit</w:t>
      </w:r>
      <w:proofErr w:type="spellEnd"/>
      <w:r w:rsidRPr="00DD63C5">
        <w:rPr>
          <w:lang w:val="en-US"/>
        </w:rPr>
        <w:t>, Charles University].</w:t>
      </w:r>
    </w:p>
    <w:p w14:paraId="2452AF9C" w14:textId="77777777" w:rsidR="003D6A89" w:rsidRPr="00DD63C5" w:rsidRDefault="00000000">
      <w:pPr>
        <w:pStyle w:val="Literatureintrag"/>
        <w:rPr>
          <w:lang w:val="en-US"/>
        </w:rPr>
      </w:pPr>
      <w:r>
        <w:t xml:space="preserve">Tsang, K. P. &amp; Yang, Z. (2026). </w:t>
      </w:r>
      <w:r w:rsidRPr="00DD63C5">
        <w:rPr>
          <w:lang w:val="en-US"/>
        </w:rPr>
        <w:t xml:space="preserve">The anatomy of a blockchain prediction market: </w:t>
      </w:r>
      <w:proofErr w:type="spellStart"/>
      <w:r w:rsidRPr="00DD63C5">
        <w:rPr>
          <w:lang w:val="en-US"/>
        </w:rPr>
        <w:t>Polymarket</w:t>
      </w:r>
      <w:proofErr w:type="spellEnd"/>
      <w:r w:rsidRPr="00DD63C5">
        <w:rPr>
          <w:lang w:val="en-US"/>
        </w:rPr>
        <w:t xml:space="preserve"> in the 2024 U.S. presidential election (arXiv:2603.03136). </w:t>
      </w:r>
      <w:proofErr w:type="spellStart"/>
      <w:r w:rsidRPr="00DD63C5">
        <w:rPr>
          <w:lang w:val="en-US"/>
        </w:rPr>
        <w:t>arXiv</w:t>
      </w:r>
      <w:proofErr w:type="spellEnd"/>
      <w:r w:rsidRPr="00DD63C5">
        <w:rPr>
          <w:lang w:val="en-US"/>
        </w:rPr>
        <w:t>.</w:t>
      </w:r>
    </w:p>
    <w:p w14:paraId="1327B04B" w14:textId="77777777" w:rsidR="003D6A89" w:rsidRPr="00DD63C5" w:rsidRDefault="00000000">
      <w:pPr>
        <w:pStyle w:val="Literatureintrag"/>
        <w:rPr>
          <w:lang w:val="en-US"/>
        </w:rPr>
      </w:pPr>
      <w:r w:rsidRPr="00DD63C5">
        <w:rPr>
          <w:lang w:val="en-US"/>
        </w:rPr>
        <w:t>Wolfers, J. &amp; Zitzewitz, E. (2004). Prediction markets. Journal of Economic Perspectives, 18(2), 107–126.</w:t>
      </w:r>
    </w:p>
    <w:p w14:paraId="74A2DEB2" w14:textId="77777777" w:rsidR="003D6A89" w:rsidRPr="00DD63C5" w:rsidRDefault="00000000">
      <w:pPr>
        <w:pStyle w:val="Literatureintrag"/>
        <w:rPr>
          <w:lang w:val="en-US"/>
        </w:rPr>
      </w:pPr>
      <w:r w:rsidRPr="00DD63C5">
        <w:rPr>
          <w:lang w:val="en-US"/>
        </w:rPr>
        <w:t>Wolfers, J. &amp; Zitzewitz, E. (2006). Interpreting prediction market prices as probabilities (NBER Working Paper Nr. 12200). NBER.</w:t>
      </w:r>
    </w:p>
    <w:p w14:paraId="27464E5F" w14:textId="77777777" w:rsidR="003D6A89" w:rsidRDefault="00000000">
      <w:pPr>
        <w:pStyle w:val="Literatureintrag"/>
      </w:pPr>
      <w:r w:rsidRPr="00DD63C5">
        <w:rPr>
          <w:lang w:val="en-US"/>
        </w:rPr>
        <w:t xml:space="preserve">Wu, L. (2024). Unveiling </w:t>
      </w:r>
      <w:proofErr w:type="spellStart"/>
      <w:r w:rsidRPr="00DD63C5">
        <w:rPr>
          <w:lang w:val="en-US"/>
        </w:rPr>
        <w:t>Polymarket</w:t>
      </w:r>
      <w:proofErr w:type="spellEnd"/>
      <w:r w:rsidRPr="00DD63C5">
        <w:rPr>
          <w:lang w:val="en-US"/>
        </w:rPr>
        <w:t xml:space="preserve">: The positioning, expansion, and shadows of crypto prediction markets. </w:t>
      </w:r>
      <w:r>
        <w:t>Mint Ventures.</w:t>
      </w:r>
    </w:p>
    <w:p w14:paraId="4F396827" w14:textId="77777777" w:rsidR="00A30361" w:rsidRDefault="00A30361" w:rsidP="00A30361">
      <w:pPr>
        <w:pStyle w:val="berschrift1ohneNummerierung"/>
      </w:pPr>
      <w:bookmarkStart w:id="14" w:name="_Toc133589707"/>
      <w:bookmarkStart w:id="15" w:name="_Toc134025437"/>
      <w:r>
        <w:lastRenderedPageBreak/>
        <w:t>Hilfsmittelverzeichnis</w:t>
      </w:r>
      <w:bookmarkEnd w:id="14"/>
      <w:bookmarkEnd w:id="15"/>
    </w:p>
    <w:p w14:paraId="685D919B" w14:textId="77777777" w:rsidR="001F25E7" w:rsidRPr="00A30361" w:rsidRDefault="001F25E7" w:rsidP="001F25E7">
      <w:pPr>
        <w:rPr>
          <w:lang w:eastAsia="de-DE"/>
        </w:rPr>
      </w:pPr>
      <w:r w:rsidRPr="00CB3519">
        <w:rPr>
          <w:highlight w:val="yellow"/>
          <w:lang w:eastAsia="de-DE"/>
        </w:rPr>
        <w:t>Die Angaben in der Tabelle dienen als Beispiel, bitte individuell anpassen.</w:t>
      </w:r>
    </w:p>
    <w:tbl>
      <w:tblPr>
        <w:tblStyle w:val="Tabellenraster"/>
        <w:tblW w:w="0" w:type="auto"/>
        <w:tblLook w:val="04A0" w:firstRow="1" w:lastRow="0" w:firstColumn="1" w:lastColumn="0" w:noHBand="0" w:noVBand="1"/>
      </w:tblPr>
      <w:tblGrid>
        <w:gridCol w:w="2405"/>
        <w:gridCol w:w="4013"/>
        <w:gridCol w:w="3210"/>
      </w:tblGrid>
      <w:tr w:rsidR="00A30361" w14:paraId="09E4B991" w14:textId="77777777" w:rsidTr="007651BE">
        <w:tc>
          <w:tcPr>
            <w:tcW w:w="2405" w:type="dxa"/>
          </w:tcPr>
          <w:p w14:paraId="68A7E7A9" w14:textId="77777777" w:rsidR="00A30361" w:rsidRPr="002E473B" w:rsidRDefault="00A30361" w:rsidP="007651BE">
            <w:pPr>
              <w:rPr>
                <w:b/>
                <w:lang w:eastAsia="de-DE"/>
              </w:rPr>
            </w:pPr>
            <w:bookmarkStart w:id="16" w:name="_Hlk133589792"/>
            <w:r w:rsidRPr="002E473B">
              <w:rPr>
                <w:b/>
                <w:lang w:eastAsia="de-DE"/>
              </w:rPr>
              <w:t>Hilfsmittel</w:t>
            </w:r>
          </w:p>
        </w:tc>
        <w:tc>
          <w:tcPr>
            <w:tcW w:w="4013" w:type="dxa"/>
          </w:tcPr>
          <w:p w14:paraId="0C6F1E02" w14:textId="77777777" w:rsidR="00A30361" w:rsidRPr="002E473B" w:rsidRDefault="00A30361" w:rsidP="007651BE">
            <w:pPr>
              <w:rPr>
                <w:b/>
                <w:lang w:eastAsia="de-DE"/>
              </w:rPr>
            </w:pPr>
            <w:r w:rsidRPr="002E473B">
              <w:rPr>
                <w:b/>
                <w:lang w:eastAsia="de-DE"/>
              </w:rPr>
              <w:t>Verwendung</w:t>
            </w:r>
          </w:p>
        </w:tc>
        <w:tc>
          <w:tcPr>
            <w:tcW w:w="3210" w:type="dxa"/>
          </w:tcPr>
          <w:p w14:paraId="1DDEDD83" w14:textId="77777777" w:rsidR="00A30361" w:rsidRPr="002E473B" w:rsidRDefault="00A30361" w:rsidP="007651BE">
            <w:pPr>
              <w:rPr>
                <w:b/>
                <w:lang w:eastAsia="de-DE"/>
              </w:rPr>
            </w:pPr>
            <w:r w:rsidRPr="002E473B">
              <w:rPr>
                <w:b/>
                <w:lang w:eastAsia="de-DE"/>
              </w:rPr>
              <w:t>Betroffene Stellen</w:t>
            </w:r>
          </w:p>
        </w:tc>
      </w:tr>
      <w:bookmarkEnd w:id="16"/>
      <w:tr w:rsidR="003D6A89" w14:paraId="12C6F200" w14:textId="77777777">
        <w:tc>
          <w:tcPr>
            <w:tcW w:w="2405" w:type="dxa"/>
          </w:tcPr>
          <w:p w14:paraId="26AFB463" w14:textId="77777777" w:rsidR="003D6A89" w:rsidRDefault="00000000">
            <w:r>
              <w:t>Anthropic Claude (Cowork)</w:t>
            </w:r>
          </w:p>
        </w:tc>
        <w:tc>
          <w:tcPr>
            <w:tcW w:w="4013" w:type="dxa"/>
          </w:tcPr>
          <w:p w14:paraId="3DA80318" w14:textId="77777777" w:rsidR="003D6A89" w:rsidRDefault="00000000">
            <w:r>
              <w:t>Recherche, Strukturierung, Textentwürfe und Code-Unterstützung der deterministischen Analyse</w:t>
            </w:r>
          </w:p>
        </w:tc>
        <w:tc>
          <w:tcPr>
            <w:tcW w:w="3210" w:type="dxa"/>
          </w:tcPr>
          <w:p w14:paraId="718B9458" w14:textId="77777777" w:rsidR="003D6A89" w:rsidRDefault="00000000">
            <w:r>
              <w:t>je Kapitel zu spezifizieren</w:t>
            </w:r>
          </w:p>
        </w:tc>
      </w:tr>
      <w:tr w:rsidR="003D6A89" w14:paraId="02E55512" w14:textId="77777777">
        <w:tc>
          <w:tcPr>
            <w:tcW w:w="2405" w:type="dxa"/>
          </w:tcPr>
          <w:p w14:paraId="753EB18E" w14:textId="77777777" w:rsidR="003D6A89" w:rsidRDefault="00000000">
            <w:r>
              <w:t>OpenAI Codex</w:t>
            </w:r>
          </w:p>
        </w:tc>
        <w:tc>
          <w:tcPr>
            <w:tcW w:w="4013" w:type="dxa"/>
          </w:tcPr>
          <w:p w14:paraId="012E8056" w14:textId="77777777" w:rsidR="003D6A89" w:rsidRDefault="00000000">
            <w:r>
              <w:t>Code-Unterstützung der Analyse-Pipeline (Python)</w:t>
            </w:r>
          </w:p>
        </w:tc>
        <w:tc>
          <w:tcPr>
            <w:tcW w:w="3210" w:type="dxa"/>
          </w:tcPr>
          <w:p w14:paraId="6FFE1E82" w14:textId="77777777" w:rsidR="003D6A89" w:rsidRDefault="00000000">
            <w:r>
              <w:t>Analyse-Code, keine thesis-relevanten Kennzahlen</w:t>
            </w:r>
          </w:p>
        </w:tc>
      </w:tr>
      <w:tr w:rsidR="003D6A89" w14:paraId="363C0324" w14:textId="77777777">
        <w:tc>
          <w:tcPr>
            <w:tcW w:w="2405" w:type="dxa"/>
          </w:tcPr>
          <w:p w14:paraId="32FD4B83" w14:textId="77777777" w:rsidR="003D6A89" w:rsidRDefault="00000000">
            <w:r>
              <w:t>Zotero</w:t>
            </w:r>
          </w:p>
        </w:tc>
        <w:tc>
          <w:tcPr>
            <w:tcW w:w="4013" w:type="dxa"/>
          </w:tcPr>
          <w:p w14:paraId="3A46AE5E" w14:textId="77777777" w:rsidR="003D6A89" w:rsidRDefault="00000000">
            <w:r>
              <w:t>Quellenverwaltung, Kurzbelege und Literaturverzeichnis</w:t>
            </w:r>
          </w:p>
        </w:tc>
        <w:tc>
          <w:tcPr>
            <w:tcW w:w="3210" w:type="dxa"/>
          </w:tcPr>
          <w:p w14:paraId="449C2B75" w14:textId="77777777" w:rsidR="003D6A89" w:rsidRDefault="00000000">
            <w:r>
              <w:t>Kurzbelege, Literaturverzeichnis</w:t>
            </w:r>
          </w:p>
        </w:tc>
      </w:tr>
    </w:tbl>
    <w:p w14:paraId="37515B8A" w14:textId="77777777" w:rsidR="00A30361" w:rsidRDefault="00A30361" w:rsidP="00A30361">
      <w:pPr>
        <w:rPr>
          <w:lang w:eastAsia="de-DE"/>
        </w:rPr>
      </w:pPr>
    </w:p>
    <w:p w14:paraId="47318058" w14:textId="77777777" w:rsidR="00696A18" w:rsidRPr="008E3B72" w:rsidRDefault="00696A18" w:rsidP="00696A18">
      <w:pPr>
        <w:pStyle w:val="berschrift1ohneNummerierung"/>
      </w:pPr>
      <w:bookmarkStart w:id="17" w:name="_Toc134025438"/>
      <w:r w:rsidRPr="008E3B72">
        <w:lastRenderedPageBreak/>
        <w:t>Abbildungs</w:t>
      </w:r>
      <w:bookmarkEnd w:id="12"/>
      <w:r w:rsidRPr="008E3B72">
        <w:t>verzeichnis</w:t>
      </w:r>
      <w:bookmarkEnd w:id="13"/>
      <w:bookmarkEnd w:id="17"/>
    </w:p>
    <w:p w14:paraId="5115872F" w14:textId="77777777" w:rsidR="00AD38F4" w:rsidRDefault="00742F57">
      <w:pPr>
        <w:pStyle w:val="Abbildungsverzeichnis"/>
        <w:tabs>
          <w:tab w:val="right" w:leader="dot" w:pos="9628"/>
        </w:tabs>
        <w:rPr>
          <w:rFonts w:asciiTheme="minorHAnsi" w:eastAsiaTheme="minorEastAsia" w:hAnsiTheme="minorHAnsi" w:cstheme="minorBidi"/>
          <w:noProof/>
          <w:szCs w:val="22"/>
          <w:lang w:eastAsia="de-CH"/>
        </w:rPr>
      </w:pPr>
      <w:r w:rsidRPr="00EA402E">
        <w:rPr>
          <w:lang w:eastAsia="de-DE"/>
        </w:rPr>
        <w:fldChar w:fldCharType="begin"/>
      </w:r>
      <w:r w:rsidRPr="008E3B72">
        <w:rPr>
          <w:lang w:eastAsia="de-DE"/>
        </w:rPr>
        <w:instrText xml:space="preserve"> TOC \h \z \c "Abbildung" </w:instrText>
      </w:r>
      <w:r w:rsidRPr="00EA402E">
        <w:rPr>
          <w:lang w:eastAsia="de-DE"/>
        </w:rPr>
        <w:fldChar w:fldCharType="separate"/>
      </w:r>
      <w:hyperlink w:anchor="_Toc32569677" w:history="1">
        <w:r w:rsidR="00AD38F4" w:rsidRPr="00A05AB3">
          <w:rPr>
            <w:rStyle w:val="Hyperlink"/>
            <w:noProof/>
          </w:rPr>
          <w:t>Abbildung 1: Beispiel für eine Abbildung</w:t>
        </w:r>
        <w:r w:rsidR="00AD38F4">
          <w:rPr>
            <w:noProof/>
            <w:webHidden/>
          </w:rPr>
          <w:tab/>
        </w:r>
        <w:r w:rsidR="00AD38F4">
          <w:rPr>
            <w:noProof/>
            <w:webHidden/>
          </w:rPr>
          <w:fldChar w:fldCharType="begin"/>
        </w:r>
        <w:r w:rsidR="00AD38F4">
          <w:rPr>
            <w:noProof/>
            <w:webHidden/>
          </w:rPr>
          <w:instrText xml:space="preserve"> PAGEREF _Toc32569677 \h </w:instrText>
        </w:r>
        <w:r w:rsidR="00AD38F4">
          <w:rPr>
            <w:noProof/>
            <w:webHidden/>
          </w:rPr>
        </w:r>
        <w:r w:rsidR="00AD38F4">
          <w:rPr>
            <w:noProof/>
            <w:webHidden/>
          </w:rPr>
          <w:fldChar w:fldCharType="separate"/>
        </w:r>
        <w:r w:rsidR="00887AAF">
          <w:rPr>
            <w:noProof/>
            <w:webHidden/>
          </w:rPr>
          <w:t>2</w:t>
        </w:r>
        <w:r w:rsidR="00AD38F4">
          <w:rPr>
            <w:noProof/>
            <w:webHidden/>
          </w:rPr>
          <w:fldChar w:fldCharType="end"/>
        </w:r>
      </w:hyperlink>
    </w:p>
    <w:p w14:paraId="41F00066" w14:textId="77777777" w:rsidR="00742F57" w:rsidRPr="008E3B72" w:rsidRDefault="00742F57" w:rsidP="00742F57">
      <w:pPr>
        <w:rPr>
          <w:lang w:eastAsia="de-DE"/>
        </w:rPr>
      </w:pPr>
      <w:r w:rsidRPr="00EA402E">
        <w:rPr>
          <w:lang w:eastAsia="de-DE"/>
        </w:rPr>
        <w:fldChar w:fldCharType="end"/>
      </w:r>
    </w:p>
    <w:p w14:paraId="2F4C193B" w14:textId="77777777" w:rsidR="00696A18" w:rsidRPr="008E3B72" w:rsidRDefault="006709AF" w:rsidP="00696A18">
      <w:r w:rsidRPr="008E3B72">
        <w:t>Anmerkung: U</w:t>
      </w:r>
      <w:r w:rsidR="00696A18" w:rsidRPr="008E3B72">
        <w:t xml:space="preserve">m auf komfortable Weise Abbildungs- und Tabellenverzeichnisse </w:t>
      </w:r>
      <w:r w:rsidRPr="008E3B72">
        <w:t xml:space="preserve">der Beschriftungen im Text </w:t>
      </w:r>
      <w:r w:rsidR="00696A18" w:rsidRPr="008E3B72">
        <w:t>erstellen zu kön</w:t>
      </w:r>
      <w:r w:rsidRPr="008E3B72">
        <w:t xml:space="preserve">nen, die </w:t>
      </w:r>
      <w:r w:rsidR="00696A18" w:rsidRPr="008E3B72">
        <w:t>Menüfol</w:t>
      </w:r>
      <w:r w:rsidRPr="008E3B72">
        <w:t>ge:</w:t>
      </w:r>
    </w:p>
    <w:p w14:paraId="1570AD8D" w14:textId="77777777" w:rsidR="006709AF" w:rsidRPr="008E3B72" w:rsidRDefault="006709AF" w:rsidP="00696A18">
      <w:r w:rsidRPr="008E3B72">
        <w:t xml:space="preserve">Registerkarte </w:t>
      </w:r>
      <w:r w:rsidR="008E3B72" w:rsidRPr="008E3B72">
        <w:t>«</w:t>
      </w:r>
      <w:r w:rsidRPr="008E3B72">
        <w:t>Verweise</w:t>
      </w:r>
      <w:r w:rsidR="008E3B72" w:rsidRPr="008E3B72">
        <w:t>»</w:t>
      </w:r>
      <w:r w:rsidR="00696A18" w:rsidRPr="008E3B72">
        <w:t xml:space="preserve"> </w:t>
      </w:r>
      <w:r w:rsidRPr="008E3B72">
        <w:sym w:font="Wingdings" w:char="F0E0"/>
      </w:r>
      <w:r w:rsidRPr="008E3B72">
        <w:t xml:space="preserve"> </w:t>
      </w:r>
      <w:r w:rsidR="008E3B72" w:rsidRPr="008E3B72">
        <w:t>«</w:t>
      </w:r>
      <w:r w:rsidRPr="008E3B72">
        <w:t>Beschriftungen</w:t>
      </w:r>
      <w:r w:rsidR="008E3B72" w:rsidRPr="008E3B72">
        <w:t>»</w:t>
      </w:r>
      <w:r w:rsidRPr="008E3B72">
        <w:t xml:space="preserve"> </w:t>
      </w:r>
      <w:r w:rsidRPr="008E3B72">
        <w:sym w:font="Wingdings" w:char="F0E0"/>
      </w:r>
      <w:r w:rsidRPr="008E3B72">
        <w:t xml:space="preserve"> </w:t>
      </w:r>
      <w:r w:rsidR="008E3B72" w:rsidRPr="008E3B72">
        <w:t>«</w:t>
      </w:r>
      <w:r w:rsidRPr="008E3B72">
        <w:t>Abbildungsverzeichnis einfügen</w:t>
      </w:r>
      <w:r w:rsidR="008E3B72" w:rsidRPr="008E3B72">
        <w:t>»</w:t>
      </w:r>
      <w:r w:rsidRPr="008E3B72">
        <w:t xml:space="preserve"> </w:t>
      </w:r>
    </w:p>
    <w:p w14:paraId="1EBEA7C8" w14:textId="77777777" w:rsidR="00696A18" w:rsidRPr="008E3B72" w:rsidRDefault="006709AF" w:rsidP="00696A18">
      <w:r w:rsidRPr="008E3B72">
        <w:t>auswählen</w:t>
      </w:r>
      <w:r w:rsidR="00696A18" w:rsidRPr="008E3B72">
        <w:t xml:space="preserve">. Auf diese Weise wird die Beschriftung automatisch formatiert (Formatvorlage </w:t>
      </w:r>
      <w:r w:rsidR="008E3B72" w:rsidRPr="008E3B72">
        <w:t>«</w:t>
      </w:r>
      <w:r w:rsidR="00696A18" w:rsidRPr="008E3B72">
        <w:t>Beschriftung</w:t>
      </w:r>
      <w:r w:rsidR="008E3B72" w:rsidRPr="008E3B72">
        <w:t>»</w:t>
      </w:r>
      <w:r w:rsidR="00696A18" w:rsidRPr="008E3B72">
        <w:t xml:space="preserve">). Für die Abbildungen selbst steht die Vorlage </w:t>
      </w:r>
      <w:r w:rsidR="008E3B72" w:rsidRPr="008E3B72">
        <w:t>«</w:t>
      </w:r>
      <w:r w:rsidR="00696A18" w:rsidRPr="008E3B72">
        <w:t>Abbildung</w:t>
      </w:r>
      <w:r w:rsidR="008E3B72" w:rsidRPr="008E3B72">
        <w:t>»</w:t>
      </w:r>
      <w:r w:rsidR="00696A18" w:rsidRPr="008E3B72">
        <w:t xml:space="preserve">, für Tabellen stehen die Vorlagen </w:t>
      </w:r>
      <w:r w:rsidR="008E3B72" w:rsidRPr="008E3B72">
        <w:t>«</w:t>
      </w:r>
      <w:r w:rsidR="00696A18" w:rsidRPr="008E3B72">
        <w:t>Tabellenüberschrift</w:t>
      </w:r>
      <w:r w:rsidR="008E3B72" w:rsidRPr="008E3B72">
        <w:t>»</w:t>
      </w:r>
      <w:r w:rsidR="00696A18" w:rsidRPr="008E3B72">
        <w:t xml:space="preserve"> und </w:t>
      </w:r>
      <w:r w:rsidR="008E3B72" w:rsidRPr="008E3B72">
        <w:t>«</w:t>
      </w:r>
      <w:r w:rsidR="00696A18" w:rsidRPr="008E3B72">
        <w:t>Tabellentext</w:t>
      </w:r>
      <w:r w:rsidR="008E3B72" w:rsidRPr="008E3B72">
        <w:t>»</w:t>
      </w:r>
      <w:r w:rsidR="00696A18" w:rsidRPr="008E3B72">
        <w:t xml:space="preserve"> bereit.</w:t>
      </w:r>
    </w:p>
    <w:p w14:paraId="133767EB" w14:textId="77777777" w:rsidR="00696A18" w:rsidRPr="008E3B72" w:rsidRDefault="00696A18" w:rsidP="006709AF">
      <w:pPr>
        <w:pStyle w:val="Textkrper"/>
      </w:pPr>
      <w:r w:rsidRPr="008E3B72">
        <w:t xml:space="preserve">Weitere Informationen dazu finden Sie in den jeweiligen Kapiteln </w:t>
      </w:r>
      <w:r w:rsidRPr="00EA402E">
        <w:fldChar w:fldCharType="begin"/>
      </w:r>
      <w:r w:rsidRPr="008E3B72">
        <w:instrText xml:space="preserve"> REF _Ref172009527 \r \h </w:instrText>
      </w:r>
      <w:r w:rsidRPr="00EA402E">
        <w:fldChar w:fldCharType="separate"/>
      </w:r>
      <w:r w:rsidR="00014053">
        <w:t>2.4</w:t>
      </w:r>
      <w:r w:rsidRPr="00EA402E">
        <w:fldChar w:fldCharType="end"/>
      </w:r>
      <w:r w:rsidRPr="008E3B72">
        <w:t xml:space="preserve"> und</w:t>
      </w:r>
      <w:r w:rsidR="006709AF" w:rsidRPr="008E3B72">
        <w:t xml:space="preserve"> </w:t>
      </w:r>
      <w:r w:rsidR="006709AF" w:rsidRPr="00EA402E">
        <w:fldChar w:fldCharType="begin"/>
      </w:r>
      <w:r w:rsidR="006709AF" w:rsidRPr="008E3B72">
        <w:instrText xml:space="preserve"> REF _Ref328463271 \r \h </w:instrText>
      </w:r>
      <w:r w:rsidR="006709AF" w:rsidRPr="00EA402E">
        <w:fldChar w:fldCharType="separate"/>
      </w:r>
      <w:r w:rsidR="00014053">
        <w:t>2.5</w:t>
      </w:r>
      <w:r w:rsidR="006709AF" w:rsidRPr="00EA402E">
        <w:fldChar w:fldCharType="end"/>
      </w:r>
      <w:r w:rsidRPr="008E3B72">
        <w:t>.</w:t>
      </w:r>
    </w:p>
    <w:p w14:paraId="4F9A680E" w14:textId="77777777" w:rsidR="00696A18" w:rsidRPr="008E3B72" w:rsidRDefault="00696A18" w:rsidP="00696A18">
      <w:pPr>
        <w:pStyle w:val="berschrift1ohneNummerierung"/>
      </w:pPr>
      <w:bookmarkStart w:id="18" w:name="_Toc59933381"/>
      <w:bookmarkStart w:id="19" w:name="_Toc134025439"/>
      <w:r w:rsidRPr="008E3B72">
        <w:lastRenderedPageBreak/>
        <w:t>Tabellenverzeichnis</w:t>
      </w:r>
      <w:bookmarkEnd w:id="18"/>
      <w:bookmarkEnd w:id="19"/>
    </w:p>
    <w:p w14:paraId="7196B813" w14:textId="77777777" w:rsidR="00AD38F4" w:rsidRDefault="00742F57">
      <w:pPr>
        <w:pStyle w:val="Abbildungsverzeichnis"/>
        <w:tabs>
          <w:tab w:val="right" w:leader="dot" w:pos="9628"/>
        </w:tabs>
        <w:rPr>
          <w:rFonts w:asciiTheme="minorHAnsi" w:eastAsiaTheme="minorEastAsia" w:hAnsiTheme="minorHAnsi" w:cstheme="minorBidi"/>
          <w:noProof/>
          <w:szCs w:val="22"/>
          <w:lang w:eastAsia="de-CH"/>
        </w:rPr>
      </w:pPr>
      <w:r w:rsidRPr="00EA402E">
        <w:fldChar w:fldCharType="begin"/>
      </w:r>
      <w:r w:rsidRPr="008E3B72">
        <w:instrText xml:space="preserve"> TOC \h \z \c "Tabelle" </w:instrText>
      </w:r>
      <w:r w:rsidRPr="00EA402E">
        <w:fldChar w:fldCharType="separate"/>
      </w:r>
      <w:hyperlink w:anchor="_Toc32569678" w:history="1">
        <w:r w:rsidR="00AD38F4" w:rsidRPr="0009349B">
          <w:rPr>
            <w:rStyle w:val="Hyperlink"/>
            <w:noProof/>
          </w:rPr>
          <w:t>Tabelle 1: Beispiel für eine Tabelle, die als Grafik importiert wurde</w:t>
        </w:r>
        <w:r w:rsidR="00AD38F4">
          <w:rPr>
            <w:noProof/>
            <w:webHidden/>
          </w:rPr>
          <w:tab/>
        </w:r>
        <w:r w:rsidR="00AD38F4">
          <w:rPr>
            <w:noProof/>
            <w:webHidden/>
          </w:rPr>
          <w:fldChar w:fldCharType="begin"/>
        </w:r>
        <w:r w:rsidR="00AD38F4">
          <w:rPr>
            <w:noProof/>
            <w:webHidden/>
          </w:rPr>
          <w:instrText xml:space="preserve"> PAGEREF _Toc32569678 \h </w:instrText>
        </w:r>
        <w:r w:rsidR="00AD38F4">
          <w:rPr>
            <w:noProof/>
            <w:webHidden/>
          </w:rPr>
        </w:r>
        <w:r w:rsidR="00AD38F4">
          <w:rPr>
            <w:noProof/>
            <w:webHidden/>
          </w:rPr>
          <w:fldChar w:fldCharType="separate"/>
        </w:r>
        <w:r w:rsidR="00887AAF">
          <w:rPr>
            <w:noProof/>
            <w:webHidden/>
          </w:rPr>
          <w:t>2</w:t>
        </w:r>
        <w:r w:rsidR="00AD38F4">
          <w:rPr>
            <w:noProof/>
            <w:webHidden/>
          </w:rPr>
          <w:fldChar w:fldCharType="end"/>
        </w:r>
      </w:hyperlink>
    </w:p>
    <w:p w14:paraId="3E20ACAF" w14:textId="77777777" w:rsidR="00AD38F4" w:rsidRDefault="00AD38F4">
      <w:pPr>
        <w:pStyle w:val="Abbildungsverzeichnis"/>
        <w:tabs>
          <w:tab w:val="right" w:leader="dot" w:pos="9628"/>
        </w:tabs>
        <w:rPr>
          <w:rFonts w:asciiTheme="minorHAnsi" w:eastAsiaTheme="minorEastAsia" w:hAnsiTheme="minorHAnsi" w:cstheme="minorBidi"/>
          <w:noProof/>
          <w:szCs w:val="22"/>
          <w:lang w:eastAsia="de-CH"/>
        </w:rPr>
      </w:pPr>
      <w:hyperlink w:anchor="_Toc32569679" w:history="1">
        <w:r w:rsidRPr="0009349B">
          <w:rPr>
            <w:rStyle w:val="Hyperlink"/>
            <w:noProof/>
          </w:rPr>
          <w:t>Tabelle 2: Beispiel für eine Tabelle, die in Word erstellt wurde</w:t>
        </w:r>
        <w:r>
          <w:rPr>
            <w:noProof/>
            <w:webHidden/>
          </w:rPr>
          <w:tab/>
        </w:r>
        <w:r>
          <w:rPr>
            <w:noProof/>
            <w:webHidden/>
          </w:rPr>
          <w:fldChar w:fldCharType="begin"/>
        </w:r>
        <w:r>
          <w:rPr>
            <w:noProof/>
            <w:webHidden/>
          </w:rPr>
          <w:instrText xml:space="preserve"> PAGEREF _Toc32569679 \h </w:instrText>
        </w:r>
        <w:r>
          <w:rPr>
            <w:noProof/>
            <w:webHidden/>
          </w:rPr>
        </w:r>
        <w:r>
          <w:rPr>
            <w:noProof/>
            <w:webHidden/>
          </w:rPr>
          <w:fldChar w:fldCharType="separate"/>
        </w:r>
        <w:r w:rsidR="00887AAF">
          <w:rPr>
            <w:noProof/>
            <w:webHidden/>
          </w:rPr>
          <w:t>2</w:t>
        </w:r>
        <w:r>
          <w:rPr>
            <w:noProof/>
            <w:webHidden/>
          </w:rPr>
          <w:fldChar w:fldCharType="end"/>
        </w:r>
      </w:hyperlink>
    </w:p>
    <w:p w14:paraId="068D921D" w14:textId="77777777" w:rsidR="00696A18" w:rsidRPr="008E3B72" w:rsidRDefault="00742F57" w:rsidP="00696A18">
      <w:pPr>
        <w:pStyle w:val="Textkrper"/>
      </w:pPr>
      <w:r w:rsidRPr="00EA402E">
        <w:fldChar w:fldCharType="end"/>
      </w:r>
    </w:p>
    <w:p w14:paraId="002B2287" w14:textId="77777777" w:rsidR="00696A18" w:rsidRPr="008E3B72" w:rsidRDefault="00696A18" w:rsidP="00696A18">
      <w:pPr>
        <w:pStyle w:val="berschrift1ohneNummerierung"/>
      </w:pPr>
      <w:bookmarkStart w:id="20" w:name="_Toc59933382"/>
      <w:bookmarkStart w:id="21" w:name="_Toc134025440"/>
      <w:r w:rsidRPr="008E3B72">
        <w:lastRenderedPageBreak/>
        <w:t>Abkürzungsverzeichnis</w:t>
      </w:r>
      <w:bookmarkEnd w:id="20"/>
      <w:bookmarkEnd w:id="21"/>
    </w:p>
    <w:p w14:paraId="11D84D2B" w14:textId="77777777" w:rsidR="00696A18" w:rsidRPr="008E3B72" w:rsidRDefault="005F0BE7" w:rsidP="00696A18">
      <w:pPr>
        <w:pStyle w:val="Abkrzungsverzeichnis"/>
      </w:pPr>
      <w:r w:rsidRPr="008E3B72">
        <w:t>Abk.</w:t>
      </w:r>
      <w:r w:rsidRPr="008E3B72">
        <w:tab/>
      </w:r>
      <w:r w:rsidR="00696A18" w:rsidRPr="008E3B72">
        <w:t>Beschreibung (Formatvorlage: Abkürzungsverzeichnis)</w:t>
      </w:r>
    </w:p>
    <w:p w14:paraId="32151FF9" w14:textId="77777777" w:rsidR="00696A18" w:rsidRPr="008E3B72" w:rsidRDefault="00696A18" w:rsidP="00696A18">
      <w:pPr>
        <w:pStyle w:val="Abkrzungsverzeichnis"/>
      </w:pPr>
    </w:p>
    <w:p w14:paraId="6F7861E3" w14:textId="77777777" w:rsidR="00696A18" w:rsidRPr="008E3B72" w:rsidRDefault="00696A18" w:rsidP="00696A18"/>
    <w:p w14:paraId="785029FD" w14:textId="77777777" w:rsidR="00BA0923" w:rsidRPr="008E3B72" w:rsidRDefault="00BA0923" w:rsidP="00D07B47"/>
    <w:p w14:paraId="3667B7BC" w14:textId="77777777" w:rsidR="00BA0923" w:rsidRPr="008E3B72" w:rsidRDefault="00BA0923" w:rsidP="00D000CF">
      <w:pPr>
        <w:pStyle w:val="berschrift1ohneNummerierung"/>
      </w:pPr>
      <w:bookmarkStart w:id="22" w:name="_Toc119117844"/>
      <w:bookmarkStart w:id="23" w:name="_Toc134025441"/>
      <w:r w:rsidRPr="008E3B72">
        <w:lastRenderedPageBreak/>
        <w:t>Anhang</w:t>
      </w:r>
      <w:bookmarkEnd w:id="11"/>
      <w:bookmarkEnd w:id="22"/>
      <w:bookmarkEnd w:id="23"/>
    </w:p>
    <w:p w14:paraId="440085A2" w14:textId="77777777" w:rsidR="00BA0923" w:rsidRPr="008E3B72" w:rsidRDefault="00BA0923" w:rsidP="00BA0923">
      <w:r w:rsidRPr="008E3B72">
        <w:t xml:space="preserve">Literaturverzeichnis und Anhang sind </w:t>
      </w:r>
      <w:r w:rsidR="008E3B72" w:rsidRPr="008E3B72">
        <w:t>«</w:t>
      </w:r>
      <w:r w:rsidRPr="008E3B72">
        <w:t>Überschrift 1 ohne Nummerierung</w:t>
      </w:r>
      <w:r w:rsidR="008E3B72" w:rsidRPr="008E3B72">
        <w:t>»</w:t>
      </w:r>
      <w:r w:rsidRPr="008E3B72">
        <w:t xml:space="preserve">. Dadurch landet dieser Eintrag im Inhaltsverzeichnis (aber </w:t>
      </w:r>
      <w:r w:rsidR="00D32BD5" w:rsidRPr="008E3B72">
        <w:t>ohne</w:t>
      </w:r>
      <w:r w:rsidRPr="008E3B72">
        <w:t xml:space="preserve"> Nummer).</w:t>
      </w:r>
      <w:r w:rsidR="003B1E10" w:rsidRPr="008E3B72">
        <w:t xml:space="preserve"> Um bei Bedarf den Anhang zu strukturieren, </w:t>
      </w:r>
      <w:r w:rsidR="005F0BE7" w:rsidRPr="008E3B72">
        <w:t>kann die Überschrift</w:t>
      </w:r>
      <w:r w:rsidR="003B1E10" w:rsidRPr="008E3B72">
        <w:t xml:space="preserve"> mit Grossbuchstaben versehen werden (Anhang A, Anhang B usw.)</w:t>
      </w:r>
    </w:p>
    <w:p w14:paraId="631365A0" w14:textId="77777777" w:rsidR="00BA0923" w:rsidRPr="008E3B72" w:rsidRDefault="00BA0923" w:rsidP="00BA0923"/>
    <w:p w14:paraId="7A2E99CA" w14:textId="77777777" w:rsidR="00BA0923" w:rsidRPr="008E3B72" w:rsidRDefault="00BA0923" w:rsidP="00BA0923"/>
    <w:sectPr w:rsidR="00BA0923" w:rsidRPr="008E3B72" w:rsidSect="00E36A01">
      <w:pgSz w:w="11907" w:h="16840" w:code="9"/>
      <w:pgMar w:top="1701" w:right="851" w:bottom="1588" w:left="1418" w:header="680" w:footer="102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EF050" w14:textId="77777777" w:rsidR="004A1893" w:rsidRDefault="004A1893">
      <w:r>
        <w:separator/>
      </w:r>
    </w:p>
  </w:endnote>
  <w:endnote w:type="continuationSeparator" w:id="0">
    <w:p w14:paraId="22889456" w14:textId="77777777" w:rsidR="004A1893" w:rsidRDefault="004A1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4EFD7" w14:textId="77777777" w:rsidR="001F284A" w:rsidRDefault="001F284A" w:rsidP="005500E7">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16220684" w14:textId="77777777" w:rsidR="001F284A" w:rsidRDefault="001F284A" w:rsidP="005B5746">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CBC8" w14:textId="77777777" w:rsidR="001F284A" w:rsidRDefault="001F284A" w:rsidP="005500E7">
    <w:pPr>
      <w:pStyle w:val="Fuzeil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BC2F8" w14:textId="77777777" w:rsidR="001F284A" w:rsidRPr="005500E7" w:rsidRDefault="001F284A" w:rsidP="002F0631">
    <w:pPr>
      <w:pStyle w:val="Fuzeile"/>
      <w:jc w:val="right"/>
    </w:pPr>
    <w:r>
      <w:rPr>
        <w:rStyle w:val="Seitenzahl"/>
      </w:rPr>
      <w:fldChar w:fldCharType="begin"/>
    </w:r>
    <w:r>
      <w:rPr>
        <w:rStyle w:val="Seitenzahl"/>
      </w:rPr>
      <w:instrText xml:space="preserve">PAGE  </w:instrText>
    </w:r>
    <w:r>
      <w:rPr>
        <w:rStyle w:val="Seitenzahl"/>
      </w:rPr>
      <w:fldChar w:fldCharType="separate"/>
    </w:r>
    <w:r w:rsidR="00887AAF">
      <w:rPr>
        <w:rStyle w:val="Seitenzahl"/>
        <w:noProof/>
      </w:rPr>
      <w:t>5</w:t>
    </w:r>
    <w:r>
      <w:rPr>
        <w:rStyle w:val="Seitenzah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48E7" w14:textId="77777777" w:rsidR="001F284A" w:rsidRDefault="001F284A" w:rsidP="005500E7">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59E35" w14:textId="77777777" w:rsidR="004A1893" w:rsidRDefault="004A1893">
      <w:r>
        <w:separator/>
      </w:r>
    </w:p>
  </w:footnote>
  <w:footnote w:type="continuationSeparator" w:id="0">
    <w:p w14:paraId="70B44AFD" w14:textId="77777777" w:rsidR="004A1893" w:rsidRDefault="004A1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B040" w14:textId="77777777" w:rsidR="001F284A" w:rsidRPr="00BA0923" w:rsidRDefault="00EA402E" w:rsidP="001434D3">
    <w:pPr>
      <w:pStyle w:val="Kopfzeile"/>
      <w:ind w:left="-426"/>
    </w:pPr>
    <w:r>
      <w:rPr>
        <w:noProof/>
        <w:lang w:eastAsia="de-CH"/>
      </w:rPr>
      <w:drawing>
        <wp:inline distT="0" distB="0" distL="0" distR="0" wp14:anchorId="365AD97C" wp14:editId="565637F9">
          <wp:extent cx="2333625" cy="561975"/>
          <wp:effectExtent l="0" t="0" r="9525" b="9525"/>
          <wp:docPr id="3" name="Bild 1" descr="FHNW_HW_Studierendenproj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NW_HW_Studierendenproj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3625" cy="5619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27C5" w14:textId="77777777" w:rsidR="001F284A" w:rsidRPr="0057787E" w:rsidRDefault="001F284A" w:rsidP="0057787E">
    <w:pPr>
      <w:tabs>
        <w:tab w:val="clear" w:pos="851"/>
      </w:tabs>
      <w:autoSpaceDE w:val="0"/>
      <w:autoSpaceDN w:val="0"/>
      <w:adjustRightInd w:val="0"/>
      <w:spacing w:after="0"/>
      <w:rPr>
        <w:rFonts w:cs="Arial"/>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8BFB" w14:textId="77777777" w:rsidR="001F284A" w:rsidRPr="005500E7" w:rsidRDefault="00696A18" w:rsidP="005500E7">
    <w:pPr>
      <w:pStyle w:val="Kopfzeile"/>
    </w:pPr>
    <w:r>
      <w:t>Kurztitel der Arbeit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37752" w14:textId="77777777" w:rsidR="001F284A" w:rsidRPr="0057787E" w:rsidRDefault="001F284A" w:rsidP="0057787E">
    <w:pPr>
      <w:tabs>
        <w:tab w:val="clear" w:pos="851"/>
      </w:tabs>
      <w:autoSpaceDE w:val="0"/>
      <w:autoSpaceDN w:val="0"/>
      <w:adjustRightInd w:val="0"/>
      <w:spacing w:after="0"/>
      <w:rPr>
        <w:rFonts w:cs="Arial"/>
        <w:sz w:val="24"/>
      </w:rPr>
    </w:pPr>
    <w:r>
      <w:rPr>
        <w:rFonts w:cs="Arial"/>
        <w:sz w:val="24"/>
      </w:rPr>
      <w:t>Nachname Vorname, Kurztitel, Jahr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D0C6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94FEA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F605E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E8831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BC842E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994E45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727B2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66C1C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6CE127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70207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11035B2B"/>
    <w:multiLevelType w:val="hybridMultilevel"/>
    <w:tmpl w:val="5DD65EF0"/>
    <w:lvl w:ilvl="0" w:tplc="08070001">
      <w:start w:val="1"/>
      <w:numFmt w:val="bullet"/>
      <w:lvlText w:val=""/>
      <w:lvlJc w:val="left"/>
      <w:pPr>
        <w:tabs>
          <w:tab w:val="num" w:pos="360"/>
        </w:tabs>
        <w:ind w:left="360" w:hanging="360"/>
      </w:pPr>
      <w:rPr>
        <w:rFonts w:ascii="Symbol" w:hAnsi="Symbol" w:hint="default"/>
      </w:rPr>
    </w:lvl>
    <w:lvl w:ilvl="1" w:tplc="08070003" w:tentative="1">
      <w:start w:val="1"/>
      <w:numFmt w:val="bullet"/>
      <w:lvlText w:val="o"/>
      <w:lvlJc w:val="left"/>
      <w:pPr>
        <w:tabs>
          <w:tab w:val="num" w:pos="1080"/>
        </w:tabs>
        <w:ind w:left="1080" w:hanging="360"/>
      </w:pPr>
      <w:rPr>
        <w:rFonts w:ascii="Courier New" w:hAnsi="Courier New" w:hint="default"/>
      </w:rPr>
    </w:lvl>
    <w:lvl w:ilvl="2" w:tplc="08070005" w:tentative="1">
      <w:start w:val="1"/>
      <w:numFmt w:val="bullet"/>
      <w:lvlText w:val=""/>
      <w:lvlJc w:val="left"/>
      <w:pPr>
        <w:tabs>
          <w:tab w:val="num" w:pos="1800"/>
        </w:tabs>
        <w:ind w:left="1800" w:hanging="360"/>
      </w:pPr>
      <w:rPr>
        <w:rFonts w:ascii="Wingdings" w:hAnsi="Wingdings" w:hint="default"/>
      </w:rPr>
    </w:lvl>
    <w:lvl w:ilvl="3" w:tplc="08070001" w:tentative="1">
      <w:start w:val="1"/>
      <w:numFmt w:val="bullet"/>
      <w:lvlText w:val=""/>
      <w:lvlJc w:val="left"/>
      <w:pPr>
        <w:tabs>
          <w:tab w:val="num" w:pos="2520"/>
        </w:tabs>
        <w:ind w:left="2520" w:hanging="360"/>
      </w:pPr>
      <w:rPr>
        <w:rFonts w:ascii="Symbol" w:hAnsi="Symbol" w:hint="default"/>
      </w:rPr>
    </w:lvl>
    <w:lvl w:ilvl="4" w:tplc="08070003" w:tentative="1">
      <w:start w:val="1"/>
      <w:numFmt w:val="bullet"/>
      <w:lvlText w:val="o"/>
      <w:lvlJc w:val="left"/>
      <w:pPr>
        <w:tabs>
          <w:tab w:val="num" w:pos="3240"/>
        </w:tabs>
        <w:ind w:left="3240" w:hanging="360"/>
      </w:pPr>
      <w:rPr>
        <w:rFonts w:ascii="Courier New" w:hAnsi="Courier New" w:hint="default"/>
      </w:rPr>
    </w:lvl>
    <w:lvl w:ilvl="5" w:tplc="08070005" w:tentative="1">
      <w:start w:val="1"/>
      <w:numFmt w:val="bullet"/>
      <w:lvlText w:val=""/>
      <w:lvlJc w:val="left"/>
      <w:pPr>
        <w:tabs>
          <w:tab w:val="num" w:pos="3960"/>
        </w:tabs>
        <w:ind w:left="3960" w:hanging="360"/>
      </w:pPr>
      <w:rPr>
        <w:rFonts w:ascii="Wingdings" w:hAnsi="Wingdings" w:hint="default"/>
      </w:rPr>
    </w:lvl>
    <w:lvl w:ilvl="6" w:tplc="08070001" w:tentative="1">
      <w:start w:val="1"/>
      <w:numFmt w:val="bullet"/>
      <w:lvlText w:val=""/>
      <w:lvlJc w:val="left"/>
      <w:pPr>
        <w:tabs>
          <w:tab w:val="num" w:pos="4680"/>
        </w:tabs>
        <w:ind w:left="4680" w:hanging="360"/>
      </w:pPr>
      <w:rPr>
        <w:rFonts w:ascii="Symbol" w:hAnsi="Symbol" w:hint="default"/>
      </w:rPr>
    </w:lvl>
    <w:lvl w:ilvl="7" w:tplc="08070003" w:tentative="1">
      <w:start w:val="1"/>
      <w:numFmt w:val="bullet"/>
      <w:lvlText w:val="o"/>
      <w:lvlJc w:val="left"/>
      <w:pPr>
        <w:tabs>
          <w:tab w:val="num" w:pos="5400"/>
        </w:tabs>
        <w:ind w:left="5400" w:hanging="360"/>
      </w:pPr>
      <w:rPr>
        <w:rFonts w:ascii="Courier New" w:hAnsi="Courier New" w:hint="default"/>
      </w:rPr>
    </w:lvl>
    <w:lvl w:ilvl="8" w:tplc="0807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2C9548F"/>
    <w:multiLevelType w:val="hybridMultilevel"/>
    <w:tmpl w:val="28C09E3A"/>
    <w:lvl w:ilvl="0" w:tplc="48BA53AA">
      <w:numFmt w:val="bullet"/>
      <w:lvlText w:val="•"/>
      <w:lvlJc w:val="left"/>
      <w:pPr>
        <w:ind w:left="720" w:hanging="360"/>
      </w:pPr>
      <w:rPr>
        <w:rFonts w:ascii="Arial" w:eastAsia="Times New Roman"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16B00C9B"/>
    <w:multiLevelType w:val="hybridMultilevel"/>
    <w:tmpl w:val="7A16FB7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19B26B77"/>
    <w:multiLevelType w:val="multilevel"/>
    <w:tmpl w:val="ED06A182"/>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4" w15:restartNumberingAfterBreak="0">
    <w:nsid w:val="1A5B5C24"/>
    <w:multiLevelType w:val="multilevel"/>
    <w:tmpl w:val="F534734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1D54671C"/>
    <w:multiLevelType w:val="multilevel"/>
    <w:tmpl w:val="2F90237C"/>
    <w:lvl w:ilvl="0">
      <w:start w:val="1"/>
      <w:numFmt w:val="decimal"/>
      <w:lvlText w:val="%1"/>
      <w:lvlJc w:val="left"/>
      <w:pPr>
        <w:tabs>
          <w:tab w:val="num" w:pos="432"/>
        </w:tabs>
        <w:ind w:left="432" w:hanging="432"/>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1ED45258"/>
    <w:multiLevelType w:val="hybridMultilevel"/>
    <w:tmpl w:val="A3E063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BB67B2A"/>
    <w:multiLevelType w:val="hybridMultilevel"/>
    <w:tmpl w:val="98B0062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8256B02"/>
    <w:multiLevelType w:val="multilevel"/>
    <w:tmpl w:val="D4347BC8"/>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D630CCE"/>
    <w:multiLevelType w:val="hybridMultilevel"/>
    <w:tmpl w:val="C77A1814"/>
    <w:lvl w:ilvl="0" w:tplc="48BA53AA">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F792D7F"/>
    <w:multiLevelType w:val="multilevel"/>
    <w:tmpl w:val="E4A05132"/>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21" w15:restartNumberingAfterBreak="0">
    <w:nsid w:val="533E3AC1"/>
    <w:multiLevelType w:val="multilevel"/>
    <w:tmpl w:val="735E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4525C"/>
    <w:multiLevelType w:val="multilevel"/>
    <w:tmpl w:val="745A2BC6"/>
    <w:lvl w:ilvl="0">
      <w:start w:val="1"/>
      <w:numFmt w:val="decimal"/>
      <w:lvlText w:val="%1"/>
      <w:lvlJc w:val="left"/>
      <w:pPr>
        <w:tabs>
          <w:tab w:val="num" w:pos="432"/>
        </w:tabs>
        <w:ind w:left="432" w:hanging="432"/>
      </w:pPr>
      <w:rPr>
        <w:rFonts w:hint="default"/>
      </w:rPr>
    </w:lvl>
    <w:lvl w:ilvl="1">
      <w:start w:val="1"/>
      <w:numFmt w:val="decimal"/>
      <w:lvlRestart w:val="0"/>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765C6971"/>
    <w:multiLevelType w:val="hybridMultilevel"/>
    <w:tmpl w:val="4A10BC9A"/>
    <w:lvl w:ilvl="0" w:tplc="CF546C40">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7AAD243F"/>
    <w:multiLevelType w:val="hybridMultilevel"/>
    <w:tmpl w:val="918663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819835545">
    <w:abstractNumId w:val="13"/>
  </w:num>
  <w:num w:numId="2" w16cid:durableId="930577921">
    <w:abstractNumId w:val="9"/>
  </w:num>
  <w:num w:numId="3" w16cid:durableId="468286507">
    <w:abstractNumId w:val="7"/>
  </w:num>
  <w:num w:numId="4" w16cid:durableId="1774545186">
    <w:abstractNumId w:val="6"/>
  </w:num>
  <w:num w:numId="5" w16cid:durableId="1035084894">
    <w:abstractNumId w:val="5"/>
  </w:num>
  <w:num w:numId="6" w16cid:durableId="761990055">
    <w:abstractNumId w:val="4"/>
  </w:num>
  <w:num w:numId="7" w16cid:durableId="789977330">
    <w:abstractNumId w:val="20"/>
  </w:num>
  <w:num w:numId="8" w16cid:durableId="210118435">
    <w:abstractNumId w:val="8"/>
  </w:num>
  <w:num w:numId="9" w16cid:durableId="1649674167">
    <w:abstractNumId w:val="3"/>
  </w:num>
  <w:num w:numId="10" w16cid:durableId="183977953">
    <w:abstractNumId w:val="2"/>
  </w:num>
  <w:num w:numId="11" w16cid:durableId="932670421">
    <w:abstractNumId w:val="1"/>
  </w:num>
  <w:num w:numId="12" w16cid:durableId="1626813356">
    <w:abstractNumId w:val="0"/>
  </w:num>
  <w:num w:numId="13" w16cid:durableId="1041322953">
    <w:abstractNumId w:val="14"/>
  </w:num>
  <w:num w:numId="14" w16cid:durableId="852576162">
    <w:abstractNumId w:val="18"/>
  </w:num>
  <w:num w:numId="15" w16cid:durableId="468789980">
    <w:abstractNumId w:val="22"/>
  </w:num>
  <w:num w:numId="16" w16cid:durableId="1107702102">
    <w:abstractNumId w:val="15"/>
  </w:num>
  <w:num w:numId="17" w16cid:durableId="210830596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24943785">
    <w:abstractNumId w:val="16"/>
  </w:num>
  <w:num w:numId="19" w16cid:durableId="7997733">
    <w:abstractNumId w:val="11"/>
  </w:num>
  <w:num w:numId="20" w16cid:durableId="157886707">
    <w:abstractNumId w:val="19"/>
  </w:num>
  <w:num w:numId="21" w16cid:durableId="1125074570">
    <w:abstractNumId w:val="20"/>
  </w:num>
  <w:num w:numId="22" w16cid:durableId="1700473913">
    <w:abstractNumId w:val="17"/>
  </w:num>
  <w:num w:numId="23" w16cid:durableId="507328032">
    <w:abstractNumId w:val="23"/>
  </w:num>
  <w:num w:numId="24" w16cid:durableId="2090228721">
    <w:abstractNumId w:val="10"/>
  </w:num>
  <w:num w:numId="25" w16cid:durableId="627786077">
    <w:abstractNumId w:val="21"/>
  </w:num>
  <w:num w:numId="26" w16cid:durableId="2073919222">
    <w:abstractNumId w:val="24"/>
  </w:num>
  <w:num w:numId="27" w16cid:durableId="11335928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142"/>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053"/>
    <w:rsid w:val="00014053"/>
    <w:rsid w:val="00014520"/>
    <w:rsid w:val="00016748"/>
    <w:rsid w:val="00044EC3"/>
    <w:rsid w:val="000B46AE"/>
    <w:rsid w:val="000D35D7"/>
    <w:rsid w:val="00104CD9"/>
    <w:rsid w:val="00105677"/>
    <w:rsid w:val="00107E2C"/>
    <w:rsid w:val="00124654"/>
    <w:rsid w:val="00137964"/>
    <w:rsid w:val="001434D3"/>
    <w:rsid w:val="00160D05"/>
    <w:rsid w:val="001866C1"/>
    <w:rsid w:val="00187B47"/>
    <w:rsid w:val="00194EDC"/>
    <w:rsid w:val="001B3B98"/>
    <w:rsid w:val="001C6FE2"/>
    <w:rsid w:val="001F25E7"/>
    <w:rsid w:val="001F284A"/>
    <w:rsid w:val="0021653C"/>
    <w:rsid w:val="00245312"/>
    <w:rsid w:val="002E2732"/>
    <w:rsid w:val="002F0631"/>
    <w:rsid w:val="002F2035"/>
    <w:rsid w:val="003111E3"/>
    <w:rsid w:val="00314F56"/>
    <w:rsid w:val="00383CBA"/>
    <w:rsid w:val="00385FBB"/>
    <w:rsid w:val="003A34D3"/>
    <w:rsid w:val="003A4DAC"/>
    <w:rsid w:val="003A6642"/>
    <w:rsid w:val="003B046B"/>
    <w:rsid w:val="003B1E10"/>
    <w:rsid w:val="003B62BC"/>
    <w:rsid w:val="003D5FAA"/>
    <w:rsid w:val="003D6050"/>
    <w:rsid w:val="003D6A89"/>
    <w:rsid w:val="00417554"/>
    <w:rsid w:val="00421F8A"/>
    <w:rsid w:val="00455736"/>
    <w:rsid w:val="0049127E"/>
    <w:rsid w:val="004A1893"/>
    <w:rsid w:val="004C3879"/>
    <w:rsid w:val="004F14C9"/>
    <w:rsid w:val="00507598"/>
    <w:rsid w:val="00531A54"/>
    <w:rsid w:val="00534E22"/>
    <w:rsid w:val="005500E7"/>
    <w:rsid w:val="005532D6"/>
    <w:rsid w:val="0057787E"/>
    <w:rsid w:val="00585558"/>
    <w:rsid w:val="005B5746"/>
    <w:rsid w:val="005D789B"/>
    <w:rsid w:val="005F0BE7"/>
    <w:rsid w:val="00617B95"/>
    <w:rsid w:val="006709AF"/>
    <w:rsid w:val="006720EC"/>
    <w:rsid w:val="006723D2"/>
    <w:rsid w:val="00696A18"/>
    <w:rsid w:val="006B53D5"/>
    <w:rsid w:val="006E14AB"/>
    <w:rsid w:val="006E7514"/>
    <w:rsid w:val="007234A5"/>
    <w:rsid w:val="0073459A"/>
    <w:rsid w:val="007349A4"/>
    <w:rsid w:val="00742F57"/>
    <w:rsid w:val="007C117F"/>
    <w:rsid w:val="007C2CDF"/>
    <w:rsid w:val="007D61CD"/>
    <w:rsid w:val="008044B0"/>
    <w:rsid w:val="00825836"/>
    <w:rsid w:val="008325E8"/>
    <w:rsid w:val="00881611"/>
    <w:rsid w:val="00887AAF"/>
    <w:rsid w:val="008B3282"/>
    <w:rsid w:val="008C3601"/>
    <w:rsid w:val="008E3B72"/>
    <w:rsid w:val="008E4C00"/>
    <w:rsid w:val="00905CDC"/>
    <w:rsid w:val="00922118"/>
    <w:rsid w:val="00935336"/>
    <w:rsid w:val="00952E20"/>
    <w:rsid w:val="00966570"/>
    <w:rsid w:val="00974506"/>
    <w:rsid w:val="00975D4A"/>
    <w:rsid w:val="00997E2D"/>
    <w:rsid w:val="009A0EC2"/>
    <w:rsid w:val="009E4DD3"/>
    <w:rsid w:val="009F36B0"/>
    <w:rsid w:val="00A060FB"/>
    <w:rsid w:val="00A2516E"/>
    <w:rsid w:val="00A30361"/>
    <w:rsid w:val="00A3418E"/>
    <w:rsid w:val="00A445DF"/>
    <w:rsid w:val="00A51D0A"/>
    <w:rsid w:val="00A62D93"/>
    <w:rsid w:val="00A81D98"/>
    <w:rsid w:val="00A8529A"/>
    <w:rsid w:val="00AA5113"/>
    <w:rsid w:val="00AB12EE"/>
    <w:rsid w:val="00AC1DC0"/>
    <w:rsid w:val="00AD38F4"/>
    <w:rsid w:val="00AE5ECD"/>
    <w:rsid w:val="00B22E84"/>
    <w:rsid w:val="00B23BE9"/>
    <w:rsid w:val="00B37D49"/>
    <w:rsid w:val="00B56BD1"/>
    <w:rsid w:val="00B64080"/>
    <w:rsid w:val="00B80F58"/>
    <w:rsid w:val="00BA0923"/>
    <w:rsid w:val="00BA3CFE"/>
    <w:rsid w:val="00BB7E7C"/>
    <w:rsid w:val="00BC610B"/>
    <w:rsid w:val="00BD265D"/>
    <w:rsid w:val="00BE0D08"/>
    <w:rsid w:val="00BF2497"/>
    <w:rsid w:val="00C16575"/>
    <w:rsid w:val="00C77527"/>
    <w:rsid w:val="00C97CC2"/>
    <w:rsid w:val="00CA115A"/>
    <w:rsid w:val="00CB3519"/>
    <w:rsid w:val="00CB6A86"/>
    <w:rsid w:val="00CC79C7"/>
    <w:rsid w:val="00CD1BDB"/>
    <w:rsid w:val="00CD5BA4"/>
    <w:rsid w:val="00CD7F59"/>
    <w:rsid w:val="00CF01DA"/>
    <w:rsid w:val="00D000CF"/>
    <w:rsid w:val="00D07B47"/>
    <w:rsid w:val="00D23850"/>
    <w:rsid w:val="00D24F9E"/>
    <w:rsid w:val="00D32BD5"/>
    <w:rsid w:val="00D34E78"/>
    <w:rsid w:val="00D415B9"/>
    <w:rsid w:val="00D741A9"/>
    <w:rsid w:val="00D75881"/>
    <w:rsid w:val="00DB6BB3"/>
    <w:rsid w:val="00DB738A"/>
    <w:rsid w:val="00DC2A04"/>
    <w:rsid w:val="00DD63C5"/>
    <w:rsid w:val="00DE7912"/>
    <w:rsid w:val="00DF6CF4"/>
    <w:rsid w:val="00E33DF2"/>
    <w:rsid w:val="00E36A01"/>
    <w:rsid w:val="00E52350"/>
    <w:rsid w:val="00E613D4"/>
    <w:rsid w:val="00EA02EE"/>
    <w:rsid w:val="00EA402E"/>
    <w:rsid w:val="00EB0642"/>
    <w:rsid w:val="00EF62D0"/>
    <w:rsid w:val="00F2059C"/>
    <w:rsid w:val="00F20958"/>
    <w:rsid w:val="00F32276"/>
    <w:rsid w:val="00F333AA"/>
    <w:rsid w:val="00F546FF"/>
    <w:rsid w:val="00F55422"/>
    <w:rsid w:val="00F613E7"/>
    <w:rsid w:val="00F6216D"/>
    <w:rsid w:val="00F7330E"/>
    <w:rsid w:val="00FB3672"/>
    <w:rsid w:val="00FC6467"/>
    <w:rsid w:val="00FD2E3A"/>
    <w:rsid w:val="00FE53BB"/>
    <w:rsid w:val="00FF5B7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A962D6"/>
  <w15:docId w15:val="{CF7AFD1F-79BC-4F50-ABB0-6F854D463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C3879"/>
    <w:pPr>
      <w:tabs>
        <w:tab w:val="left" w:pos="851"/>
      </w:tabs>
      <w:spacing w:after="120" w:line="360" w:lineRule="auto"/>
      <w:jc w:val="both"/>
    </w:pPr>
    <w:rPr>
      <w:rFonts w:ascii="Arial" w:hAnsi="Arial"/>
      <w:sz w:val="22"/>
      <w:szCs w:val="24"/>
      <w:lang w:eastAsia="en-US"/>
    </w:rPr>
  </w:style>
  <w:style w:type="paragraph" w:styleId="berschrift1">
    <w:name w:val="heading 1"/>
    <w:basedOn w:val="Standard"/>
    <w:next w:val="Standard"/>
    <w:qFormat/>
    <w:rsid w:val="00975D4A"/>
    <w:pPr>
      <w:keepNext/>
      <w:pageBreakBefore/>
      <w:numPr>
        <w:numId w:val="7"/>
      </w:numPr>
      <w:tabs>
        <w:tab w:val="clear" w:pos="851"/>
      </w:tabs>
      <w:spacing w:before="360" w:after="240" w:line="240" w:lineRule="auto"/>
      <w:jc w:val="left"/>
      <w:outlineLvl w:val="0"/>
    </w:pPr>
    <w:rPr>
      <w:b/>
      <w:kern w:val="28"/>
      <w:sz w:val="26"/>
      <w:szCs w:val="20"/>
      <w:lang w:eastAsia="de-DE"/>
    </w:rPr>
  </w:style>
  <w:style w:type="paragraph" w:styleId="berschrift2">
    <w:name w:val="heading 2"/>
    <w:basedOn w:val="berschrift1"/>
    <w:next w:val="Standard"/>
    <w:qFormat/>
    <w:rsid w:val="003A34D3"/>
    <w:pPr>
      <w:pageBreakBefore w:val="0"/>
      <w:numPr>
        <w:ilvl w:val="1"/>
      </w:numPr>
      <w:outlineLvl w:val="1"/>
    </w:pPr>
    <w:rPr>
      <w:b w:val="0"/>
    </w:rPr>
  </w:style>
  <w:style w:type="paragraph" w:styleId="berschrift3">
    <w:name w:val="heading 3"/>
    <w:basedOn w:val="berschrift2"/>
    <w:next w:val="Standard"/>
    <w:qFormat/>
    <w:rsid w:val="003A34D3"/>
    <w:pPr>
      <w:numPr>
        <w:ilvl w:val="2"/>
      </w:numPr>
      <w:outlineLvl w:val="2"/>
    </w:pPr>
    <w:rPr>
      <w:i/>
      <w:sz w:val="22"/>
    </w:rPr>
  </w:style>
  <w:style w:type="paragraph" w:styleId="berschrift4">
    <w:name w:val="heading 4"/>
    <w:basedOn w:val="berschrift3"/>
    <w:next w:val="Standard"/>
    <w:qFormat/>
    <w:rsid w:val="00D07B47"/>
    <w:pPr>
      <w:numPr>
        <w:ilvl w:val="3"/>
      </w:numPr>
      <w:outlineLvl w:val="3"/>
    </w:pPr>
  </w:style>
  <w:style w:type="paragraph" w:styleId="berschrift5">
    <w:name w:val="heading 5"/>
    <w:basedOn w:val="Standard"/>
    <w:next w:val="Standard"/>
    <w:qFormat/>
    <w:rsid w:val="00D07B47"/>
    <w:pPr>
      <w:numPr>
        <w:ilvl w:val="4"/>
        <w:numId w:val="7"/>
      </w:numPr>
      <w:tabs>
        <w:tab w:val="clear" w:pos="851"/>
        <w:tab w:val="left" w:pos="567"/>
      </w:tabs>
      <w:spacing w:before="240" w:after="60" w:line="280" w:lineRule="exact"/>
      <w:outlineLvl w:val="4"/>
    </w:pPr>
    <w:rPr>
      <w:szCs w:val="20"/>
      <w:lang w:eastAsia="de-DE"/>
    </w:rPr>
  </w:style>
  <w:style w:type="paragraph" w:styleId="berschrift6">
    <w:name w:val="heading 6"/>
    <w:basedOn w:val="Standard"/>
    <w:next w:val="Standard"/>
    <w:qFormat/>
    <w:rsid w:val="00D07B47"/>
    <w:pPr>
      <w:numPr>
        <w:ilvl w:val="5"/>
        <w:numId w:val="7"/>
      </w:numPr>
      <w:tabs>
        <w:tab w:val="clear" w:pos="851"/>
        <w:tab w:val="left" w:pos="567"/>
      </w:tabs>
      <w:spacing w:before="240" w:after="60" w:line="280" w:lineRule="exact"/>
      <w:outlineLvl w:val="5"/>
    </w:pPr>
    <w:rPr>
      <w:rFonts w:ascii="Times New Roman" w:hAnsi="Times New Roman"/>
      <w:i/>
      <w:szCs w:val="20"/>
      <w:lang w:eastAsia="de-DE"/>
    </w:rPr>
  </w:style>
  <w:style w:type="paragraph" w:styleId="berschrift7">
    <w:name w:val="heading 7"/>
    <w:basedOn w:val="Standard"/>
    <w:next w:val="Standard"/>
    <w:qFormat/>
    <w:rsid w:val="00D07B47"/>
    <w:pPr>
      <w:numPr>
        <w:ilvl w:val="6"/>
        <w:numId w:val="7"/>
      </w:numPr>
      <w:tabs>
        <w:tab w:val="clear" w:pos="851"/>
        <w:tab w:val="left" w:pos="567"/>
      </w:tabs>
      <w:spacing w:before="240" w:after="60" w:line="280" w:lineRule="exact"/>
      <w:outlineLvl w:val="6"/>
    </w:pPr>
    <w:rPr>
      <w:sz w:val="20"/>
      <w:szCs w:val="20"/>
      <w:lang w:eastAsia="de-DE"/>
    </w:rPr>
  </w:style>
  <w:style w:type="paragraph" w:styleId="berschrift8">
    <w:name w:val="heading 8"/>
    <w:basedOn w:val="Standard"/>
    <w:next w:val="Standard"/>
    <w:qFormat/>
    <w:rsid w:val="00D07B47"/>
    <w:pPr>
      <w:numPr>
        <w:ilvl w:val="7"/>
        <w:numId w:val="7"/>
      </w:numPr>
      <w:tabs>
        <w:tab w:val="clear" w:pos="851"/>
        <w:tab w:val="left" w:pos="567"/>
      </w:tabs>
      <w:spacing w:before="240" w:after="60" w:line="280" w:lineRule="exact"/>
      <w:outlineLvl w:val="7"/>
    </w:pPr>
    <w:rPr>
      <w:i/>
      <w:sz w:val="20"/>
      <w:szCs w:val="20"/>
      <w:lang w:eastAsia="de-DE"/>
    </w:rPr>
  </w:style>
  <w:style w:type="paragraph" w:styleId="berschrift9">
    <w:name w:val="heading 9"/>
    <w:basedOn w:val="Standard"/>
    <w:next w:val="Standard"/>
    <w:qFormat/>
    <w:rsid w:val="00D07B47"/>
    <w:pPr>
      <w:numPr>
        <w:ilvl w:val="8"/>
        <w:numId w:val="7"/>
      </w:numPr>
      <w:tabs>
        <w:tab w:val="clear" w:pos="851"/>
        <w:tab w:val="left" w:pos="567"/>
      </w:tabs>
      <w:spacing w:before="240" w:after="60" w:line="280" w:lineRule="exact"/>
      <w:outlineLvl w:val="8"/>
    </w:pPr>
    <w:rPr>
      <w:b/>
      <w:i/>
      <w:sz w:val="18"/>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uiPriority w:val="39"/>
    <w:rsid w:val="00F20958"/>
    <w:pPr>
      <w:tabs>
        <w:tab w:val="clear" w:pos="851"/>
        <w:tab w:val="right" w:leader="dot" w:pos="9628"/>
      </w:tabs>
      <w:ind w:left="567" w:right="567" w:hanging="567"/>
    </w:pPr>
  </w:style>
  <w:style w:type="paragraph" w:styleId="Textkrper">
    <w:name w:val="Body Text"/>
    <w:basedOn w:val="Standard"/>
    <w:link w:val="TextkrperZchn"/>
    <w:rsid w:val="00AE5ECD"/>
  </w:style>
  <w:style w:type="character" w:styleId="Hyperlink">
    <w:name w:val="Hyperlink"/>
    <w:uiPriority w:val="99"/>
    <w:rsid w:val="00105677"/>
    <w:rPr>
      <w:color w:val="0000FF"/>
      <w:u w:val="single"/>
    </w:rPr>
  </w:style>
  <w:style w:type="paragraph" w:styleId="Kopfzeile">
    <w:name w:val="header"/>
    <w:basedOn w:val="Standard"/>
    <w:rsid w:val="00BE0D08"/>
    <w:pPr>
      <w:tabs>
        <w:tab w:val="clear" w:pos="851"/>
        <w:tab w:val="center" w:pos="4320"/>
        <w:tab w:val="right" w:pos="8640"/>
      </w:tabs>
    </w:pPr>
  </w:style>
  <w:style w:type="paragraph" w:styleId="Fuzeile">
    <w:name w:val="footer"/>
    <w:basedOn w:val="Standard"/>
    <w:rsid w:val="00BE0D08"/>
    <w:pPr>
      <w:tabs>
        <w:tab w:val="clear" w:pos="851"/>
        <w:tab w:val="center" w:pos="4320"/>
        <w:tab w:val="right" w:pos="8640"/>
      </w:tabs>
    </w:pPr>
  </w:style>
  <w:style w:type="character" w:styleId="Seitenzahl">
    <w:name w:val="page number"/>
    <w:basedOn w:val="Absatz-Standardschriftart"/>
    <w:rsid w:val="005B5746"/>
  </w:style>
  <w:style w:type="paragraph" w:styleId="Beschriftung">
    <w:name w:val="caption"/>
    <w:basedOn w:val="Standard"/>
    <w:next w:val="Standard"/>
    <w:qFormat/>
    <w:rsid w:val="00975D4A"/>
    <w:pPr>
      <w:tabs>
        <w:tab w:val="clear" w:pos="851"/>
      </w:tabs>
      <w:spacing w:after="280" w:line="280" w:lineRule="exact"/>
      <w:ind w:left="1276" w:hanging="1276"/>
    </w:pPr>
    <w:rPr>
      <w:sz w:val="20"/>
      <w:szCs w:val="20"/>
      <w:lang w:eastAsia="de-DE"/>
    </w:rPr>
  </w:style>
  <w:style w:type="paragraph" w:styleId="Nachrichtenkopf">
    <w:name w:val="Message Header"/>
    <w:basedOn w:val="Standard"/>
    <w:rsid w:val="00A51D0A"/>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customStyle="1" w:styleId="Abkrzungsverzeichnis">
    <w:name w:val="Abkürzungsverzeichnis"/>
    <w:basedOn w:val="Standard"/>
    <w:rsid w:val="00BA0923"/>
    <w:pPr>
      <w:tabs>
        <w:tab w:val="clear" w:pos="851"/>
        <w:tab w:val="left" w:pos="567"/>
        <w:tab w:val="left" w:pos="1701"/>
      </w:tabs>
      <w:spacing w:line="280" w:lineRule="exact"/>
    </w:pPr>
    <w:rPr>
      <w:szCs w:val="20"/>
      <w:lang w:eastAsia="de-DE"/>
    </w:rPr>
  </w:style>
  <w:style w:type="paragraph" w:styleId="Funotentext">
    <w:name w:val="footnote text"/>
    <w:basedOn w:val="Standard"/>
    <w:semiHidden/>
    <w:rsid w:val="00975D4A"/>
    <w:pPr>
      <w:tabs>
        <w:tab w:val="clear" w:pos="851"/>
      </w:tabs>
      <w:spacing w:line="240" w:lineRule="auto"/>
      <w:ind w:left="284" w:hanging="284"/>
    </w:pPr>
    <w:rPr>
      <w:sz w:val="16"/>
      <w:szCs w:val="20"/>
      <w:lang w:eastAsia="de-DE"/>
    </w:rPr>
  </w:style>
  <w:style w:type="character" w:styleId="Funotenzeichen">
    <w:name w:val="footnote reference"/>
    <w:semiHidden/>
    <w:rsid w:val="00BA0923"/>
    <w:rPr>
      <w:vertAlign w:val="superscript"/>
    </w:rPr>
  </w:style>
  <w:style w:type="paragraph" w:customStyle="1" w:styleId="berschriftohneNummerierung">
    <w:name w:val="Überschrift ohne Nummerierung"/>
    <w:basedOn w:val="Standard"/>
    <w:next w:val="Standard"/>
    <w:rsid w:val="00531A54"/>
    <w:pPr>
      <w:keepNext/>
      <w:tabs>
        <w:tab w:val="clear" w:pos="851"/>
        <w:tab w:val="left" w:pos="567"/>
      </w:tabs>
      <w:spacing w:before="360" w:after="240" w:line="240" w:lineRule="auto"/>
    </w:pPr>
    <w:rPr>
      <w:b/>
      <w:szCs w:val="20"/>
      <w:lang w:eastAsia="de-DE"/>
    </w:rPr>
  </w:style>
  <w:style w:type="paragraph" w:customStyle="1" w:styleId="Abbildung">
    <w:name w:val="Abbildung"/>
    <w:basedOn w:val="Abkrzungsverzeichnis"/>
    <w:next w:val="Standard"/>
    <w:rsid w:val="00FC6467"/>
    <w:pPr>
      <w:keepNext/>
      <w:spacing w:before="280" w:after="200" w:line="240" w:lineRule="auto"/>
      <w:jc w:val="center"/>
    </w:pPr>
  </w:style>
  <w:style w:type="paragraph" w:styleId="Aufzhlungszeichen">
    <w:name w:val="List Bullet"/>
    <w:basedOn w:val="Standard"/>
    <w:autoRedefine/>
    <w:rsid w:val="00417554"/>
    <w:pPr>
      <w:numPr>
        <w:numId w:val="2"/>
      </w:numPr>
      <w:tabs>
        <w:tab w:val="clear" w:pos="851"/>
        <w:tab w:val="left" w:pos="567"/>
      </w:tabs>
      <w:spacing w:line="280" w:lineRule="exact"/>
    </w:pPr>
    <w:rPr>
      <w:szCs w:val="20"/>
      <w:lang w:eastAsia="de-DE"/>
    </w:rPr>
  </w:style>
  <w:style w:type="paragraph" w:customStyle="1" w:styleId="BeschriftungTabelle">
    <w:name w:val="Beschriftung Tabelle"/>
    <w:basedOn w:val="Beschriftung"/>
    <w:rsid w:val="00975D4A"/>
    <w:pPr>
      <w:spacing w:after="120"/>
    </w:pPr>
  </w:style>
  <w:style w:type="paragraph" w:customStyle="1" w:styleId="Tabellenberschrift">
    <w:name w:val="Tabellenüberschrift"/>
    <w:basedOn w:val="Standard"/>
    <w:rsid w:val="00D415B9"/>
    <w:pPr>
      <w:keepNext/>
      <w:tabs>
        <w:tab w:val="clear" w:pos="851"/>
        <w:tab w:val="left" w:pos="567"/>
      </w:tabs>
      <w:spacing w:before="120" w:line="280" w:lineRule="exact"/>
      <w:jc w:val="left"/>
    </w:pPr>
    <w:rPr>
      <w:b/>
      <w:bCs/>
      <w:sz w:val="20"/>
      <w:szCs w:val="20"/>
      <w:lang w:eastAsia="de-DE"/>
    </w:rPr>
  </w:style>
  <w:style w:type="paragraph" w:customStyle="1" w:styleId="Tabellentext">
    <w:name w:val="Tabellentext"/>
    <w:basedOn w:val="Standard"/>
    <w:rsid w:val="00D415B9"/>
    <w:pPr>
      <w:keepNext/>
      <w:tabs>
        <w:tab w:val="clear" w:pos="851"/>
        <w:tab w:val="left" w:pos="567"/>
      </w:tabs>
      <w:spacing w:before="60" w:after="60" w:line="240" w:lineRule="auto"/>
      <w:jc w:val="left"/>
    </w:pPr>
    <w:rPr>
      <w:sz w:val="20"/>
      <w:szCs w:val="20"/>
      <w:lang w:eastAsia="de-DE"/>
    </w:rPr>
  </w:style>
  <w:style w:type="paragraph" w:customStyle="1" w:styleId="Grafik">
    <w:name w:val="Grafik"/>
    <w:basedOn w:val="Standard"/>
    <w:rsid w:val="00BA0923"/>
    <w:pPr>
      <w:tabs>
        <w:tab w:val="clear" w:pos="851"/>
        <w:tab w:val="left" w:pos="567"/>
      </w:tabs>
      <w:spacing w:before="240" w:line="240" w:lineRule="auto"/>
    </w:pPr>
    <w:rPr>
      <w:szCs w:val="20"/>
      <w:lang w:eastAsia="de-DE"/>
    </w:rPr>
  </w:style>
  <w:style w:type="paragraph" w:customStyle="1" w:styleId="Literatureintrag">
    <w:name w:val="Literatureintrag"/>
    <w:basedOn w:val="Standard"/>
    <w:rsid w:val="00CD7F59"/>
    <w:pPr>
      <w:tabs>
        <w:tab w:val="clear" w:pos="851"/>
      </w:tabs>
      <w:ind w:left="284" w:hanging="284"/>
      <w:jc w:val="left"/>
    </w:pPr>
    <w:rPr>
      <w:snapToGrid w:val="0"/>
      <w:color w:val="000000"/>
      <w:szCs w:val="20"/>
      <w:lang w:val="de-DE" w:eastAsia="de-DE"/>
    </w:rPr>
  </w:style>
  <w:style w:type="paragraph" w:customStyle="1" w:styleId="berschrift1ohneNummerierung">
    <w:name w:val="Überschrift 1 ohne Nummerierung"/>
    <w:basedOn w:val="berschrift1"/>
    <w:next w:val="Standard"/>
    <w:rsid w:val="00D07B47"/>
    <w:pPr>
      <w:numPr>
        <w:numId w:val="0"/>
      </w:numPr>
    </w:pPr>
  </w:style>
  <w:style w:type="paragraph" w:styleId="Verzeichnis2">
    <w:name w:val="toc 2"/>
    <w:basedOn w:val="Standard"/>
    <w:next w:val="Standard"/>
    <w:uiPriority w:val="39"/>
    <w:rsid w:val="00F20958"/>
    <w:pPr>
      <w:tabs>
        <w:tab w:val="clear" w:pos="851"/>
        <w:tab w:val="right" w:leader="dot" w:pos="9628"/>
      </w:tabs>
      <w:ind w:left="1134" w:right="567" w:hanging="567"/>
    </w:pPr>
  </w:style>
  <w:style w:type="paragraph" w:styleId="Verzeichnis3">
    <w:name w:val="toc 3"/>
    <w:basedOn w:val="Standard"/>
    <w:next w:val="Standard"/>
    <w:uiPriority w:val="39"/>
    <w:rsid w:val="00A62D93"/>
    <w:pPr>
      <w:tabs>
        <w:tab w:val="clear" w:pos="851"/>
      </w:tabs>
      <w:ind w:left="1871" w:right="567" w:hanging="737"/>
    </w:pPr>
  </w:style>
  <w:style w:type="paragraph" w:styleId="Abbildungsverzeichnis">
    <w:name w:val="table of figures"/>
    <w:basedOn w:val="Standard"/>
    <w:next w:val="Standard"/>
    <w:uiPriority w:val="99"/>
    <w:rsid w:val="00BA0923"/>
    <w:pPr>
      <w:tabs>
        <w:tab w:val="clear" w:pos="851"/>
      </w:tabs>
    </w:pPr>
  </w:style>
  <w:style w:type="paragraph" w:styleId="Titel">
    <w:name w:val="Title"/>
    <w:basedOn w:val="Standard"/>
    <w:next w:val="Standard"/>
    <w:qFormat/>
    <w:rsid w:val="00585558"/>
    <w:pPr>
      <w:tabs>
        <w:tab w:val="clear" w:pos="851"/>
        <w:tab w:val="left" w:pos="567"/>
      </w:tabs>
      <w:spacing w:before="240" w:after="240" w:line="280" w:lineRule="exact"/>
    </w:pPr>
    <w:rPr>
      <w:b/>
      <w:kern w:val="28"/>
      <w:sz w:val="24"/>
      <w:szCs w:val="20"/>
      <w:lang w:eastAsia="de-DE"/>
    </w:rPr>
  </w:style>
  <w:style w:type="paragraph" w:styleId="Verzeichnis4">
    <w:name w:val="toc 4"/>
    <w:basedOn w:val="Standard"/>
    <w:next w:val="Standard"/>
    <w:uiPriority w:val="39"/>
    <w:rsid w:val="001F284A"/>
    <w:pPr>
      <w:tabs>
        <w:tab w:val="clear" w:pos="851"/>
        <w:tab w:val="right" w:leader="dot" w:pos="9628"/>
      </w:tabs>
      <w:ind w:left="2722" w:right="567" w:hanging="851"/>
    </w:pPr>
  </w:style>
  <w:style w:type="paragraph" w:styleId="Aufzhlungszeichen2">
    <w:name w:val="List Bullet 2"/>
    <w:basedOn w:val="Standard"/>
    <w:autoRedefine/>
    <w:rsid w:val="00D07B47"/>
    <w:pPr>
      <w:numPr>
        <w:numId w:val="3"/>
      </w:numPr>
      <w:tabs>
        <w:tab w:val="clear" w:pos="851"/>
        <w:tab w:val="left" w:pos="567"/>
      </w:tabs>
      <w:spacing w:line="280" w:lineRule="exact"/>
    </w:pPr>
    <w:rPr>
      <w:szCs w:val="20"/>
      <w:lang w:eastAsia="de-DE"/>
    </w:rPr>
  </w:style>
  <w:style w:type="paragraph" w:styleId="Aufzhlungszeichen3">
    <w:name w:val="List Bullet 3"/>
    <w:basedOn w:val="Standard"/>
    <w:autoRedefine/>
    <w:rsid w:val="00D07B47"/>
    <w:pPr>
      <w:numPr>
        <w:numId w:val="4"/>
      </w:numPr>
      <w:tabs>
        <w:tab w:val="clear" w:pos="851"/>
        <w:tab w:val="left" w:pos="567"/>
      </w:tabs>
      <w:spacing w:line="280" w:lineRule="exact"/>
    </w:pPr>
    <w:rPr>
      <w:szCs w:val="20"/>
      <w:lang w:eastAsia="de-DE"/>
    </w:rPr>
  </w:style>
  <w:style w:type="paragraph" w:styleId="Aufzhlungszeichen4">
    <w:name w:val="List Bullet 4"/>
    <w:basedOn w:val="Standard"/>
    <w:autoRedefine/>
    <w:rsid w:val="00D07B47"/>
    <w:pPr>
      <w:numPr>
        <w:numId w:val="5"/>
      </w:numPr>
      <w:tabs>
        <w:tab w:val="clear" w:pos="851"/>
        <w:tab w:val="left" w:pos="567"/>
      </w:tabs>
      <w:spacing w:line="280" w:lineRule="exact"/>
    </w:pPr>
    <w:rPr>
      <w:szCs w:val="20"/>
      <w:lang w:eastAsia="de-DE"/>
    </w:rPr>
  </w:style>
  <w:style w:type="paragraph" w:styleId="Aufzhlungszeichen5">
    <w:name w:val="List Bullet 5"/>
    <w:basedOn w:val="Standard"/>
    <w:autoRedefine/>
    <w:rsid w:val="00D07B47"/>
    <w:pPr>
      <w:numPr>
        <w:numId w:val="6"/>
      </w:numPr>
      <w:tabs>
        <w:tab w:val="clear" w:pos="851"/>
        <w:tab w:val="left" w:pos="567"/>
      </w:tabs>
      <w:spacing w:line="280" w:lineRule="exact"/>
    </w:pPr>
    <w:rPr>
      <w:szCs w:val="20"/>
      <w:lang w:eastAsia="de-DE"/>
    </w:rPr>
  </w:style>
  <w:style w:type="table" w:styleId="Tabellenraster">
    <w:name w:val="Table Grid"/>
    <w:basedOn w:val="NormaleTabelle"/>
    <w:rsid w:val="00EF62D0"/>
    <w:pPr>
      <w:tabs>
        <w:tab w:val="left" w:pos="567"/>
      </w:tabs>
      <w:spacing w:after="120" w:line="28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bildungTabelle">
    <w:name w:val="Abbildung Tabelle"/>
    <w:basedOn w:val="Standard"/>
    <w:next w:val="Standard"/>
    <w:rsid w:val="0021653C"/>
    <w:pPr>
      <w:tabs>
        <w:tab w:val="clear" w:pos="851"/>
      </w:tabs>
      <w:spacing w:line="240" w:lineRule="auto"/>
      <w:jc w:val="center"/>
    </w:pPr>
    <w:rPr>
      <w:szCs w:val="20"/>
      <w:lang w:eastAsia="de-DE"/>
    </w:rPr>
  </w:style>
  <w:style w:type="character" w:customStyle="1" w:styleId="TextkrperZchn">
    <w:name w:val="Textkörper Zchn"/>
    <w:link w:val="Textkrper"/>
    <w:rsid w:val="00FC6467"/>
    <w:rPr>
      <w:rFonts w:ascii="Arial" w:hAnsi="Arial"/>
      <w:sz w:val="22"/>
      <w:szCs w:val="24"/>
      <w:lang w:eastAsia="en-US"/>
    </w:rPr>
  </w:style>
  <w:style w:type="paragraph" w:styleId="StandardWeb">
    <w:name w:val="Normal (Web)"/>
    <w:basedOn w:val="Standard"/>
    <w:uiPriority w:val="99"/>
    <w:semiHidden/>
    <w:unhideWhenUsed/>
    <w:rsid w:val="006E7514"/>
    <w:pPr>
      <w:tabs>
        <w:tab w:val="clear" w:pos="851"/>
      </w:tabs>
      <w:spacing w:before="100" w:beforeAutospacing="1" w:after="100" w:afterAutospacing="1" w:line="240" w:lineRule="auto"/>
      <w:jc w:val="left"/>
    </w:pPr>
    <w:rPr>
      <w:rFonts w:ascii="Times New Roman" w:hAnsi="Times New Roman"/>
      <w:sz w:val="24"/>
      <w:lang w:eastAsia="de-CH"/>
    </w:rPr>
  </w:style>
  <w:style w:type="table" w:styleId="Gitternetztabelle1hellAkzent4">
    <w:name w:val="Grid Table 1 Light Accent 4"/>
    <w:basedOn w:val="NormaleTabelle"/>
    <w:uiPriority w:val="46"/>
    <w:rsid w:val="008E3B72"/>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itternetztabelle1hell">
    <w:name w:val="Grid Table 1 Light"/>
    <w:basedOn w:val="NormaleTabelle"/>
    <w:uiPriority w:val="46"/>
    <w:rsid w:val="008E3B7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prechblasentext">
    <w:name w:val="Balloon Text"/>
    <w:basedOn w:val="Standard"/>
    <w:link w:val="SprechblasentextZchn"/>
    <w:semiHidden/>
    <w:unhideWhenUsed/>
    <w:rsid w:val="00EA402E"/>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semiHidden/>
    <w:rsid w:val="00EA402E"/>
    <w:rPr>
      <w:rFonts w:ascii="Segoe UI" w:hAnsi="Segoe UI" w:cs="Segoe UI"/>
      <w:sz w:val="18"/>
      <w:szCs w:val="18"/>
      <w:lang w:eastAsia="en-US"/>
    </w:rPr>
  </w:style>
  <w:style w:type="paragraph" w:styleId="Listenabsatz">
    <w:name w:val="List Paragraph"/>
    <w:basedOn w:val="Standard"/>
    <w:uiPriority w:val="34"/>
    <w:qFormat/>
    <w:rsid w:val="00EA402E"/>
    <w:pPr>
      <w:ind w:left="720"/>
      <w:contextualSpacing/>
    </w:pPr>
  </w:style>
  <w:style w:type="character" w:styleId="NichtaufgelsteErwhnung">
    <w:name w:val="Unresolved Mention"/>
    <w:basedOn w:val="Absatz-Standardschriftart"/>
    <w:uiPriority w:val="99"/>
    <w:semiHidden/>
    <w:unhideWhenUsed/>
    <w:rsid w:val="00EB0642"/>
    <w:rPr>
      <w:color w:val="605E5C"/>
      <w:shd w:val="clear" w:color="auto" w:fill="E1DFDD"/>
    </w:rPr>
  </w:style>
  <w:style w:type="character" w:styleId="Kommentarzeichen">
    <w:name w:val="annotation reference"/>
    <w:basedOn w:val="Absatz-Standardschriftart"/>
    <w:semiHidden/>
    <w:unhideWhenUsed/>
    <w:rsid w:val="00D24F9E"/>
    <w:rPr>
      <w:sz w:val="16"/>
      <w:szCs w:val="16"/>
    </w:rPr>
  </w:style>
  <w:style w:type="paragraph" w:styleId="Kommentartext">
    <w:name w:val="annotation text"/>
    <w:basedOn w:val="Standard"/>
    <w:link w:val="KommentartextZchn"/>
    <w:unhideWhenUsed/>
    <w:rsid w:val="00D24F9E"/>
    <w:pPr>
      <w:spacing w:line="240" w:lineRule="auto"/>
    </w:pPr>
    <w:rPr>
      <w:sz w:val="20"/>
      <w:szCs w:val="20"/>
    </w:rPr>
  </w:style>
  <w:style w:type="character" w:customStyle="1" w:styleId="KommentartextZchn">
    <w:name w:val="Kommentartext Zchn"/>
    <w:basedOn w:val="Absatz-Standardschriftart"/>
    <w:link w:val="Kommentartext"/>
    <w:rsid w:val="00D24F9E"/>
    <w:rPr>
      <w:rFonts w:ascii="Arial" w:hAnsi="Arial"/>
      <w:lang w:eastAsia="en-US"/>
    </w:rPr>
  </w:style>
  <w:style w:type="paragraph" w:styleId="Kommentarthema">
    <w:name w:val="annotation subject"/>
    <w:basedOn w:val="Kommentartext"/>
    <w:next w:val="Kommentartext"/>
    <w:link w:val="KommentarthemaZchn"/>
    <w:semiHidden/>
    <w:unhideWhenUsed/>
    <w:rsid w:val="00D24F9E"/>
    <w:rPr>
      <w:b/>
      <w:bCs/>
    </w:rPr>
  </w:style>
  <w:style w:type="character" w:customStyle="1" w:styleId="KommentarthemaZchn">
    <w:name w:val="Kommentarthema Zchn"/>
    <w:basedOn w:val="KommentartextZchn"/>
    <w:link w:val="Kommentarthema"/>
    <w:semiHidden/>
    <w:rsid w:val="00D24F9E"/>
    <w:rPr>
      <w:rFonts w:ascii="Arial" w:hAnsi="Arial"/>
      <w:b/>
      <w:bCs/>
      <w:lang w:eastAsia="en-US"/>
    </w:rPr>
  </w:style>
  <w:style w:type="paragraph" w:customStyle="1" w:styleId="pf0">
    <w:name w:val="pf0"/>
    <w:basedOn w:val="Standard"/>
    <w:rsid w:val="00F55422"/>
    <w:pPr>
      <w:tabs>
        <w:tab w:val="clear" w:pos="851"/>
      </w:tabs>
      <w:spacing w:before="100" w:beforeAutospacing="1" w:after="100" w:afterAutospacing="1" w:line="240" w:lineRule="auto"/>
      <w:jc w:val="left"/>
    </w:pPr>
    <w:rPr>
      <w:rFonts w:ascii="Times New Roman" w:hAnsi="Times New Roman"/>
      <w:sz w:val="24"/>
      <w:lang w:eastAsia="de-CH"/>
    </w:rPr>
  </w:style>
  <w:style w:type="character" w:customStyle="1" w:styleId="cf01">
    <w:name w:val="cf01"/>
    <w:basedOn w:val="Absatz-Standardschriftart"/>
    <w:rsid w:val="00F55422"/>
    <w:rPr>
      <w:rFonts w:ascii="Segoe UI" w:hAnsi="Segoe UI" w:cs="Segoe UI" w:hint="default"/>
      <w:sz w:val="18"/>
      <w:szCs w:val="18"/>
    </w:rPr>
  </w:style>
  <w:style w:type="paragraph" w:styleId="berarbeitung">
    <w:name w:val="Revision"/>
    <w:hidden/>
    <w:uiPriority w:val="99"/>
    <w:semiHidden/>
    <w:rsid w:val="00AB12EE"/>
    <w:rPr>
      <w:rFonts w:ascii="Arial" w:hAnsi="Arial"/>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642900">
      <w:bodyDiv w:val="1"/>
      <w:marLeft w:val="0"/>
      <w:marRight w:val="0"/>
      <w:marTop w:val="0"/>
      <w:marBottom w:val="0"/>
      <w:divBdr>
        <w:top w:val="none" w:sz="0" w:space="0" w:color="auto"/>
        <w:left w:val="none" w:sz="0" w:space="0" w:color="auto"/>
        <w:bottom w:val="none" w:sz="0" w:space="0" w:color="auto"/>
        <w:right w:val="none" w:sz="0" w:space="0" w:color="auto"/>
      </w:divBdr>
    </w:div>
    <w:div w:id="705758805">
      <w:bodyDiv w:val="1"/>
      <w:marLeft w:val="0"/>
      <w:marRight w:val="0"/>
      <w:marTop w:val="0"/>
      <w:marBottom w:val="0"/>
      <w:divBdr>
        <w:top w:val="none" w:sz="0" w:space="0" w:color="auto"/>
        <w:left w:val="none" w:sz="0" w:space="0" w:color="auto"/>
        <w:bottom w:val="none" w:sz="0" w:space="0" w:color="auto"/>
        <w:right w:val="none" w:sz="0" w:space="0" w:color="auto"/>
      </w:divBdr>
    </w:div>
    <w:div w:id="1187868994">
      <w:bodyDiv w:val="1"/>
      <w:marLeft w:val="0"/>
      <w:marRight w:val="0"/>
      <w:marTop w:val="0"/>
      <w:marBottom w:val="0"/>
      <w:divBdr>
        <w:top w:val="none" w:sz="0" w:space="0" w:color="auto"/>
        <w:left w:val="none" w:sz="0" w:space="0" w:color="auto"/>
        <w:bottom w:val="none" w:sz="0" w:space="0" w:color="auto"/>
        <w:right w:val="none" w:sz="0" w:space="0" w:color="auto"/>
      </w:divBdr>
    </w:div>
    <w:div w:id="1497109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S:\HSW\A1912_Ausbildung\A1912_OL_Ausbildung\Admin\AB_Sekretariat\Wirtschaft\Studentische%20Arbeiten\Bachelor%20Thesis%202023%20(ab%20August%202023)\Neue%20Eigenst&#228;ndigkeitserkl&#228;rung\HSW%20FHNW_Dokumentvorlage%20studentische%20Arbeiten_2023.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6DC280-1E2D-41CE-B1C9-CDEF0DC6A6F4}">
  <we:reference id="ea375709-5511-4a7d-9ad9-0150d03e7fbe" version="3.1.0.0" store="EXCatalog" storeType="EXCatalog"/>
  <we:alternateReferences>
    <we:reference id="WA104380602" version="3.1.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852DEBE33A59A34DB8E62740360E456E" ma:contentTypeVersion="0" ma:contentTypeDescription="Ein neues Dokument erstellen." ma:contentTypeScope="" ma:versionID="1944934dfa5856fc89fb7d16bc374337">
  <xsd:schema xmlns:xsd="http://www.w3.org/2001/XMLSchema" xmlns:xs="http://www.w3.org/2001/XMLSchema" xmlns:p="http://schemas.microsoft.com/office/2006/metadata/properties" targetNamespace="http://schemas.microsoft.com/office/2006/metadata/properties" ma:root="true" ma:fieldsID="b4f5dc90cf06628c3b90945c8266c24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299108-B4A2-4276-B39D-7D1213017E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1FB995D-6A4E-4D21-8EE4-C4149122BA3D}">
  <ds:schemaRefs>
    <ds:schemaRef ds:uri="http://schemas.microsoft.com/sharepoint/v3/contenttype/forms"/>
  </ds:schemaRefs>
</ds:datastoreItem>
</file>

<file path=customXml/itemProps3.xml><?xml version="1.0" encoding="utf-8"?>
<ds:datastoreItem xmlns:ds="http://schemas.openxmlformats.org/officeDocument/2006/customXml" ds:itemID="{CE3F2721-DE41-40AF-BAED-3F733624392F}">
  <ds:schemaRefs>
    <ds:schemaRef ds:uri="http://schemas.openxmlformats.org/officeDocument/2006/bibliography"/>
  </ds:schemaRefs>
</ds:datastoreItem>
</file>

<file path=customXml/itemProps4.xml><?xml version="1.0" encoding="utf-8"?>
<ds:datastoreItem xmlns:ds="http://schemas.openxmlformats.org/officeDocument/2006/customXml" ds:itemID="{CE5794B5-627F-44B1-9AAD-CABA266A9F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HSW FHNW_Dokumentvorlage studentische Arbeiten_2023</Template>
  <TotalTime>0</TotalTime>
  <Pages>50</Pages>
  <Words>10097</Words>
  <Characters>63618</Characters>
  <Application>Microsoft Office Word</Application>
  <DocSecurity>0</DocSecurity>
  <Lines>530</Lines>
  <Paragraphs>147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Dokumentvorlage studentische Arbeit</vt:lpstr>
      <vt:lpstr>xxx Titel der Arbeit</vt:lpstr>
    </vt:vector>
  </TitlesOfParts>
  <Company>Fachhochschule Nordwestschweiz</Company>
  <LinksUpToDate>false</LinksUpToDate>
  <CharactersWithSpaces>73568</CharactersWithSpaces>
  <SharedDoc>false</SharedDoc>
  <HLinks>
    <vt:vector size="150" baseType="variant">
      <vt:variant>
        <vt:i4>1114173</vt:i4>
      </vt:variant>
      <vt:variant>
        <vt:i4>176</vt:i4>
      </vt:variant>
      <vt:variant>
        <vt:i4>0</vt:i4>
      </vt:variant>
      <vt:variant>
        <vt:i4>5</vt:i4>
      </vt:variant>
      <vt:variant>
        <vt:lpwstr/>
      </vt:variant>
      <vt:variant>
        <vt:lpwstr>_Toc328405655</vt:lpwstr>
      </vt:variant>
      <vt:variant>
        <vt:i4>1114173</vt:i4>
      </vt:variant>
      <vt:variant>
        <vt:i4>170</vt:i4>
      </vt:variant>
      <vt:variant>
        <vt:i4>0</vt:i4>
      </vt:variant>
      <vt:variant>
        <vt:i4>5</vt:i4>
      </vt:variant>
      <vt:variant>
        <vt:lpwstr/>
      </vt:variant>
      <vt:variant>
        <vt:lpwstr>_Toc328405654</vt:lpwstr>
      </vt:variant>
      <vt:variant>
        <vt:i4>1179701</vt:i4>
      </vt:variant>
      <vt:variant>
        <vt:i4>155</vt:i4>
      </vt:variant>
      <vt:variant>
        <vt:i4>0</vt:i4>
      </vt:variant>
      <vt:variant>
        <vt:i4>5</vt:i4>
      </vt:variant>
      <vt:variant>
        <vt:lpwstr/>
      </vt:variant>
      <vt:variant>
        <vt:lpwstr>_Toc328462813</vt:lpwstr>
      </vt:variant>
      <vt:variant>
        <vt:i4>1769534</vt:i4>
      </vt:variant>
      <vt:variant>
        <vt:i4>128</vt:i4>
      </vt:variant>
      <vt:variant>
        <vt:i4>0</vt:i4>
      </vt:variant>
      <vt:variant>
        <vt:i4>5</vt:i4>
      </vt:variant>
      <vt:variant>
        <vt:lpwstr/>
      </vt:variant>
      <vt:variant>
        <vt:lpwstr>_Toc328463395</vt:lpwstr>
      </vt:variant>
      <vt:variant>
        <vt:i4>1769534</vt:i4>
      </vt:variant>
      <vt:variant>
        <vt:i4>122</vt:i4>
      </vt:variant>
      <vt:variant>
        <vt:i4>0</vt:i4>
      </vt:variant>
      <vt:variant>
        <vt:i4>5</vt:i4>
      </vt:variant>
      <vt:variant>
        <vt:lpwstr/>
      </vt:variant>
      <vt:variant>
        <vt:lpwstr>_Toc328463394</vt:lpwstr>
      </vt:variant>
      <vt:variant>
        <vt:i4>1769534</vt:i4>
      </vt:variant>
      <vt:variant>
        <vt:i4>116</vt:i4>
      </vt:variant>
      <vt:variant>
        <vt:i4>0</vt:i4>
      </vt:variant>
      <vt:variant>
        <vt:i4>5</vt:i4>
      </vt:variant>
      <vt:variant>
        <vt:lpwstr/>
      </vt:variant>
      <vt:variant>
        <vt:lpwstr>_Toc328463393</vt:lpwstr>
      </vt:variant>
      <vt:variant>
        <vt:i4>1769534</vt:i4>
      </vt:variant>
      <vt:variant>
        <vt:i4>110</vt:i4>
      </vt:variant>
      <vt:variant>
        <vt:i4>0</vt:i4>
      </vt:variant>
      <vt:variant>
        <vt:i4>5</vt:i4>
      </vt:variant>
      <vt:variant>
        <vt:lpwstr/>
      </vt:variant>
      <vt:variant>
        <vt:lpwstr>_Toc328463392</vt:lpwstr>
      </vt:variant>
      <vt:variant>
        <vt:i4>1769534</vt:i4>
      </vt:variant>
      <vt:variant>
        <vt:i4>104</vt:i4>
      </vt:variant>
      <vt:variant>
        <vt:i4>0</vt:i4>
      </vt:variant>
      <vt:variant>
        <vt:i4>5</vt:i4>
      </vt:variant>
      <vt:variant>
        <vt:lpwstr/>
      </vt:variant>
      <vt:variant>
        <vt:lpwstr>_Toc328463391</vt:lpwstr>
      </vt:variant>
      <vt:variant>
        <vt:i4>1769534</vt:i4>
      </vt:variant>
      <vt:variant>
        <vt:i4>98</vt:i4>
      </vt:variant>
      <vt:variant>
        <vt:i4>0</vt:i4>
      </vt:variant>
      <vt:variant>
        <vt:i4>5</vt:i4>
      </vt:variant>
      <vt:variant>
        <vt:lpwstr/>
      </vt:variant>
      <vt:variant>
        <vt:lpwstr>_Toc328463390</vt:lpwstr>
      </vt:variant>
      <vt:variant>
        <vt:i4>1703998</vt:i4>
      </vt:variant>
      <vt:variant>
        <vt:i4>92</vt:i4>
      </vt:variant>
      <vt:variant>
        <vt:i4>0</vt:i4>
      </vt:variant>
      <vt:variant>
        <vt:i4>5</vt:i4>
      </vt:variant>
      <vt:variant>
        <vt:lpwstr/>
      </vt:variant>
      <vt:variant>
        <vt:lpwstr>_Toc328463389</vt:lpwstr>
      </vt:variant>
      <vt:variant>
        <vt:i4>1703998</vt:i4>
      </vt:variant>
      <vt:variant>
        <vt:i4>86</vt:i4>
      </vt:variant>
      <vt:variant>
        <vt:i4>0</vt:i4>
      </vt:variant>
      <vt:variant>
        <vt:i4>5</vt:i4>
      </vt:variant>
      <vt:variant>
        <vt:lpwstr/>
      </vt:variant>
      <vt:variant>
        <vt:lpwstr>_Toc328463388</vt:lpwstr>
      </vt:variant>
      <vt:variant>
        <vt:i4>1703998</vt:i4>
      </vt:variant>
      <vt:variant>
        <vt:i4>80</vt:i4>
      </vt:variant>
      <vt:variant>
        <vt:i4>0</vt:i4>
      </vt:variant>
      <vt:variant>
        <vt:i4>5</vt:i4>
      </vt:variant>
      <vt:variant>
        <vt:lpwstr/>
      </vt:variant>
      <vt:variant>
        <vt:lpwstr>_Toc328463387</vt:lpwstr>
      </vt:variant>
      <vt:variant>
        <vt:i4>1703998</vt:i4>
      </vt:variant>
      <vt:variant>
        <vt:i4>74</vt:i4>
      </vt:variant>
      <vt:variant>
        <vt:i4>0</vt:i4>
      </vt:variant>
      <vt:variant>
        <vt:i4>5</vt:i4>
      </vt:variant>
      <vt:variant>
        <vt:lpwstr/>
      </vt:variant>
      <vt:variant>
        <vt:lpwstr>_Toc328463386</vt:lpwstr>
      </vt:variant>
      <vt:variant>
        <vt:i4>1703998</vt:i4>
      </vt:variant>
      <vt:variant>
        <vt:i4>68</vt:i4>
      </vt:variant>
      <vt:variant>
        <vt:i4>0</vt:i4>
      </vt:variant>
      <vt:variant>
        <vt:i4>5</vt:i4>
      </vt:variant>
      <vt:variant>
        <vt:lpwstr/>
      </vt:variant>
      <vt:variant>
        <vt:lpwstr>_Toc328463385</vt:lpwstr>
      </vt:variant>
      <vt:variant>
        <vt:i4>1703998</vt:i4>
      </vt:variant>
      <vt:variant>
        <vt:i4>62</vt:i4>
      </vt:variant>
      <vt:variant>
        <vt:i4>0</vt:i4>
      </vt:variant>
      <vt:variant>
        <vt:i4>5</vt:i4>
      </vt:variant>
      <vt:variant>
        <vt:lpwstr/>
      </vt:variant>
      <vt:variant>
        <vt:lpwstr>_Toc328463384</vt:lpwstr>
      </vt:variant>
      <vt:variant>
        <vt:i4>1703998</vt:i4>
      </vt:variant>
      <vt:variant>
        <vt:i4>56</vt:i4>
      </vt:variant>
      <vt:variant>
        <vt:i4>0</vt:i4>
      </vt:variant>
      <vt:variant>
        <vt:i4>5</vt:i4>
      </vt:variant>
      <vt:variant>
        <vt:lpwstr/>
      </vt:variant>
      <vt:variant>
        <vt:lpwstr>_Toc328463383</vt:lpwstr>
      </vt:variant>
      <vt:variant>
        <vt:i4>1703998</vt:i4>
      </vt:variant>
      <vt:variant>
        <vt:i4>50</vt:i4>
      </vt:variant>
      <vt:variant>
        <vt:i4>0</vt:i4>
      </vt:variant>
      <vt:variant>
        <vt:i4>5</vt:i4>
      </vt:variant>
      <vt:variant>
        <vt:lpwstr/>
      </vt:variant>
      <vt:variant>
        <vt:lpwstr>_Toc328463382</vt:lpwstr>
      </vt:variant>
      <vt:variant>
        <vt:i4>1703998</vt:i4>
      </vt:variant>
      <vt:variant>
        <vt:i4>44</vt:i4>
      </vt:variant>
      <vt:variant>
        <vt:i4>0</vt:i4>
      </vt:variant>
      <vt:variant>
        <vt:i4>5</vt:i4>
      </vt:variant>
      <vt:variant>
        <vt:lpwstr/>
      </vt:variant>
      <vt:variant>
        <vt:lpwstr>_Toc328463381</vt:lpwstr>
      </vt:variant>
      <vt:variant>
        <vt:i4>1703998</vt:i4>
      </vt:variant>
      <vt:variant>
        <vt:i4>38</vt:i4>
      </vt:variant>
      <vt:variant>
        <vt:i4>0</vt:i4>
      </vt:variant>
      <vt:variant>
        <vt:i4>5</vt:i4>
      </vt:variant>
      <vt:variant>
        <vt:lpwstr/>
      </vt:variant>
      <vt:variant>
        <vt:lpwstr>_Toc328463380</vt:lpwstr>
      </vt:variant>
      <vt:variant>
        <vt:i4>1376318</vt:i4>
      </vt:variant>
      <vt:variant>
        <vt:i4>32</vt:i4>
      </vt:variant>
      <vt:variant>
        <vt:i4>0</vt:i4>
      </vt:variant>
      <vt:variant>
        <vt:i4>5</vt:i4>
      </vt:variant>
      <vt:variant>
        <vt:lpwstr/>
      </vt:variant>
      <vt:variant>
        <vt:lpwstr>_Toc328463379</vt:lpwstr>
      </vt:variant>
      <vt:variant>
        <vt:i4>1376318</vt:i4>
      </vt:variant>
      <vt:variant>
        <vt:i4>26</vt:i4>
      </vt:variant>
      <vt:variant>
        <vt:i4>0</vt:i4>
      </vt:variant>
      <vt:variant>
        <vt:i4>5</vt:i4>
      </vt:variant>
      <vt:variant>
        <vt:lpwstr/>
      </vt:variant>
      <vt:variant>
        <vt:lpwstr>_Toc328463378</vt:lpwstr>
      </vt:variant>
      <vt:variant>
        <vt:i4>1376318</vt:i4>
      </vt:variant>
      <vt:variant>
        <vt:i4>20</vt:i4>
      </vt:variant>
      <vt:variant>
        <vt:i4>0</vt:i4>
      </vt:variant>
      <vt:variant>
        <vt:i4>5</vt:i4>
      </vt:variant>
      <vt:variant>
        <vt:lpwstr/>
      </vt:variant>
      <vt:variant>
        <vt:lpwstr>_Toc328463377</vt:lpwstr>
      </vt:variant>
      <vt:variant>
        <vt:i4>1376318</vt:i4>
      </vt:variant>
      <vt:variant>
        <vt:i4>14</vt:i4>
      </vt:variant>
      <vt:variant>
        <vt:i4>0</vt:i4>
      </vt:variant>
      <vt:variant>
        <vt:i4>5</vt:i4>
      </vt:variant>
      <vt:variant>
        <vt:lpwstr/>
      </vt:variant>
      <vt:variant>
        <vt:lpwstr>_Toc328463376</vt:lpwstr>
      </vt:variant>
      <vt:variant>
        <vt:i4>1376318</vt:i4>
      </vt:variant>
      <vt:variant>
        <vt:i4>8</vt:i4>
      </vt:variant>
      <vt:variant>
        <vt:i4>0</vt:i4>
      </vt:variant>
      <vt:variant>
        <vt:i4>5</vt:i4>
      </vt:variant>
      <vt:variant>
        <vt:lpwstr/>
      </vt:variant>
      <vt:variant>
        <vt:lpwstr>_Toc328463375</vt:lpwstr>
      </vt:variant>
      <vt:variant>
        <vt:i4>1376318</vt:i4>
      </vt:variant>
      <vt:variant>
        <vt:i4>2</vt:i4>
      </vt:variant>
      <vt:variant>
        <vt:i4>0</vt:i4>
      </vt:variant>
      <vt:variant>
        <vt:i4>5</vt:i4>
      </vt:variant>
      <vt:variant>
        <vt:lpwstr/>
      </vt:variant>
      <vt:variant>
        <vt:lpwstr>_Toc328463374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studentische Arbeit</dc:title>
  <dc:creator>Strebel Felix</dc:creator>
  <cp:lastModifiedBy>Pablo Cruz (s)</cp:lastModifiedBy>
  <cp:revision>2</cp:revision>
  <cp:lastPrinted>2007-07-12T10:41:00Z</cp:lastPrinted>
  <dcterms:created xsi:type="dcterms:W3CDTF">2023-05-26T12:00:00Z</dcterms:created>
  <dcterms:modified xsi:type="dcterms:W3CDTF">2026-06-22T02:28:00Z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zotero-version="6.0.13"&gt;&lt;session id="3iHjyRvj"/&gt;&lt;style id="http://www.zotero.org/styles/apa" locale="de-DE" hasBibliography="1" bibliographyStyleHasBeenSet="0"/&gt;&lt;prefs&gt;&lt;pref name="fieldType" value="Field"/&gt;&lt;pref name="storeReference</vt:lpwstr>
  </property>
  <property fmtid="{D5CDD505-2E9C-101B-9397-08002B2CF9AE}" pid="3" name="ZOTERO_PREF_2">
    <vt:lpwstr>s" value="true"/&gt;&lt;pref name="automaticJournalAbbreviations" value="true"/&gt;&lt;/prefs&gt;&lt;/data&gt;</vt:lpwstr>
  </property>
  <property fmtid="{D5CDD505-2E9C-101B-9397-08002B2CF9AE}" pid="4" name="ContentTypeId">
    <vt:lpwstr>0x010100852DEBE33A59A34DB8E62740360E456E</vt:lpwstr>
  </property>
</Properties>
</file>