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2026-06-12T16:57:28+00:00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574 passed in 58.67s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11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an den Dozenten geben.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2. Source Review steht auf `final_blocked_source_review`, Swiss steht auf `final_blocked_official_result`,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final_blocked_official_result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14. Juni 2026 Resultat beschreibend bleiben.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 und tragen keine finale Effizienzaussage.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4; final blockiert: 2;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discussion_pending_final_result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descriptive_only_final_blocked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Keep the Swiss comparison descriptive until the official vote result is available and mapped. Gate-Aktion: Bis zum offiziellen 14. Juni 2026 Resultat beschreibend bleiben.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Effizienzinterpretation vor offizieller Resultatzuordnung vom 14. Juni 2026.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Bounded H1-H2-H3 Kapitelentwurf</w:t>
      </w:r>
    </w:p>
    <w:p>
      <w:r>
        <w:t>Der H1-H2-H3 Bounded Chapter Draft liefert 18 geordnete Prosa-Bausteine: 6 je H1, H2 und H3. Bounded-draft-ready: 18; final-submission-ready: 0.</w:t>
      </w:r>
    </w:p>
    <w:p>
      <w:r>
        <w:t>Jede empirische Methode und jede Interpretation bleibt an Evidence-IDs, Literatur-IDs, deterministische Artefakte, kuratierte Tabellen/Figuren, Limitationen und Source-Review-Gates gebunden.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450"/>
        <w:gridCol w:w="1750"/>
        <w:gridCol w:w="2450"/>
        <w:gridCol w:w="1180"/>
        <w:gridCol w:w="1910"/>
      </w:tblGrid>
      <w:tr>
        <w:tc>
          <w:tcPr>
            <w:tcW w:type="dxa" w:w="62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Methode</w:t>
            </w:r>
          </w:p>
        </w:tc>
        <w:tc>
          <w:tcPr>
            <w:tcW w:type="dxa" w:w="17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</w:t>
            </w:r>
          </w:p>
        </w:tc>
        <w:tc>
          <w:tcPr>
            <w:tcW w:type="dxa" w:w="2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Quelle/Artefakt</w:t>
            </w:r>
          </w:p>
        </w:tc>
        <w:tc>
          <w:tcPr>
            <w:tcW w:type="dxa" w:w="118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191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method_h1_brier_dm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interpretation_h1_bounded_advantage; interpretation_h1_broad_claim_not_proven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`lit_brier_001; lit_dm_001; lit_emh_001; zotero_poly_002`; Artefakte `data/results/thesis_h1_summary.csv; data/results/h1_poll_claim_readiness_summary.csv; plus 7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10 Source-Review-Zeilen im Ledger; 10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method_h2_event_window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interpretation_h2_daily_response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`lit_eventstudy_001; lit_emh_001; zotero_poly_001`; Artefakte `data/results/h2_event_window_summary.csv; data/events_timeline_seed.csv; plus 3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5 Source-Review-Zeilen im Ledger; 5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method_h3_wallet_tiers; method_h3_granger_timing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interpretation_h3_top_tier_signal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`zotero_poly_001; zotero_poly_005; zotero_poly_007; lit_granger_001`; Artefakte `data/results/h3_wallet_distribution_inventory.json; data/results/h3_granger_results.csv; plus 5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8 Source-Review-Zeilen im Ledger; 8 pending; 0 final-ready.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Schreibvorlage, nicht Abgabeclaim</w:t>
            </w:r>
          </w:p>
          <w:p>
            <w:pPr>
              <w:spacing w:after="0"/>
            </w:pPr>
            <w:r>
              <w:t>Die Bausteine duerfen direkt in den empirischen BA-Kern ueberfuehrt werden. Sie ersetzen keine finale Zitation, keine Quellenpruefung und keine DOCX-Render-QA.</w:t>
            </w:r>
          </w:p>
        </w:tc>
      </w:tr>
    </w:tbl>
    <w:p>
      <w:pPr>
        <w:pStyle w:val="Heading1"/>
      </w:pPr>
      <w:r>
        <w:t>Source-Gated H1-H2-H3 Drafting Sequence</w:t>
      </w:r>
    </w:p>
    <w:p>
      <w:r>
        <w:t>Der source-gated Thesis-Drafting-Pass bringt den H1-H2-H3-Kern in 15 paragraphenweise Schreibschritte: 5 je Kapitel. Bounded-draft-ready: 15; final-submission-ready: 0. Manual Source Review: 23 Rows verlinkt, 23 pending, 0 final-ready.</w:t>
      </w:r>
    </w:p>
    <w:p>
      <w:r>
        <w:t>Fuer den Dozenten ist das die konkrete Schreibreihenfolge nach dem Bounded Chapter Draft: Methode/Resultat setzen, Interpretation und Limitation setzen, Tabelle/Figur einbauen, Manual Source Review ausfuehren, Finalgate und Future-Agent-Grenze sichtbar lassen.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150"/>
        <w:gridCol w:w="1800"/>
        <w:gridCol w:w="1200"/>
        <w:gridCol w:w="25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Schritte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Manual Source Review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10 pending;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5 pending;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8 pending; 0 final-ready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600"/>
        <w:gridCol w:w="1650"/>
        <w:gridCol w:w="3700"/>
        <w:gridCol w:w="27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Ordnung</w:t>
            </w:r>
          </w:p>
        </w:tc>
        <w:tc>
          <w:tcPr>
            <w:tcW w:type="dxa" w:w="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Schreibschritt</w:t>
            </w:r>
          </w:p>
        </w:tc>
        <w:tc>
          <w:tcPr>
            <w:tcW w:type="dxa" w:w="3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Writer Action</w:t>
            </w:r>
          </w:p>
        </w:tc>
        <w:tc>
          <w:tcPr>
            <w:tcW w:type="dxa" w:w="2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Nur Tabelle T2 und Abbildung F1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Manual Source Review Execution Pass abarbeiten und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Nur Tabelle T3 und Abbildung F2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Manual Source Review Execution Pass abarbeiten und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Nur Tabelle T4 und Abbildung F3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Manual Source Review Execution Pass abarbeiten und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Gating fuer den Dozenten</w:t>
            </w:r>
          </w:p>
          <w:p>
            <w:pPr>
              <w:spacing w:after="0"/>
            </w:pPr>
            <w:r>
              <w:t>Auch diese Sequenz ist kein finaler Zitations- oder Abgabeclaim: Page-/Section-Note, Claim-Support, Blocked-Wording und Citation-Use bleiben manuelle Gates; Agenten bleiben documentation-only Future Work.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43 Polymarket-Snapshots; latest Polymarket Yes 21.5%, latest poll Yes 45.0%, raw gap -23.5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357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128 Testdateien; 574 passed in 58.67s.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43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21.5%; latest poll Yes 45.0%; raw gap -23.5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