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uneo8qty58fb" w:id="0"/>
      <w:bookmarkEnd w:id="0"/>
      <w:r w:rsidDel="00000000" w:rsidR="00000000" w:rsidRPr="00000000">
        <w:rPr>
          <w:rtl w:val="0"/>
        </w:rPr>
        <w:t xml:space="preserve">Respuestas a Requerimientos Técnicos y de Gestión — Dictámenes N.º 07/2026 y 07-B/2026 </w:t>
        <w:br w:type="textWrapping"/>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¿Existe contacto formal con el Municipio de Bernardo de Irigoyen? Nombre y cargo del referente, fecha del contacto y qué se acordó. Si no existe, decilo con esas palabras.</w:t>
      </w:r>
      <w:r w:rsidDel="00000000" w:rsidR="00000000" w:rsidRPr="00000000">
        <w:rPr>
          <w:rtl w:val="0"/>
        </w:rPr>
        <w:t xml:space="preserve"> </w:t>
        <w:br w:type="textWrapping"/>
        <w:br w:type="textWrapping"/>
        <w:t xml:space="preserve">Aún no existe contacto formal; la nota formal dirigida al intendente Edgardo Nemesio Aquino solicitando entrevista, referente técnico, acceso a infraestructura y registros de siniestralidad se encuentra redactada y lista para su presentación el día de la fecha (adjunta como Anexo). </w:t>
      </w:r>
    </w:p>
    <w:p w:rsidR="00000000" w:rsidDel="00000000" w:rsidP="00000000" w:rsidRDefault="00000000" w:rsidRPr="00000000" w14:paraId="00000005">
      <w:pPr>
        <w:rPr/>
      </w:pPr>
      <w:r w:rsidDel="00000000" w:rsidR="00000000" w:rsidRPr="00000000">
        <w:rPr>
          <w:rtl w:val="0"/>
        </w:rPr>
        <w:br w:type="textWrapping"/>
      </w:r>
      <w:r w:rsidDel="00000000" w:rsidR="00000000" w:rsidRPr="00000000">
        <w:rPr>
          <w:b w:val="1"/>
          <w:bCs w:val="1"/>
          <w:rtl w:val="0"/>
        </w:rPr>
        <w:t xml:space="preserve">2. ¿Cuál es el plazo de conservación de las imágenes, quién lo fija y cuántos terabytes implica?</w:t>
        <w:br w:type="textWrapping"/>
        <w:br w:type="textWrapping"/>
      </w:r>
      <w:r w:rsidDel="00000000" w:rsidR="00000000" w:rsidRPr="00000000">
        <w:rPr>
          <w:rtl w:val="0"/>
        </w:rPr>
        <w:t xml:space="preserve">El plazo provisorio es de 30 días, fundamentado en el Principio de Calidad de los Datos (Art. 4, Ley 25.326) y lineamientos de la AAIP. Para 48 cámaras a 6 Mbps implica 93,3 TB útiles (117 TB brutos), volumen que se ajusta a aproximadamente 31 TB brutos al acotar la Etapa 1 a 16 puntos.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after="240" w:lineRule="auto"/>
        <w:rPr>
          <w:b w:val="1"/>
          <w:bCs w:val="1"/>
        </w:rPr>
      </w:pPr>
      <w:r w:rsidDel="00000000" w:rsidR="00000000" w:rsidRPr="00000000">
        <w:rPr>
          <w:b w:val="1"/>
          <w:bCs w:val="1"/>
          <w:rtl w:val="0"/>
        </w:rPr>
        <w:t xml:space="preserve">3. ¿De dónde salen los cinco rubros de beneficio social?</w:t>
      </w:r>
    </w:p>
    <w:p w:rsidR="00000000" w:rsidDel="00000000" w:rsidP="00000000" w:rsidRDefault="00000000" w:rsidRPr="00000000" w14:paraId="00000008">
      <w:pPr>
        <w:spacing w:after="240" w:lineRule="auto"/>
        <w:rPr/>
      </w:pPr>
      <w:r w:rsidDel="00000000" w:rsidR="00000000" w:rsidRPr="00000000">
        <w:rPr>
          <w:rtl w:val="0"/>
        </w:rPr>
        <w:t xml:space="preserve">Los montos originales (incluyendo los USD 46.240) fueron estimaciones teóricas sin línea de base local documentada. Serán recalculados íntegramente utilizando las tasas de incidencia y subregistro reales que arroje la encuesta poblacional contrastándolas con la los incidentes que llegan a la formalidad y se encuentran informados en el municipio (una denuncia oficial).</w:t>
      </w:r>
    </w:p>
    <w:p w:rsidR="00000000" w:rsidDel="00000000" w:rsidP="00000000" w:rsidRDefault="00000000" w:rsidRPr="00000000" w14:paraId="00000009">
      <w:pPr>
        <w:spacing w:after="240" w:lineRule="auto"/>
        <w:rPr/>
      </w:pPr>
      <w:r w:rsidDel="00000000" w:rsidR="00000000" w:rsidRPr="00000000">
        <w:rPr>
          <w:b w:val="1"/>
          <w:bCs w:val="1"/>
          <w:rtl w:val="0"/>
        </w:rPr>
        <w:t xml:space="preserve">4. ¿Qué es el cargo de USD 10.146,24 que separa el resultado neto del Año 1 de la suma de OPEX y reposición?</w:t>
      </w:r>
      <w:r w:rsidDel="00000000" w:rsidR="00000000" w:rsidRPr="00000000">
        <w:rPr>
          <w:rtl w:val="0"/>
        </w:rPr>
        <w:t xml:space="preserve"> Surge de la depreciación contable anual lineal de USD 12.560,85 calculada según la vida útil de los activos (5 años para equipamiento activo, 10 para ODN pasiva y 3 para software) neta de la reposición menor de USD 2.414,61. Este esquema de amortización, presente en la planilla fuente, se incorporará formalmente a la hoja de supuestos y al cuerpo del informe. </w:t>
      </w:r>
    </w:p>
    <w:p w:rsidR="00000000" w:rsidDel="00000000" w:rsidP="00000000" w:rsidRDefault="00000000" w:rsidRPr="00000000" w14:paraId="0000000A">
      <w:pPr>
        <w:spacing w:after="240" w:lineRule="auto"/>
        <w:rPr>
          <w:b w:val="1"/>
          <w:bCs w:val="1"/>
        </w:rPr>
      </w:pPr>
      <w:r w:rsidDel="00000000" w:rsidR="00000000" w:rsidRPr="00000000">
        <w:rPr>
          <w:b w:val="1"/>
          <w:bCs w:val="1"/>
          <w:rtl w:val="0"/>
        </w:rPr>
        <w:t xml:space="preserve">5. ¿Existe la encuesta poblacional que el análisis de la demanda declara?</w:t>
      </w:r>
    </w:p>
    <w:p w:rsidR="00000000" w:rsidDel="00000000" w:rsidP="00000000" w:rsidRDefault="00000000" w:rsidRPr="00000000" w14:paraId="0000000B">
      <w:pPr>
        <w:spacing w:after="240" w:lineRule="auto"/>
        <w:rPr/>
      </w:pPr>
      <w:r w:rsidDel="00000000" w:rsidR="00000000" w:rsidRPr="00000000">
        <w:rPr>
          <w:rtl w:val="0"/>
        </w:rPr>
        <w:t xml:space="preserve">La encuesta original fue distribuida de manera preliminar pero carecía de rigor metodológico y cláusulas de privacidad. Se implementará esta semana el instrumento reformulado (versión 2) para consolidar una muestra no probabilística por conveniencia válida. </w:t>
      </w:r>
    </w:p>
    <w:p w:rsidR="00000000" w:rsidDel="00000000" w:rsidP="00000000" w:rsidRDefault="00000000" w:rsidRPr="00000000" w14:paraId="0000000C">
      <w:pPr>
        <w:spacing w:after="240" w:lineRule="auto"/>
        <w:rPr/>
      </w:pPr>
      <w:r w:rsidDel="00000000" w:rsidR="00000000" w:rsidRPr="00000000">
        <w:rPr>
          <w:b w:val="1"/>
          <w:bCs w:val="1"/>
          <w:rtl w:val="0"/>
        </w:rPr>
        <w:t xml:space="preserve">6. ¿Por qué GPON y no Ethernet punto a punto sobre fibra, con 48 puntos y una ocupación del 3,86 % de la capacidad de subida de cada puerto?</w:t>
      </w:r>
      <w:r w:rsidDel="00000000" w:rsidR="00000000" w:rsidRPr="00000000">
        <w:rPr>
          <w:rtl w:val="0"/>
        </w:rPr>
        <w:t xml:space="preserve"> Se optó por GPON para centralizar los equipos activos en el NOC y eliminar switches y fuentes de alimentación intermedias en la vía pública. Esta decisión prioriza la resiliencia operativa frente al elevado riesgo de estrés climático (tormentas eléctricas y humedad) de la zona.</w:t>
      </w:r>
    </w:p>
    <w:p w:rsidR="00000000" w:rsidDel="00000000" w:rsidP="00000000" w:rsidRDefault="00000000" w:rsidRPr="00000000" w14:paraId="0000000D">
      <w:pPr>
        <w:spacing w:after="240" w:lineRule="auto"/>
        <w:rPr/>
      </w:pPr>
      <w:r w:rsidDel="00000000" w:rsidR="00000000" w:rsidRPr="00000000">
        <w:rPr>
          <w:b w:val="1"/>
          <w:bCs w:val="1"/>
          <w:rtl w:val="0"/>
        </w:rPr>
        <w:t xml:space="preserve">7. ¿Cuál es la distancia del enlace más desfavorable y cuánto margen queda en el presupuesto óptico con divisor 1:8?</w:t>
      </w:r>
      <w:r w:rsidDel="00000000" w:rsidR="00000000" w:rsidRPr="00000000">
        <w:rPr>
          <w:rtl w:val="0"/>
        </w:rPr>
        <w:t xml:space="preserve"> La distancia exacta y el margen del presupuesto óptico están supeditados a la planimetría final de la Etapa 1. Ambos valores se calcularán sobre la traza de los 12 a 16 puntos priorizados una vez obtenida la información de infraestructura municipal. </w:t>
        <w:br w:type="textWrapping"/>
        <w:br w:type="textWrapping"/>
      </w:r>
      <w:r w:rsidDel="00000000" w:rsidR="00000000" w:rsidRPr="00000000">
        <w:rPr>
          <w:b w:val="1"/>
          <w:bCs w:val="1"/>
          <w:rtl w:val="0"/>
        </w:rPr>
        <w:t xml:space="preserve">8. ¿Dónde están las dos planillas que el informe cita como fuente de todos sus valores?</w:t>
      </w:r>
      <w:r w:rsidDel="00000000" w:rsidR="00000000" w:rsidRPr="00000000">
        <w:rPr>
          <w:rtl w:val="0"/>
        </w:rPr>
        <w:br w:type="textWrapping"/>
        <w:t xml:space="preserve">Las planillas fuente (TESIS_GPON Estatal.xlsx y TESIS_GPON_Estimación Social.xlsx) se adjuntan al presente correo y quedarán alojadas en la carpeta /01-relevamiento del repositorio. </w:t>
        <w:br w:type="textWrapping"/>
      </w:r>
    </w:p>
    <w:p w:rsidR="00000000" w:rsidDel="00000000" w:rsidP="00000000" w:rsidRDefault="00000000" w:rsidRPr="00000000" w14:paraId="0000000E">
      <w:pPr>
        <w:spacing w:after="240" w:lineRule="auto"/>
        <w:rPr>
          <w:b w:val="1"/>
          <w:bCs w:val="1"/>
        </w:rPr>
      </w:pPr>
      <w:r w:rsidDel="00000000" w:rsidR="00000000" w:rsidRPr="00000000">
        <w:rPr>
          <w:b w:val="1"/>
          <w:bCs w:val="1"/>
          <w:rtl w:val="0"/>
        </w:rPr>
        <w:t xml:space="preserve">9 ¿Dónde está la planilla del modelo financiero? La que contiene el flujo de fondos, la tasa de descuento y el cálculo del valor actual neto. No es ninguna de las dos que mandaste. Si no existe como archivo, decí con qué herramienta se produjeron los nueve indicadores.</w:t>
      </w:r>
      <w:r w:rsidDel="00000000" w:rsidR="00000000" w:rsidRPr="00000000">
        <w:rPr>
          <w:rtl w:val="0"/>
        </w:rPr>
        <w:t xml:space="preserve"> </w:t>
        <w:br w:type="textWrapping"/>
        <w:t xml:space="preserve">El modelo financiero completo con su estructura de flujos año a año, tasas de descuento y fórmulas dinámicas de VAN/TIR se encuentra formalmente integrado en los archivos adjuntos (TESIS_GPON_Estatal.xlsx y TESIS_GPON_Estimación Social.xlsx)  </w:t>
        <w:br w:type="textWrapping"/>
        <w:br w:type="textWrapping"/>
      </w:r>
      <w:r w:rsidDel="00000000" w:rsidR="00000000" w:rsidRPr="00000000">
        <w:rPr>
          <w:b w:val="1"/>
          <w:bCs w:val="1"/>
          <w:rtl w:val="0"/>
        </w:rPr>
        <w:t xml:space="preserve">10 ¿A qué fecha corresponde la columna de progreso del Gantt? Y con esa fecha en la mano: ¿cuál es el avance real hoy, medido con un solo criterio y expresado con un solo número?</w:t>
      </w:r>
    </w:p>
    <w:p w:rsidR="00000000" w:rsidDel="00000000" w:rsidP="00000000" w:rsidRDefault="00000000" w:rsidRPr="00000000" w14:paraId="0000000F">
      <w:pPr>
        <w:spacing w:after="240" w:lineRule="auto"/>
        <w:rPr/>
      </w:pPr>
      <w:r w:rsidDel="00000000" w:rsidR="00000000" w:rsidRPr="00000000">
        <w:rPr>
          <w:rtl w:val="0"/>
        </w:rPr>
        <w:t xml:space="preserve">La columna corresponde al 19 de junio de 2026, fecha de las últimas tareas con avance asentado (1.4 al 70% y 2.1 al 50%). Sobre esa base, el avance real consolidado es del </w:t>
      </w:r>
      <w:r w:rsidDel="00000000" w:rsidR="00000000" w:rsidRPr="00000000">
        <w:rPr>
          <w:b w:val="1"/>
          <w:bCs w:val="1"/>
          <w:rtl w:val="0"/>
        </w:rPr>
        <w:t xml:space="preserve">33,1%</w:t>
      </w:r>
      <w:r w:rsidDel="00000000" w:rsidR="00000000" w:rsidRPr="00000000">
        <w:rPr>
          <w:rtl w:val="0"/>
        </w:rPr>
        <w:t xml:space="preserve">, medido bajo el criterio único de semanas-tarea del Gantt ponderadas por duración (20,9 de 63,2 semanas-tarea).</w:t>
      </w:r>
    </w:p>
    <w:p w:rsidR="00000000" w:rsidDel="00000000" w:rsidP="00000000" w:rsidRDefault="00000000" w:rsidRPr="00000000" w14:paraId="00000010">
      <w:pPr>
        <w:spacing w:after="240" w:lineRule="auto"/>
        <w:rPr>
          <w:b w:val="1"/>
          <w:bCs w:val="1"/>
        </w:rPr>
      </w:pPr>
      <w:r w:rsidDel="00000000" w:rsidR="00000000" w:rsidRPr="00000000">
        <w:rPr>
          <w:rtl w:val="0"/>
        </w:rPr>
        <w:br w:type="textWrapping"/>
      </w:r>
      <w:r w:rsidDel="00000000" w:rsidR="00000000" w:rsidRPr="00000000">
        <w:rPr>
          <w:b w:val="1"/>
          <w:bCs w:val="1"/>
          <w:rtl w:val="0"/>
        </w:rPr>
        <w:t xml:space="preserve"> 11 ¿Con qué criterio se fijaron los valores optimista y pesimista de cada tarea? Si el criterio fue un multiplicador, decilo con esas palabras: es una respuesta perfectamente aceptable y la conversación sigue por otro lado.</w:t>
      </w:r>
    </w:p>
    <w:p w:rsidR="00000000" w:rsidDel="00000000" w:rsidP="00000000" w:rsidRDefault="00000000" w:rsidRPr="00000000" w14:paraId="00000011">
      <w:pPr>
        <w:spacing w:after="240" w:lineRule="auto"/>
        <w:rPr/>
      </w:pPr>
      <w:r w:rsidDel="00000000" w:rsidR="00000000" w:rsidRPr="00000000">
        <w:rPr>
          <w:rtl w:val="0"/>
        </w:rPr>
        <w:t xml:space="preserve">Se fijaron aplicando dos multiplicadores constantes sobre la duración más probable (0,70 / 1,45 para doce tareas y 0,75 / 1,373 para las restantes). Para la versión definitiva del cronograma, voy a recalibrar las estimaciones considerando la incertidumbre real y las dependencias de terceros de cada actividad. </w:t>
        <w:br w:type="textWrapping"/>
        <w:br w:type="textWrapping"/>
      </w:r>
      <w:r w:rsidDel="00000000" w:rsidR="00000000" w:rsidRPr="00000000">
        <w:rPr>
          <w:b w:val="1"/>
          <w:bCs w:val="1"/>
          <w:rtl w:val="0"/>
        </w:rPr>
        <w:t xml:space="preserve">12 ¿Cuántas respuestas tiene hoy el formulario, por qué canal se distribuyó y a qué universo?</w:t>
      </w:r>
      <w:r w:rsidDel="00000000" w:rsidR="00000000" w:rsidRPr="00000000">
        <w:rPr>
          <w:rtl w:val="0"/>
        </w:rPr>
        <w:t xml:space="preserve"> </w:t>
      </w:r>
    </w:p>
    <w:p w:rsidR="00000000" w:rsidDel="00000000" w:rsidP="00000000" w:rsidRDefault="00000000" w:rsidRPr="00000000" w14:paraId="00000012">
      <w:pPr>
        <w:spacing w:after="240" w:lineRule="auto"/>
        <w:rPr/>
      </w:pPr>
      <w:r w:rsidDel="00000000" w:rsidR="00000000" w:rsidRPr="00000000">
        <w:rPr>
          <w:rtl w:val="0"/>
        </w:rPr>
        <w:t xml:space="preserve">El formulario preliminar (versión 1) recolectó 283 respuestas mediante enlace distribuido a vecinos concurrentes a dependencias municipales durante los últimos dos meses. Dichos datos se archivan como antecedente y no se extrapolan como demanda representativa. </w:t>
        <w:br w:type="textWrapping"/>
        <w:br w:type="textWrapping"/>
      </w:r>
      <w:r w:rsidDel="00000000" w:rsidR="00000000" w:rsidRPr="00000000">
        <w:rPr>
          <w:b w:val="1"/>
          <w:bCs w:val="1"/>
          <w:rtl w:val="0"/>
        </w:rPr>
        <w:t xml:space="preserve">13 ¿El formulario registra la dirección de correo del respondente? Adjuntá una captura de la configuración. De esa respuesta depende si la afirmación «completamente anónimas» se sostiene tal como está.</w:t>
      </w:r>
      <w:r w:rsidDel="00000000" w:rsidR="00000000" w:rsidRPr="00000000">
        <w:rPr>
          <w:rtl w:val="0"/>
        </w:rPr>
        <w:t xml:space="preserve"> </w:t>
        <w:br w:type="textWrapping"/>
        <w:t xml:space="preserve">El formulario no recopila ni almacena direcciones de correo electrónico, asegurando el anonimato técnico (se adjunta captura de pantalla de la configuración de Google Forms). Esta configuración se mantiene idéntica para la versión 2. </w:t>
        <w:br w:type="textWrapping"/>
        <w:br w:type="textWrapping"/>
      </w:r>
      <w:r w:rsidDel="00000000" w:rsidR="00000000" w:rsidRPr="00000000">
        <w:rPr>
          <w:b w:val="1"/>
          <w:bCs w:val="1"/>
          <w:rtl w:val="0"/>
        </w:rPr>
        <w:t xml:space="preserve">14 Con los datos que ya tenés, ¿cuál es tu estimación de la duración remanente hasta el congelamiento del informe, y qué alcance entra en ese plazo? Esta es la pregunta del apartado 8 del dictamen anterior, hecha de nuevo porque ahora tenés el instrumento para contestarla.</w:t>
      </w:r>
      <w:r w:rsidDel="00000000" w:rsidR="00000000" w:rsidRPr="00000000">
        <w:rPr>
          <w:rtl w:val="0"/>
        </w:rPr>
        <w:t xml:space="preserve"> </w:t>
      </w:r>
    </w:p>
    <w:p w:rsidR="00000000" w:rsidDel="00000000" w:rsidP="00000000" w:rsidRDefault="00000000" w:rsidRPr="00000000" w14:paraId="00000013">
      <w:pPr>
        <w:rPr/>
      </w:pPr>
      <w:r w:rsidDel="00000000" w:rsidR="00000000" w:rsidRPr="00000000">
        <w:rPr>
          <w:rtl w:val="0"/>
        </w:rPr>
        <w:t xml:space="preserve">Me quedan solamente 12 semanas hasta la fecha límite de congelamiento del informe (19 de noviembre de 2026), lo que me lleva a ejecutar el recorte de alcance hacia la Etapa 1 acotada a 12-16 puntos en accesos y zona céntrica. En este plazo voy a desarrollar la planimetría y presupuesto óptico del tramo, el recálculo financiero (CAPEX/OPEX) con almacenamiento a 30 días, el prototipo ejecutable de gestión de evidencia (retención, auditoría y exportación) y la redacción de los 13 capítulos del informe, postergando la extensión a 48 puntos al Capítulo XI. </w:t>
      </w:r>
    </w:p>
    <w:p w:rsidR="00000000" w:rsidDel="00000000" w:rsidP="00000000" w:rsidRDefault="00000000" w:rsidRPr="00000000" w14:paraId="0000001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240" w:before="240" w:line="240" w:lineRule="auto"/>
    </w:pPr>
    <w:rPr>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spacing w:after="240" w:before="240" w:line="240" w:lineRule="auto"/>
      <w:ind w:left="720" w:hanging="360"/>
    </w:pPr>
    <w:rPr>
      <w:rFonts w:ascii="Roboto Mono" w:cs="Roboto Mono" w:eastAsia="Roboto Mono" w:hAnsi="Roboto Mono"/>
      <w:color w:val="188038"/>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