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sz w:val="22"/>
          <w:szCs w:val="22"/>
        </w:rPr>
        <w:t xml:space="preserve"/>
      </w:r>
    </w:p>
    <w:p>
      <w:pPr>
        <w:spacing w:after="200" w:before="0"/>
        <w:jc w:val="center"/>
      </w:pPr>
      <w:r>
        <w:rPr>
          <w:rFonts w:ascii="Arial" w:cs="Arial" w:eastAsia="Arial" w:hAnsi="Arial"/>
          <w:b/>
          <w:bCs/>
          <w:color w:val="1F4E79"/>
          <w:sz w:val="52"/>
          <w:szCs w:val="52"/>
        </w:rPr>
        <w:t xml:space="preserve">VMA INDUSTRIAL</w:t>
      </w:r>
    </w:p>
    <w:p>
      <w:pPr>
        <w:spacing w:after="600" w:before="0"/>
        <w:jc w:val="center"/>
      </w:pPr>
      <w:r>
        <w:rPr>
          <w:rFonts w:ascii="Arial" w:cs="Arial" w:eastAsia="Arial" w:hAnsi="Arial"/>
          <w:color w:val="555555"/>
          <w:sz w:val="26"/>
          <w:szCs w:val="26"/>
        </w:rPr>
        <w:t xml:space="preserve">Agente Autorizado Indura</w:t>
      </w:r>
    </w:p>
    <w:p>
      <w:pPr>
        <w:shd w:fill="2E75B6" w:val="clear"/>
        <w:spacing w:after="0" w:before="0"/>
        <w:jc w:val="center"/>
      </w:pPr>
      <w:r>
        <w:rPr>
          <w:rFonts w:ascii="Arial" w:cs="Arial" w:eastAsia="Arial" w:hAnsi="Arial"/>
          <w:b/>
          <w:bCs/>
          <w:color w:val="FFFFFF"/>
          <w:sz w:val="32"/>
          <w:szCs w:val="32"/>
        </w:rPr>
        <w:t xml:space="preserve">OPCIÓN A</w:t>
      </w:r>
    </w:p>
    <w:p>
      <w:pPr>
        <w:spacing w:after="160" w:before="200"/>
        <w:jc w:val="center"/>
      </w:pPr>
      <w:r>
        <w:rPr>
          <w:rFonts w:ascii="Arial" w:cs="Arial" w:eastAsia="Arial" w:hAnsi="Arial"/>
          <w:b/>
          <w:bCs/>
          <w:color w:val="1F4E79"/>
          <w:sz w:val="44"/>
          <w:szCs w:val="44"/>
        </w:rPr>
        <w:t xml:space="preserve">Proyecto a Precio Fijo</w:t>
      </w:r>
    </w:p>
    <w:p>
      <w:pPr>
        <w:spacing w:after="800" w:before="0"/>
        <w:jc w:val="center"/>
      </w:pPr>
      <w:r>
        <w:rPr>
          <w:rFonts w:ascii="Arial" w:cs="Arial" w:eastAsia="Arial" w:hAnsi="Arial"/>
          <w:i/>
          <w:iCs/>
          <w:color w:val="444444"/>
          <w:sz w:val="26"/>
          <w:szCs w:val="26"/>
        </w:rPr>
        <w:t xml:space="preserve">Propuesta de cobro por entrega total del sistema</w:t>
      </w:r>
    </w:p>
    <w:p>
      <w:pPr>
        <w:spacing w:after="0" w:before="0"/>
        <w:jc w:val="center"/>
      </w:pPr>
      <w:r>
        <w:rPr>
          <w:rFonts w:ascii="Arial" w:cs="Arial" w:eastAsia="Arial" w:hAnsi="Arial"/>
          <w:color w:val="777777"/>
          <w:sz w:val="22"/>
          <w:szCs w:val="22"/>
        </w:rPr>
        <w:t xml:space="preserve">Junio 2026</w:t>
      </w:r>
    </w:p>
    <w:p>
      <w:r>
        <w:br w:type="page"/>
      </w:r>
    </w:p>
    <w:p>
      <w:pPr>
        <w:pBdr>
          <w:bottom w:val="single" w:color="2E75B6" w:sz="6" w:space="4"/>
        </w:pBdr>
        <w:spacing w:after="160" w:before="400"/>
      </w:pPr>
      <w:r>
        <w:rPr>
          <w:rFonts w:ascii="Arial" w:cs="Arial" w:eastAsia="Arial" w:hAnsi="Arial"/>
          <w:b/>
          <w:bCs/>
          <w:color w:val="1F4E79"/>
          <w:sz w:val="36"/>
          <w:szCs w:val="36"/>
        </w:rPr>
        <w:t xml:space="preserve">1. Descripción del Modelo</w:t>
      </w:r>
    </w:p>
    <w:p>
      <w:pPr>
        <w:spacing w:after="80" w:before="80"/>
      </w:pPr>
      <w:r>
        <w:rPr>
          <w:rFonts w:ascii="Arial" w:cs="Arial" w:eastAsia="Arial" w:hAnsi="Arial"/>
          <w:sz w:val="22"/>
          <w:szCs w:val="22"/>
        </w:rPr>
        <w:t xml:space="preserve">La modalidad de precio fijo consiste en acordar un monto total por la entrega completa del sistema, definido antes de iniciar el trabajo. El cliente paga por el resultado final —el software funcionando— sin importar cuántas horas se invirtieron.</w:t>
      </w:r>
    </w:p>
    <w:p>
      <w:pPr>
        <w:spacing w:after="80" w:before="80"/>
      </w:pPr>
      <w:r>
        <w:rPr>
          <w:rFonts w:ascii="Arial" w:cs="Arial" w:eastAsia="Arial" w:hAnsi="Arial"/>
          <w:sz w:val="22"/>
          <w:szCs w:val="22"/>
        </w:rPr>
        <w:t xml:space="preserve">Este modelo es el más común en proyectos B2B con alcance bien definido y es el que mejor se adapta al caso de VMA Industrial, dado que la plataforma ya cuenta con módulos claramente delimitados.</w:t>
      </w:r>
    </w:p>
    <w:p>
      <w:pPr>
        <w:pBdr>
          <w:bottom w:val="single" w:color="2E75B6" w:sz="6" w:space="4"/>
        </w:pBdr>
        <w:spacing w:after="160" w:before="400"/>
      </w:pPr>
      <w:r>
        <w:rPr>
          <w:rFonts w:ascii="Arial" w:cs="Arial" w:eastAsia="Arial" w:hAnsi="Arial"/>
          <w:b/>
          <w:bCs/>
          <w:color w:val="1F4E79"/>
          <w:sz w:val="36"/>
          <w:szCs w:val="36"/>
        </w:rPr>
        <w:t xml:space="preserve">2. Ventajas y Desventajas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VENTAJAS</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DESVENTAJAS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El cliente conoce el costo total desde el inicio</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 el alcance crece, puede haber conflictos sin contrato claro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Elimina discusiones por horas trabajadas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Requiere especificación detallada antes de iniciar</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Incentiva la eficiencia del desarrollador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Riesgo de subestimación si no se documentan bien los módulos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Ideal para clientes sin experiencia técnica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Cambios de último minuto pueden generar cobros adicionales</w:t>
            </w:r>
          </w:p>
        </w:tc>
      </w:tr>
    </w:tbl>
    <w:p>
      <w:pPr>
        <w:pBdr>
          <w:bottom w:val="single" w:color="2E75B6" w:sz="6" w:space="4"/>
        </w:pBdr>
        <w:spacing w:after="160" w:before="400"/>
      </w:pPr>
      <w:r>
        <w:rPr>
          <w:rFonts w:ascii="Arial" w:cs="Arial" w:eastAsia="Arial" w:hAnsi="Arial"/>
          <w:b/>
          <w:bCs/>
          <w:color w:val="1F4E79"/>
          <w:sz w:val="36"/>
          <w:szCs w:val="36"/>
        </w:rPr>
        <w:t xml:space="preserve">3. Estimación de Módulos y Horas</w:t>
      </w:r>
    </w:p>
    <w:p>
      <w:pPr>
        <w:spacing w:after="80" w:before="80"/>
      </w:pPr>
      <w:r>
        <w:rPr>
          <w:rFonts w:ascii="Arial" w:cs="Arial" w:eastAsia="Arial" w:hAnsi="Arial"/>
          <w:sz w:val="22"/>
          <w:szCs w:val="22"/>
        </w:rPr>
        <w:t xml:space="preserve">La siguiente tabla desglosa el sistema en módulos funcionales con su estimación de horas reales invertidas: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1680"/>
        <w:gridCol w:w="168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HORAS MIN</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HORAS MÁX</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PRECIO REF.</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Autenticación, roles y perfiles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$600.000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Catálogo de productos + imágenes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$450.000</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Carrito + sistema de cotizaciones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$600.000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Panel administrador (CRUD + reportes)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$875.000</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Panel trabajador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$350.000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Integración Transbank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$500.000</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 SEO, configuración Vercel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$250.000</w:t>
            </w:r>
          </w:p>
        </w:tc>
      </w:tr>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125</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190</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$3.625.000</w:t>
            </w:r>
          </w:p>
        </w:tc>
      </w:tr>
    </w:tbl>
    <w:p>
      <w:pPr>
        <w:pBdr>
          <w:bottom w:val="single" w:color="2E75B6" w:sz="6" w:space="4"/>
        </w:pBdr>
        <w:spacing w:after="160" w:before="400"/>
      </w:pPr>
      <w:r>
        <w:rPr>
          <w:rFonts w:ascii="Arial" w:cs="Arial" w:eastAsia="Arial" w:hAnsi="Arial"/>
          <w:b/>
          <w:bCs/>
          <w:color w:val="1F4E79"/>
          <w:sz w:val="36"/>
          <w:szCs w:val="36"/>
        </w:rPr>
        <w:t xml:space="preserve">4. Precio Final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RANGO</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MONTO</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Precio mínimo (solo desarrollo)</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$ 3.000.000 CLP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Precio estándar (desarrollo + deploy + docs)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$ 3.600.000 CLP</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Precio premium (+ garantía 3 meses)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$ 4.200.000 CLP</w:t>
            </w:r>
          </w:p>
        </w:tc>
      </w:tr>
    </w:tbl>
    <w:p>
      <w:pPr>
        <w:pBdr>
          <w:bottom w:val="single" w:color="2E75B6" w:sz="6" w:space="4"/>
        </w:pBdr>
        <w:spacing w:after="160" w:before="400"/>
      </w:pPr>
      <w:r>
        <w:rPr>
          <w:rFonts w:ascii="Arial" w:cs="Arial" w:eastAsia="Arial" w:hAnsi="Arial"/>
          <w:b/>
          <w:bCs/>
          <w:color w:val="1F4E79"/>
          <w:sz w:val="36"/>
          <w:szCs w:val="36"/>
        </w:rPr>
        <w:t xml:space="preserve">5. Forma de Pago Sugerida</w:t>
      </w:r>
    </w:p>
    <w:p>
      <w:pPr>
        <w:pStyle w:val="ListParagraph"/>
        <w:numPr>
          <w:ilvl w:val="0"/>
          <w:numId w:val="2"/>
        </w:numPr>
        <w:spacing w:after="60" w:before="60"/>
      </w:pPr>
      <w:r>
        <w:rPr>
          <w:rFonts w:ascii="Arial" w:cs="Arial" w:eastAsia="Arial" w:hAnsi="Arial"/>
          <w:sz w:val="22"/>
          <w:szCs w:val="22"/>
        </w:rPr>
        <w:t xml:space="preserve">40% al inicio del proyecto (anticipo)</w:t>
      </w:r>
    </w:p>
    <w:p>
      <w:pPr>
        <w:pStyle w:val="ListParagraph"/>
        <w:numPr>
          <w:ilvl w:val="0"/>
          <w:numId w:val="2"/>
        </w:numPr>
        <w:spacing w:after="60" w:before="60"/>
      </w:pPr>
      <w:r>
        <w:rPr>
          <w:rFonts w:ascii="Arial" w:cs="Arial" w:eastAsia="Arial" w:hAnsi="Arial"/>
          <w:sz w:val="22"/>
          <w:szCs w:val="22"/>
        </w:rPr>
        <w:t xml:space="preserve">30% al entregar los módulos principales (catálogo + admin)</w:t>
      </w:r>
    </w:p>
    <w:p>
      <w:pPr>
        <w:pStyle w:val="ListParagraph"/>
        <w:numPr>
          <w:ilvl w:val="0"/>
          <w:numId w:val="2"/>
        </w:numPr>
        <w:spacing w:after="60" w:before="60"/>
      </w:pPr>
      <w:r>
        <w:rPr>
          <w:rFonts w:ascii="Arial" w:cs="Arial" w:eastAsia="Arial" w:hAnsi="Arial"/>
          <w:sz w:val="22"/>
          <w:szCs w:val="22"/>
        </w:rPr>
        <w:t xml:space="preserve">30% al entregar el sistema completo y en producción</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Esta estructura de pago protege al desarrollador de impagos y al cliente de entregas incompletas.</w:t>
      </w:r>
    </w:p>
    <w:p>
      <w:pPr>
        <w:pBdr>
          <w:bottom w:val="single" w:color="2E75B6" w:sz="6" w:space="4"/>
        </w:pBdr>
        <w:spacing w:after="160" w:before="400"/>
      </w:pPr>
      <w:r>
        <w:rPr>
          <w:rFonts w:ascii="Arial" w:cs="Arial" w:eastAsia="Arial" w:hAnsi="Arial"/>
          <w:b/>
          <w:bCs/>
          <w:color w:val="1F4E79"/>
          <w:sz w:val="36"/>
          <w:szCs w:val="36"/>
        </w:rPr>
        <w:t xml:space="preserve">6. Respaldo Legal y Documental</w:t>
      </w:r>
    </w:p>
    <w:p>
      <w:pPr>
        <w:pStyle w:val="ListParagraph"/>
        <w:numPr>
          <w:ilvl w:val="0"/>
          <w:numId w:val="2"/>
        </w:numPr>
        <w:spacing w:after="60" w:before="60"/>
      </w:pPr>
      <w:r>
        <w:rPr>
          <w:rFonts w:ascii="Arial" w:cs="Arial" w:eastAsia="Arial" w:hAnsi="Arial"/>
          <w:sz w:val="22"/>
          <w:szCs w:val="22"/>
        </w:rPr>
        <w:t xml:space="preserve">Propuesta comercial firmada con desglose de módulos</w:t>
      </w:r>
    </w:p>
    <w:p>
      <w:pPr>
        <w:pStyle w:val="ListParagraph"/>
        <w:numPr>
          <w:ilvl w:val="0"/>
          <w:numId w:val="2"/>
        </w:numPr>
        <w:spacing w:after="60" w:before="60"/>
      </w:pPr>
      <w:r>
        <w:rPr>
          <w:rFonts w:ascii="Arial" w:cs="Arial" w:eastAsia="Arial" w:hAnsi="Arial"/>
          <w:sz w:val="22"/>
          <w:szCs w:val="22"/>
        </w:rPr>
        <w:t xml:space="preserve">Contrato de prestación de servicios (define entregables, plazos y propiedad intelectual)</w:t>
      </w:r>
    </w:p>
    <w:p>
      <w:pPr>
        <w:pStyle w:val="ListParagraph"/>
        <w:numPr>
          <w:ilvl w:val="0"/>
          <w:numId w:val="2"/>
        </w:numPr>
        <w:spacing w:after="60" w:before="60"/>
      </w:pPr>
      <w:r>
        <w:rPr>
          <w:rFonts w:ascii="Arial" w:cs="Arial" w:eastAsia="Arial" w:hAnsi="Arial"/>
          <w:sz w:val="22"/>
          <w:szCs w:val="22"/>
        </w:rPr>
        <w:t xml:space="preserve">Boleta de honorarios electrónica por cada tramo (SII)</w:t>
      </w:r>
    </w:p>
    <w:p>
      <w:pPr>
        <w:pStyle w:val="ListParagraph"/>
        <w:numPr>
          <w:ilvl w:val="0"/>
          <w:numId w:val="2"/>
        </w:numPr>
        <w:spacing w:after="60" w:before="60"/>
      </w:pPr>
      <w:r>
        <w:rPr>
          <w:rFonts w:ascii="Arial" w:cs="Arial" w:eastAsia="Arial" w:hAnsi="Arial"/>
          <w:sz w:val="22"/>
          <w:szCs w:val="22"/>
        </w:rPr>
        <w:t xml:space="preserve">Acta de recepción conforme firmada por el cliente al finalizar</w:t>
      </w:r>
    </w:p>
    <w:p>
      <w:pPr>
        <w:pBdr>
          <w:bottom w:val="single" w:color="2E75B6" w:sz="6" w:space="4"/>
        </w:pBdr>
        <w:spacing w:after="160" w:before="400"/>
      </w:pPr>
      <w:r>
        <w:rPr>
          <w:rFonts w:ascii="Arial" w:cs="Arial" w:eastAsia="Arial" w:hAnsi="Arial"/>
          <w:b/>
          <w:bCs/>
          <w:color w:val="1F4E79"/>
          <w:sz w:val="36"/>
          <w:szCs w:val="36"/>
        </w:rPr>
        <w:t xml:space="preserve">7. Fuentes de Referencia para el Precio</w:t>
      </w:r>
    </w:p>
    <w:p>
      <w:pPr>
        <w:pStyle w:val="ListParagraph"/>
        <w:numPr>
          <w:ilvl w:val="0"/>
          <w:numId w:val="2"/>
        </w:numPr>
        <w:spacing w:after="60" w:before="60"/>
      </w:pPr>
      <w:r>
        <w:rPr>
          <w:rFonts w:ascii="Arial" w:cs="Arial" w:eastAsia="Arial" w:hAnsi="Arial"/>
          <w:sz w:val="22"/>
          <w:szCs w:val="22"/>
        </w:rPr>
        <w:t xml:space="preserve">GetOnBoard Salary Report Chile 2024-2025: desarrollador Full Stack semi-senior: $1.200.000 – $2.000.000/mes</w:t>
      </w:r>
    </w:p>
    <w:p>
      <w:pPr>
        <w:pStyle w:val="ListParagraph"/>
        <w:numPr>
          <w:ilvl w:val="0"/>
          <w:numId w:val="2"/>
        </w:numPr>
        <w:spacing w:after="60" w:before="60"/>
      </w:pPr>
      <w:r>
        <w:rPr>
          <w:rFonts w:ascii="Arial" w:cs="Arial" w:eastAsia="Arial" w:hAnsi="Arial"/>
          <w:sz w:val="22"/>
          <w:szCs w:val="22"/>
        </w:rPr>
        <w:t xml:space="preserve">Portal del Servicio Civil: honorarios TI sector público: $25.000 – $45.000/hora</w:t>
      </w:r>
    </w:p>
    <w:p>
      <w:pPr>
        <w:pStyle w:val="ListParagraph"/>
        <w:numPr>
          <w:ilvl w:val="0"/>
          <w:numId w:val="2"/>
        </w:numPr>
        <w:spacing w:after="60" w:before="60"/>
      </w:pPr>
      <w:r>
        <w:rPr>
          <w:rFonts w:ascii="Arial" w:cs="Arial" w:eastAsia="Arial" w:hAnsi="Arial"/>
          <w:sz w:val="22"/>
          <w:szCs w:val="22"/>
        </w:rPr>
        <w:t xml:space="preserve">CORFO Ecosistema Tech Chile: precio promedio proyecto web B2B: $2.500.000 – $6.000.000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jc w:val="center"/>
    </w:pPr>
    <w:r>
      <w:rPr>
        <w:rFonts w:ascii="Arial" w:cs="Arial" w:eastAsia="Arial" w:hAnsi="Arial"/>
        <w:color w:val="777777"/>
        <w:sz w:val="18"/>
        <w:szCs w:val="18"/>
      </w:rPr>
      <w:t xml:space="preserve">Página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de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2"/>
      </w:pBdr>
      <w:tabs>
        <w:tab w:val="right" w:pos="9360"/>
      </w:tabs>
    </w:pPr>
    <w:r>
      <w:rPr>
        <w:rFonts w:ascii="Arial" w:cs="Arial" w:eastAsia="Arial" w:hAnsi="Arial"/>
        <w:color w:val="777777"/>
        <w:sz w:val="18"/>
        <w:szCs w:val="18"/>
      </w:rPr>
      <w:t xml:space="preserve">VMA Industrial — Propuesta Comercial</w:t>
    </w:r>
    <w:r>
      <w:rPr>
        <w:sz w:val="18"/>
        <w:szCs w:val="18"/>
      </w:rPr>
      <w:t xml:space="preserve">	</w:t>
    </w:r>
    <w:r>
      <w:rPr>
        <w:rFonts w:ascii="Arial" w:cs="Arial" w:eastAsia="Arial" w:hAnsi="Arial"/>
        <w:color w:val="777777"/>
        <w:sz w:val="18"/>
        <w:szCs w:val="18"/>
      </w:rPr>
      <w:t xml:space="preserve">Junio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2026-06-21T01:47:39.768Z</dcterms:created>
  <dcterms:modified xsi:type="dcterms:W3CDTF">2026-06-21T01:47:39.770Z</dcterms:modified>
</cp:coreProperties>
</file>

<file path=docProps/custom.xml><?xml version="1.0" encoding="utf-8"?>
<Properties xmlns="http://schemas.openxmlformats.org/officeDocument/2006/custom-properties" xmlns:vt="http://schemas.openxmlformats.org/officeDocument/2006/docPropsVTypes"/>
</file>