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1E2761"/>
          <w:sz w:val="48"/>
          <w:szCs w:val="48"/>
        </w:rPr>
        <w:t xml:space="preserve">BMAD-METHOD À L'ÉPREUVE D'UN CAS RÉEL</w:t>
      </w:r>
    </w:p>
    <w:p>
      <w:pPr>
        <w:spacing w:after="1200" w:before="300"/>
        <w:jc w:val="center"/>
      </w:pPr>
      <w:r>
        <w:rPr>
          <w:color w:val="44546A"/>
          <w:sz w:val="28"/>
          <w:szCs w:val="28"/>
        </w:rPr>
        <w:t xml:space="preserve">Retour d'expérience et recommandations — étude de cas PACAL</w:t>
      </w:r>
    </w:p>
    <w:p>
      <w:pPr>
        <w:pBdr>
          <w:top w:val="single" w:color="CCCCCC" w:sz="6" w:space="12"/>
        </w:pBdr>
        <w:spacing w:before="1600"/>
        <w:jc w:val="center"/>
      </w:pPr>
    </w:p>
    <w:p>
      <w:pPr>
        <w:spacing w:before="300"/>
        <w:jc w:val="center"/>
      </w:pPr>
      <w:r>
        <w:rPr>
          <w:color w:val="44546A"/>
          <w:sz w:val="22"/>
          <w:szCs w:val="22"/>
        </w:rPr>
        <w:t xml:space="preserve">18–19 juin 2026</w:t>
      </w:r>
    </w:p>
    <w:p>
      <w:pPr>
        <w:spacing w:before="100"/>
        <w:jc w:val="center"/>
      </w:pPr>
      <w:r>
        <w:rPr>
          <w:color w:val="44546A"/>
          <w:sz w:val="22"/>
          <w:szCs w:val="22"/>
        </w:rPr>
        <w:t xml:space="preserve">Préparé par l'utilisateur, avec Claude (Anthropic)</w:t>
      </w:r>
    </w:p>
    <w:p>
      <w:pPr>
        <w:sectPr>
          <w:pgSz w:w="12240" w:h="15840" w:orient="portrait"/>
          <w:pgMar w:top="1440" w:right="1440" w:bottom="1440" w:left="1440" w:header="708" w:footer="708" w:gutter="0"/>
          <w:pgNumType/>
          <w:docGrid w:linePitch="360"/>
        </w:sectPr>
      </w:pPr>
    </w:p>
    <w:p>
      <w:pPr>
        <w:pStyle w:val="Heading1"/>
      </w:pPr>
      <w:r>
        <w:t xml:space="preserve">Table des matières</w:t>
      </w:r>
    </w:p>
    <w:sdt>
      <w:sdtPr>
        <w:alias w:val="Table des matières"/>
      </w:sdtPr>
      <w:sdtContent>
        <w:p>
          <w:r>
            <w:fldChar w:fldCharType="begin" w:dirty="true"/>
            <w:instrText xml:space="preserve">TOC \h \o "1-2"</w:instrText>
            <w:fldChar w:fldCharType="separate"/>
          </w:r>
        </w:p>
        <w:p>
          <w:r>
            <w:fldChar w:fldCharType="end"/>
          </w:r>
        </w:p>
      </w:sdtContent>
    </w:sdt>
    <w:p>
      <w:r>
        <w:br w:type="page"/>
      </w:r>
    </w:p>
    <w:p>
      <w:pPr>
        <w:sectPr>
          <w:pgSz w:w="11906" w:h="16838" w:orient="portrait"/>
          <w:pgMar w:top="1440" w:right="1440" w:bottom="1440" w:left="1440" w:header="708" w:footer="708" w:gutter="0"/>
          <w:pgNumType/>
          <w:docGrid w:linePitch="360"/>
        </w:sectPr>
      </w:pPr>
    </w:p>
    <w:p>
      <w:pPr>
        <w:pStyle w:val="Heading1"/>
      </w:pPr>
      <w:r>
        <w:t xml:space="preserve">1. Résumé exécutif</w:t>
      </w:r>
    </w:p>
    <w:p>
      <w:pPr>
        <w:spacing w:after="160"/>
      </w:pPr>
      <w:r>
        <w:t xml:space="preserve">PACAL est une application personnelle de suivi alimentaire, conçue et planifiée sur un week-end avec BMAD-METHOD (Breakthrough Method for Agile AI-Driven Development), en parallèle d'un second objectif assumé dès le départ : documenter l'usage de la méthode pour en faire un exemple professionnel reproductible.</w:t>
      </w:r>
    </w:p>
    <w:p>
      <w:pPr>
        <w:spacing w:after="160"/>
      </w:pPr>
      <w:r>
        <w:t xml:space="preserve">Ce rapport ne vend pas BMAD. Il rend compte, étape par étape, de ce qui s'est réellement passé : ce que la méthode a permis de voir avant que ça ne devienne un problème, ce qu'elle a coûté en frictions, et où elle a exigé un jugement humain plutôt qu'une application mécanique.</w:t>
      </w:r>
    </w:p>
    <w:p>
      <w:pPr>
        <w:spacing w:after="160"/>
      </w:pPr>
      <w:r>
        <w:t xml:space="preserve">Quatre découvertes concrètes structurent ce retour d'expérience — chacune produite par une étape différente de la méthode, pas par une relecture générale :</w:t>
      </w:r>
    </w:p>
    <w:p>
      <w:pPr>
        <w:pStyle w:val="ListParagraph"/>
        <w:numPr>
          <w:ilvl w:val="0"/>
          <w:numId w:val="2"/>
        </w:numPr>
        <w:spacing w:after="100"/>
      </w:pPr>
      <w:r>
        <w:rPr>
          <w:b/>
          <w:bCs/>
        </w:rPr>
        <w:t xml:space="preserve">Cadrage produit (Brief) — </w:t>
      </w:r>
      <w:r>
        <w:t xml:space="preserve">un risque de dépendance technique identifié avant tout développement : l'enrichissement « Yuka » prévu au cahier des charges repose sur un service sans API publique officielle.</w:t>
      </w:r>
    </w:p>
    <w:p>
      <w:pPr>
        <w:pStyle w:val="ListParagraph"/>
        <w:numPr>
          <w:ilvl w:val="0"/>
          <w:numId w:val="2"/>
        </w:numPr>
        <w:spacing w:after="100"/>
      </w:pPr>
      <w:r>
        <w:rPr>
          <w:b/>
          <w:bCs/>
        </w:rPr>
        <w:t xml:space="preserve">Exigences (PRD) — </w:t>
      </w:r>
      <w:r>
        <w:t xml:space="preserve">une contrainte d'infrastructure découverte en écrivant un parcours utilisateur précis plutôt qu'une fonctionnalité abstraite : l'application doit être joignable depuis l'extérieur du réseau domestique.</w:t>
      </w:r>
    </w:p>
    <w:p>
      <w:pPr>
        <w:pStyle w:val="ListParagraph"/>
        <w:numPr>
          <w:ilvl w:val="0"/>
          <w:numId w:val="2"/>
        </w:numPr>
        <w:spacing w:after="100"/>
      </w:pPr>
      <w:r>
        <w:rPr>
          <w:b/>
          <w:bCs/>
        </w:rPr>
        <w:t xml:space="preserve">Architecture — </w:t>
      </w:r>
      <w:r>
        <w:t xml:space="preserve">une panne fonctionnelle silencieuse trouvée par une validation formelle : l'accès à la caméra du navigateur exige du HTTPS, même sur le réseau privé choisi pour sécuriser l'accès distant.</w:t>
      </w:r>
    </w:p>
    <w:p>
      <w:pPr>
        <w:pStyle w:val="ListParagraph"/>
        <w:numPr>
          <w:ilvl w:val="0"/>
          <w:numId w:val="2"/>
        </w:numPr>
        <w:spacing w:after="100"/>
      </w:pPr>
      <w:r>
        <w:rPr>
          <w:b/>
          <w:bCs/>
        </w:rPr>
        <w:t xml:space="preserve">Epics et stories — </w:t>
      </w:r>
      <w:r>
        <w:t xml:space="preserve">un oubli de séquencement technique trouvé par la validation finale du découpage : aucune story ne précisait quand créer les tables de données.</w:t>
      </w:r>
    </w:p>
    <w:p>
      <w:pPr>
        <w:spacing w:after="160"/>
      </w:pPr>
      <w:r>
        <w:t xml:space="preserve">Ensemble, elles soutiennent une thèse à trois niveaux, du plus concret au plus général : BMAD permet de produire rapidement des applications documentées et maintenables ; plus largement, tout travail de conception gagne aujourd'hui à s'appuyer sur l'IA ; et plus précisément, cet appui doit se faire avec profondeur et méthode, pas par une succession de prompts isolés. Le détail de cette thèse et de ses preuves fait l'objet de la section 7.</w:t>
      </w:r>
    </w:p>
    <w:p>
      <w:pPr>
        <w:pStyle w:val="Heading1"/>
      </w:pPr>
      <w:r>
        <w:t xml:space="preserve">2. Contexte du document</w:t>
      </w:r>
    </w:p>
    <w:p>
      <w:pPr>
        <w:spacing w:after="160"/>
      </w:pPr>
      <w:r>
        <w:t xml:space="preserve">Ce document accompagne la livraison de PACAL et répond à un second objectif, fixé dès le lancement du projet : servir de matériel pour présenter BMAD-METHOD dans un contexte professionnel, auprès d'un client externe.</w:t>
      </w:r>
    </w:p>
    <w:p>
      <w:pPr>
        <w:spacing w:after="160"/>
      </w:pPr>
      <w:r>
        <w:t xml:space="preserve">Il a été rédigé en parallèle de la construction réelle de l'application, pas reconstitué après coup. Chaque exemple cité provient d'un journal de décisions tenu en temps réel pendant le développement — décisions prises, hypothèses corrigées, frictions rencontrées — et non d'une synthèse a posteriori susceptible d'enjoliver le parcours.</w:t>
      </w:r>
    </w:p>
    <w:p>
      <w:pPr>
        <w:pStyle w:val="Heading1"/>
      </w:pPr>
      <w:r>
        <w:t xml:space="preserve">3. BMAD-METHOD en bref</w:t>
      </w:r>
    </w:p>
    <w:p>
      <w:pPr>
        <w:spacing w:after="160"/>
      </w:pPr>
      <w:r>
        <w:t xml:space="preserve">BMAD-METHOD est un framework open source qui structure le travail avec une intelligence artificielle en agents spécialisés — Analyste, Product Manager, Architecte, Développeur — plutôt que de tout faire reposer sur une conversation libre unique. Chaque agent produit un artefact écrit avant que le suivant ne commence : un brief produit, un PRD, un document d'architecture, un découpage en epics et stories. Chaque étape s'appuie sur ce que la précédente a déjà tranché, sans avoir à le redemander.</w:t>
      </w:r>
    </w:p>
    <w:p>
      <w:pPr>
        <w:spacing w:after="160"/>
      </w:pPr>
      <w:r>
        <w:t xml:space="preserve">La méthode propose explicitement deux profondeurs : un parcours « Quick Flow » pour des besoins ponctuels, et une « Full Method » pour des projets avec une vraie feuille de route. C'est un signal que la méthode est elle-même calibrée sur l'enjeu réel d'un projet, plutôt que pensée comme un format unique à appliquer partout.</w:t>
      </w:r>
    </w:p>
    <w:p>
      <w:pPr>
        <w:spacing w:after="160"/>
      </w:pPr>
      <w:r>
        <w:t xml:space="preserve">C'est la Full Method qui a été retenue pour ce POC. PACAL, projet personnel solo, aurait pu se satisfaire d'un parcours plus léger — mais la valeur de démonstration professionnelle a justifié le chemin complet, choix assumé dès le départ plutôt que subi.</w:t>
      </w:r>
    </w:p>
    <w:p>
      <w:pPr>
        <w:pStyle w:val="Heading1"/>
      </w:pPr>
      <w:r>
        <w:t xml:space="preserve">4. Démarche du POC</w:t>
      </w:r>
    </w:p>
    <w:p>
      <w:pPr>
        <w:spacing w:after="160"/>
      </w:pPr>
      <w:r>
        <w:t xml:space="preserve">La planification (Brief, PRD, Architecture, Epics/Stories) a été conduite de façon conversationnelle, en mode « Coaching » — c'est-à-dire en construisant chaque document section par section avec des questions ciblées, plutôt qu'en laissant l'IA tout rédiger d'un bloc à partir d'hypothèses. Ce choix a été fait consciemment, sachant qu'il coûte plus de temps qu'un mode rapide, parce que la valeur de démonstration de la méthode complète comptait autant que la rapidité.</w:t>
      </w:r>
    </w:p>
    <w:p>
      <w:pPr>
        <w:spacing w:after="160"/>
      </w:pPr>
      <w:r>
        <w:t xml:space="preserve">L'exécution a été pensée en deux temps : la planification s'est faite dans une conversation IA classique, le code lui-même devant ensuite être pris en charge par un outil agentique en ligne de commande (Claude Code) installé sur la machine de l'utilisateur, en s'appuyant sur les mêmes artefacts.</w:t>
      </w:r>
    </w:p>
    <w:p>
      <w:pPr>
        <w:spacing w:after="160"/>
      </w:pPr>
      <w:r>
        <w:t xml:space="preserve">Une contrainte de calendrier — pouvoir présenter la démarche à un client la semaine suivante, avec seulement un week-end disponible — a obligé à adapter le grain d'interaction prévu par la méthode (regrouper plusieurs validations plutôt que de confirmer chaque micro-étape séparément), tout en conservant la rigueur du contenu produit. Cette adaptation elle-même fait partie des observations rapportées en section 6.</w:t>
      </w:r>
    </w:p>
    <w:p>
      <w:pPr>
        <w:pStyle w:val="Heading1"/>
      </w:pPr>
      <w:r>
        <w:t xml:space="preserve">5. Chronologie et preuves concrètes</w:t>
      </w:r>
    </w:p>
    <w:p>
      <w:pPr>
        <w:pStyle w:val="Heading2"/>
      </w:pPr>
      <w:r>
        <w:t xml:space="preserve">5.1 Phase 1 — Le Brief produit</w:t>
      </w:r>
    </w:p>
    <w:p>
      <w:pPr>
        <w:spacing w:after="160"/>
      </w:pPr>
      <w:r>
        <w:t xml:space="preserve">Le Brief a été construit à partir du cahier des charges initial de l'utilisateur, déjà dense (contexte, objectifs, environnement technique, principes de fonctionnement, lots de fonctionnalités). Le mode Coaching n'a jamais ralenti excessivement précisément parce que ce matériau de départ était riche : chaque question posée portait sur un vrai trou — le « pourquoi » du projet, une contrainte de calendrier non mentionnée, le traitement des entrées sans contenu alimentaire — jamais sur la reformulation de ce qui était déjà écrit.</w:t>
      </w:r>
    </w:p>
    <w:p>
      <w:pPr>
        <w:spacing w:after="160"/>
      </w:pPr>
      <w:r>
        <w:t xml:space="preserve">Deux moments méritent d'être détaillés.</w:t>
      </w:r>
    </w:p>
    <w:p>
      <w:pPr>
        <w:pStyle w:val="Heading3"/>
      </w:pPr>
      <w:r>
        <w:t xml:space="preserve">Une contrainte de calendrier non écrite, révélée par la Discovery</w:t>
      </w:r>
    </w:p>
    <w:p>
      <w:pPr>
        <w:spacing w:after="160"/>
      </w:pPr>
      <w:r>
        <w:t xml:space="preserve">En creusant la section « Le Problème » du Brief, l'utilisateur a révélé une contrainte absente du cahier des charges initial : la nécessité de présenter la méthode à un client la semaine suivante, avec seulement un week-end disponible. Le cahier des charges, même détaillé, ne disait jamais tout — c'est la phase de Discovery du Brief, conçue justement pour faire émerger ce type de contrainte invisible avant qu'elle ne percute la planification, qui l'a fait apparaître.</w:t>
      </w:r>
    </w:p>
    <w:p>
      <w:pPr>
        <w:pStyle w:val="Heading3"/>
      </w:pPr>
      <w:r>
        <w:t xml:space="preserve">Un risque technique nommé avant tout développement</w:t>
      </w:r>
    </w:p>
    <w:p>
      <w:pPr>
        <w:spacing w:after="160"/>
      </w:pPr>
      <w:r>
        <w:t xml:space="preserve">Le cahier des charges prévoyait un enrichissement des données produit via Yuka, en complément d'OpenFoodFacts. Une vérification factuelle effectuée pendant la rédaction du Brief a établi que Yuka n'expose aucune API publique officielle pour les développeurs, contrairement à OpenFoodFacts. Ce risque a été nommé explicitement dans le Brief comme un point conditionnel plutôt que laissé sous-entendu dans le périmètre — il a ensuite été traité comme une investigation technique dédiée dans le PRD et l'Architecture, jamais comme un engagement ferme.</w:t>
      </w:r>
    </w:p>
    <w:p>
      <w:pPr>
        <w:pBdr>
          <w:left w:val="single" w:color="1E2761" w:sz="12" w:space="8"/>
        </w:pBdr>
        <w:spacing w:after="200" w:before="120"/>
        <w:ind w:left="360"/>
      </w:pPr>
      <w:r>
        <w:rPr>
          <w:i/>
          <w:iCs/>
          <w:color w:val="44546A"/>
        </w:rPr>
        <w:t xml:space="preserve">« La décision de remonter ‘cible kcal + alerte’ du backlog vers le Lot 2 est venue d'une question posée sur la cohérence avec la motivation personnelle de l'utilisateur, pas d'une initiative spontanée de sa part. » — extrait du journal de décisions du Brief</w:t>
      </w:r>
    </w:p>
    <w:p>
      <w:pPr>
        <w:pStyle w:val="Heading2"/>
      </w:pPr>
      <w:r>
        <w:t xml:space="preserve">5.2 Phase 2 — Le PRD</w:t>
      </w:r>
    </w:p>
    <w:p>
      <w:pPr>
        <w:spacing w:after="160"/>
      </w:pPr>
      <w:r>
        <w:t xml:space="preserve">Le passage du Brief au PRD a illustré directement la valeur de la persistance des artefacts BMAD : aucun nouveau « brain dump » n'a été nécessaire. Le Product Manager a repris exactement où l'Analyste avait posé le travail, sans redemander un contexte déjà donné.</w:t>
      </w:r>
    </w:p>
    <w:p>
      <w:pPr>
        <w:pStyle w:val="Heading3"/>
      </w:pPr>
      <w:r>
        <w:t xml:space="preserve">Une exigence découverte en écrivant les exigences, pas en les demandant</w:t>
      </w:r>
    </w:p>
    <w:p>
      <w:pPr>
        <w:spacing w:after="160"/>
      </w:pPr>
      <w:r>
        <w:t xml:space="preserve">En rédigeant les exigences fonctionnelles à partir d'un parcours utilisateur déjà validé — logger une prise alimentaire en sortant d'un restaurant — il est apparu que cette scène suppose quelque chose que ni le cahier des charges, ni le Brief, ni aucune question posée jusque-là n'avait rendu explicite : l'accès à l'application depuis l'extérieur du réseau domestique. Le cahier des charges mentionnait un hébergement sur un serveur personnel et un usage mobile, sans jamais préciser que cet usage devait fonctionner hors du domicile.</w:t>
      </w:r>
    </w:p>
    <w:p>
      <w:pPr>
        <w:spacing w:after="160"/>
      </w:pPr>
      <w:r>
        <w:t xml:space="preserve">Cette contrainte n'est sortie qu'en suivant la discipline consistant à transformer un besoin en parcours utilisateur concret, geste par geste, avant d'écrire la moindre exigence technique. Un prompt générique du type « fais-moi une application de suivi alimentaire » n'aurait probablement jamais fait émerger ce point — il a fallu la discipline d'écriture, pas seulement la puissance du modèle.</w:t>
      </w:r>
    </w:p>
    <w:p>
      <w:pPr>
        <w:pStyle w:val="Heading3"/>
      </w:pPr>
      <w:r>
        <w:t xml:space="preserve">Un choix méthodologique signalé, pas caché</w:t>
      </w:r>
    </w:p>
    <w:p>
      <w:pPr>
        <w:spacing w:after="160"/>
      </w:pPr>
      <w:r>
        <w:t xml:space="preserve">La méthode prévoit une porte de relecture formelle avant de figer un PRD (un examen structuré, en plus de la relecture humaine). Cette étape a été volontairement sautée ici et signalée explicitement à l'utilisateur, au motif que pour un document déjà relu deux fois par lui-même, la valeur ajoutée d'un examen automatisé supplémentaire ne justifiait pas le temps qu'il aurait coûté sur un calendrier serré. Ce choix illustre ce que « calibrer la rigueur aux enjeux » veut dire en pratique — la méthode elle-même prévoit ce type de raccourci pour les enjeux faibles ; un projet à enjeu réel (lancement, client professionnel) ne devrait pas le faire aussi facilement.</w:t>
      </w:r>
    </w:p>
    <w:p>
      <w:pPr>
        <w:pStyle w:val="Heading2"/>
      </w:pPr>
      <w:r>
        <w:t xml:space="preserve">5.3 Phase 3 — L'Architecture</w:t>
      </w:r>
    </w:p>
    <w:p>
      <w:pPr>
        <w:spacing w:after="160"/>
      </w:pPr>
      <w:r>
        <w:t xml:space="preserve">Le passage à l'Architecture a marqué un changement de style net. Le Brief et le PRD laissaient une large place au jugement conversationnel ; l'Architecture a procédé en huit étapes strictement séquentielles, chacune suivie d'une confirmation explicite avant de passer à la suivante. Aucune étape n'a été sautée silencieusement.</w:t>
      </w:r>
    </w:p>
    <w:p>
      <w:pPr>
        <w:spacing w:after="160"/>
      </w:pPr>
      <w:r>
        <w:t xml:space="preserve">Ce n'est pas une incohérence de la méthode, mais un choix défendable : une décision d'architecture, difficile à changer une fois le code écrit, justifie davantage de discipline procédurale qu'une décision de cadrage produit, où la flexibilité conversationnelle a plus de valeur que la cérémonie. C'est un argument plus subtil — et plus crédible auprès d'un public professionnel — que de qualifier BMAD de « rigide » ou de « flexible » sans nuance.</w:t>
      </w:r>
    </w:p>
    <w:p>
      <w:pPr>
        <w:pStyle w:val="Heading3"/>
      </w:pPr>
      <w:r>
        <w:t xml:space="preserve">Une panne fonctionnelle silencieuse trouvée avant le code</w:t>
      </w:r>
    </w:p>
    <w:p>
      <w:pPr>
        <w:spacing w:after="160"/>
      </w:pPr>
      <w:r>
        <w:t xml:space="preserve">L'étape de validation formelle de l'Architecture a vérifié systématiquement la couverture de chaque contrainte non fonctionnelle plutôt que de la supposer acquise. Ce contrôle a révélé que l'accès à la caméra du navigateur — nécessaire au scan de code-barres — exige un contexte sécurisé HTTPS, même sur le réseau privé retenu pour sécuriser l'accès distant. Une adresse de ce réseau en simple HTTP ne suffit pas : le navigateur refuse l'accès à la caméra sans message d'erreur explicite pour qui ne le sait pas déjà.</w:t>
      </w:r>
    </w:p>
    <w:p>
      <w:pPr>
        <w:spacing w:after="160"/>
      </w:pPr>
      <w:r>
        <w:t xml:space="preserve">C'est exactement le type de panne qui, sans cette vérification, ne se découvre normalement qu'en testant l'application en conditions réelles — au pire moment, en essayant de scanner un produit qui ne déclenche aucune réaction. Aucune étape antérieure (Brief, PRD, ni même les décisions d'architecture précédentes) n'aurait fait émerger ce point précis : il fallait l'étape de validation dédiée pour le forcer.</w:t>
      </w:r>
    </w:p>
    <w:p>
      <w:pPr>
        <w:spacing w:after="160"/>
      </w:pPr>
      <w:r>
        <w:t xml:space="preserve">Deux hypothèses techniques erronées formulées pendant cette phase ont par ailleurs été corrigées directement par l'utilisateur en une phrase chacune (la base de données tournait déjà dans son propre conteneur ; la sauvegarde du serveur couvrait déjà le volume de stockage prévu). Le bénéfice méthodologique est net : énoncer une hypothèse explicitement, même fausse, ne coûte qu'une correction immédiate — la garder implicite aurait coûté une découverte tardive en cours d'implémentation.</w:t>
      </w:r>
    </w:p>
    <w:p>
      <w:pPr>
        <w:pStyle w:val="Heading2"/>
      </w:pPr>
      <w:r>
        <w:t xml:space="preserve">5.4 Phase 4 — Epics et stories</w:t>
      </w:r>
    </w:p>
    <w:p>
      <w:pPr>
        <w:spacing w:after="160"/>
      </w:pPr>
      <w:r>
        <w:t xml:space="preserve">Le découpage en epics a délibérément privilégié deux ensembles larges plutôt qu'une granularité fine, en application d'une règle explicite de la méthode : préférer des epics plus larges quand l'architecture est déjà validée et la direction certaine, pour éviter un travail de découpage superflu.</w:t>
      </w:r>
    </w:p>
    <w:p>
      <w:pPr>
        <w:pStyle w:val="Heading3"/>
      </w:pPr>
      <w:r>
        <w:t xml:space="preserve">Un deuxième garde-fou utile</w:t>
      </w:r>
    </w:p>
    <w:p>
      <w:pPr>
        <w:spacing w:after="160"/>
      </w:pPr>
      <w:r>
        <w:t xml:space="preserve">La validation finale du découpage a trouvé un oubli réel : le principe consistant à ne créer une table de données que lorsqu'une story en a explicitement besoin n'était respecté qu'implicitement — aucune story ne précisait à quel moment créer les tables nécessaires au modèle de données. Sans cette vérification, l'implémentation aurait pu soit tout créer dès la première story (contraire au principe), soit découvrir le besoin en cours de route sans plan établi. Le correctif a consisté à ajouter le critère de migration explicite à la première story qui a besoin de chaque table.</w:t>
      </w:r>
    </w:p>
    <w:p>
      <w:pPr>
        <w:spacing w:after="160"/>
      </w:pPr>
      <w:r>
        <w:t xml:space="preserve">Une erreur d'édition commise pendant cette phase — la disparition accidentelle d'un titre de story lors d'une modification de fichier — a par ailleurs été repérée par une vérification systématique de la structure du document avant de poursuivre, et non par l'utilisateur. Ce point mérite d'être noté sans complaisance : la discipline de vérification s'applique aussi à l'agent qui exécute la méthode, pas seulement au contenu qu'il produit.</w:t>
      </w:r>
    </w:p>
    <w:p>
      <w:pPr>
        <w:pStyle w:val="Heading2"/>
      </w:pPr>
      <w:r>
        <w:t xml:space="preserve">5.5 Ce que les quatre documents donnent ensemble</w:t>
      </w:r>
    </w:p>
    <w:p>
      <w:pPr>
        <w:spacing w:after="160"/>
      </w:pPr>
      <w:r>
        <w:t xml:space="preserve">Pris isolément, chaque document a déjà produit un exemple concret. Pris ensemble, ils forment quelque chose de plus : une chaîne où chaque document s'appuie sur le précédent sans jamais redemander ce qui est déjà tranché, et où chaque étape porte son propre garde-fou — Discovery ouverte côté produit, vérification de versions côté choix technique, validation formelle croisée côté architecture et découpage en stories. C'est le point le plus solide pour soutenir l'idée que BMAD produit des applications réellement documentées, pas seulement accompagnées d'un document de plus.</w:t>
      </w:r>
    </w:p>
    <w:p>
      <w:pPr>
        <w:pStyle w:val="Heading1"/>
      </w:pPr>
      <w:r>
        <w:t xml:space="preserve">6. Bilan transversal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EF1F8" w:val="clear"/>
            <w:tcMar>
              <w:top w:type="dxa" w:w="100"/>
              <w:left w:type="dxa" w:w="120"/>
              <w:bottom w:type="dxa" w:w="100"/>
              <w:right w:type="dxa" w:w="120"/>
            </w:tcMar>
          </w:tcPr>
          <w:p>
            <w:r>
              <w:rPr>
                <w:b/>
                <w:bCs/>
              </w:rPr>
              <w:t xml:space="preserve">Forces observées</w:t>
            </w:r>
          </w:p>
        </w:tc>
        <w:tc>
          <w:tcPr>
            <w:tcW w:type="dxa" w:w="4680"/>
            <w:tcBorders>
              <w:top w:val="single" w:color="CCCCCC" w:sz="1"/>
              <w:left w:val="single" w:color="CCCCCC" w:sz="1"/>
              <w:bottom w:val="single" w:color="CCCCCC" w:sz="1"/>
              <w:right w:val="single" w:color="CCCCCC" w:sz="1"/>
            </w:tcBorders>
            <w:shd w:fill="EEF1F8" w:val="clear"/>
            <w:tcMar>
              <w:top w:type="dxa" w:w="100"/>
              <w:left w:type="dxa" w:w="120"/>
              <w:bottom w:type="dxa" w:w="100"/>
              <w:right w:type="dxa" w:w="120"/>
            </w:tcMar>
          </w:tcPr>
          <w:p>
            <w:r>
              <w:rPr>
                <w:b/>
                <w:bCs/>
              </w:rPr>
              <w:t xml:space="preserve">Limites et frictions observées</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Persistance entre étapes : chaque agent reprend exactement où le précédent s'est arrêté, sans redemander un contexte déjà donné.</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L'outillage d'installation est pensé pour un usage humain interactif ; l'automatiser dans un environnement non interactif a demandé un contournement non documenté.</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Garde-fous spécifiques à chaque type de décision : Discovery ouverte pour le produit, vérification de versions pour la technique, validation formelle pour l'architecture et les stories.</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Un défaut de configuration manquant dans l'installateur a créé un dossier de sortie mal nommé, corrigé manuellement.</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Les hypothèses sont systématiquement explicites plutôt qu'implicites, donc corrigibles en une phrase plutôt que découvertes tardivement.</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Le grain d'interaction prévu (confirmation à chaque micro-étape) suppose plus de disponibilité qu'un calendrier contraint n'en offre ; l'adapter reste un choix humain, pas une fonctionnalité de la méthode.</w:t>
            </w:r>
          </w:p>
        </w:tc>
      </w:tr>
      <w:tr>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La méthode calibre elle-même sa rigueur à l'enjeu (Quick Flow / Full Method, Fast / Coaching, porte de relecture optionnelle) plutôt que d'imposer un seul niveau de cérémonie partout.</w:t>
            </w:r>
          </w:p>
        </w:tc>
        <w:tc>
          <w:tcPr>
            <w:tcW w:type="dxa" w:w="468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Sauter une étape de relecture formelle reste une décision de jugement humain ; la méthode ne protège pas automatiquement contre une dérive si personne ne pousse dessus.</w:t>
            </w:r>
          </w:p>
        </w:tc>
      </w:tr>
    </w:tbl>
    <w:p>
      <w:pPr>
        <w:spacing w:before="200"/>
      </w:pPr>
    </w:p>
    <w:p>
      <w:pPr>
        <w:pStyle w:val="Heading1"/>
      </w:pPr>
      <w:r>
        <w:t xml:space="preserve">7. La thèse pour vos équipes</w:t>
      </w:r>
    </w:p>
    <w:p>
      <w:pPr>
        <w:spacing w:after="160"/>
      </w:pPr>
      <w:r>
        <w:t xml:space="preserve">Trois messages, du plus concret au plus général, structurent la conviction issue de ce POC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6000"/>
      </w:tblGrid>
      <w:tr>
        <w:tc>
          <w:tcPr>
            <w:tcW w:type="dxa" w:w="3360"/>
            <w:tcBorders>
              <w:top w:val="single" w:color="CCCCCC" w:sz="1"/>
              <w:left w:val="single" w:color="CCCCCC" w:sz="1"/>
              <w:bottom w:val="single" w:color="CCCCCC" w:sz="1"/>
              <w:right w:val="single" w:color="CCCCCC" w:sz="1"/>
            </w:tcBorders>
            <w:shd w:fill="EEF1F8" w:val="clear"/>
            <w:tcMar>
              <w:top w:type="dxa" w:w="100"/>
              <w:left w:type="dxa" w:w="120"/>
              <w:bottom w:type="dxa" w:w="100"/>
              <w:right w:type="dxa" w:w="120"/>
            </w:tcMar>
          </w:tcPr>
          <w:p>
            <w:r>
              <w:rPr>
                <w:b/>
                <w:bCs/>
              </w:rPr>
              <w:t xml:space="preserve">Message</w:t>
            </w:r>
          </w:p>
        </w:tc>
        <w:tc>
          <w:tcPr>
            <w:tcW w:type="dxa" w:w="6000"/>
            <w:tcBorders>
              <w:top w:val="single" w:color="CCCCCC" w:sz="1"/>
              <w:left w:val="single" w:color="CCCCCC" w:sz="1"/>
              <w:bottom w:val="single" w:color="CCCCCC" w:sz="1"/>
              <w:right w:val="single" w:color="CCCCCC" w:sz="1"/>
            </w:tcBorders>
            <w:shd w:fill="EEF1F8" w:val="clear"/>
            <w:tcMar>
              <w:top w:type="dxa" w:w="100"/>
              <w:left w:type="dxa" w:w="120"/>
              <w:bottom w:type="dxa" w:w="100"/>
              <w:right w:type="dxa" w:w="120"/>
            </w:tcMar>
          </w:tcPr>
          <w:p>
            <w:r>
              <w:rPr>
                <w:b/>
                <w:bCs/>
              </w:rPr>
              <w:t xml:space="preserve">Preuve issue du POC PACAL</w:t>
            </w:r>
          </w:p>
        </w:tc>
      </w:tr>
      <w:tr>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BMAD permet de produire rapidement des applications documentées et maintenables.</w:t>
            </w:r>
          </w:p>
        </w:tc>
        <w:tc>
          <w:tcPr>
            <w:tcW w:type="dxa" w:w="6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Quatre documents complets et cohérents produits en une session — brief, PRD, architecture, epics/stories — chacun s'appuyant sur le précédent sans redite, avec un journal de décisions traçable à chaque étape.</w:t>
            </w:r>
          </w:p>
        </w:tc>
      </w:tr>
      <w:tr>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Tout travail de conception gagne aujourd'hui à s'appuyer sur l'IA.</w:t>
            </w:r>
          </w:p>
        </w:tc>
        <w:tc>
          <w:tcPr>
            <w:tcW w:type="dxa" w:w="6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Quatre découvertes concrètes (dépendance Yuka, accès distant, HTTPS sur réseau privé, séquencement des migrations) qu'une conception sans IA structurée aurait probablement laissé émerger plus tard, au prix d'un retour en arrière coûteux.</w:t>
            </w:r>
          </w:p>
        </w:tc>
      </w:tr>
      <w:tr>
        <w:tc>
          <w:tcPr>
            <w:tcW w:type="dxa" w:w="33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Cet appui doit se faire avec profondeur et méthode, pas par des prompts isolés.</w:t>
            </w:r>
          </w:p>
        </w:tc>
        <w:tc>
          <w:tcPr>
            <w:tcW w:type="dxa" w:w="60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val="false"/>
                <w:bCs w:val="false"/>
              </w:rPr>
              <w:t xml:space="preserve">Chacune des quatre découvertes est née d'une discipline précise — Discovery structurée, exigences testables, validation formelle croisée — et non d'une question générique posée à une IA en une phrase.</w:t>
            </w:r>
          </w:p>
        </w:tc>
      </w:tr>
    </w:tbl>
    <w:p>
      <w:pPr>
        <w:spacing w:before="200"/>
      </w:pPr>
    </w:p>
    <w:p>
      <w:pPr>
        <w:spacing w:after="160"/>
      </w:pPr>
      <w:r>
        <w:t xml:space="preserve">Ces trois messages forment une pyramide cohérente, du spécifique au général — ce qui en fait une bonne structure de présentation, à condition de les ancrer systématiquement dans des preuves concrètes plutôt que de les énoncer comme des slogans.</w:t>
      </w:r>
    </w:p>
    <w:p>
      <w:pPr>
        <w:pStyle w:val="Heading1"/>
      </w:pPr>
      <w:r>
        <w:t xml:space="preserve">8. Recommandations pour une adoption professionnelle</w:t>
      </w:r>
    </w:p>
    <w:p>
      <w:pPr>
        <w:pStyle w:val="ListParagraph"/>
        <w:numPr>
          <w:ilvl w:val="0"/>
          <w:numId w:val="2"/>
        </w:numPr>
        <w:spacing w:after="100"/>
      </w:pPr>
      <w:r>
        <w:rPr>
          <w:b/>
          <w:bCs/>
        </w:rPr>
        <w:t xml:space="preserve">Calibrer la profondeur — </w:t>
      </w:r>
      <w:r>
        <w:t xml:space="preserve">choisir Quick Flow ou Full Method selon l'enjeu réel du projet client, pas selon le prestige de la démonstration.</w:t>
      </w:r>
    </w:p>
    <w:p>
      <w:pPr>
        <w:pStyle w:val="ListParagraph"/>
        <w:numPr>
          <w:ilvl w:val="0"/>
          <w:numId w:val="2"/>
        </w:numPr>
        <w:spacing w:after="100"/>
      </w:pPr>
      <w:r>
        <w:rPr>
          <w:b/>
          <w:bCs/>
        </w:rPr>
        <w:t xml:space="preserve">Budgéter le grain d'interaction — </w:t>
      </w:r>
      <w:r>
        <w:t xml:space="preserve">prévoir le temps que demande le rythme natif de la méthode, ou être explicite quand on l'adapte, et le dire au client plutôt que de le cacher.</w:t>
      </w:r>
    </w:p>
    <w:p>
      <w:pPr>
        <w:pStyle w:val="ListParagraph"/>
        <w:numPr>
          <w:ilvl w:val="0"/>
          <w:numId w:val="2"/>
        </w:numPr>
        <w:spacing w:after="100"/>
      </w:pPr>
      <w:r>
        <w:rPr>
          <w:b/>
          <w:bCs/>
        </w:rPr>
        <w:t xml:space="preserve">Ne pas sauter les portes de relecture sur les projets à enjeu réel — </w:t>
      </w:r>
      <w:r>
        <w:t xml:space="preserve">même si, comme ici, le coût en temps reste réel et le choix de les sauter peut être justifié sur un projet à faible enjeu.</w:t>
      </w:r>
    </w:p>
    <w:p>
      <w:pPr>
        <w:pStyle w:val="ListParagraph"/>
        <w:numPr>
          <w:ilvl w:val="0"/>
          <w:numId w:val="2"/>
        </w:numPr>
        <w:spacing w:after="100"/>
      </w:pPr>
      <w:r>
        <w:rPr>
          <w:b/>
          <w:bCs/>
        </w:rPr>
        <w:t xml:space="preserve">Traiter le journal de décisions comme un artefact à part entière — </w:t>
      </w:r>
      <w:r>
        <w:t xml:space="preserve">c'est lui qui rend la méthode racontable a posteriori, pas un sous-produit accessoire.</w:t>
      </w:r>
    </w:p>
    <w:p>
      <w:pPr>
        <w:pStyle w:val="ListParagraph"/>
        <w:numPr>
          <w:ilvl w:val="0"/>
          <w:numId w:val="2"/>
        </w:numPr>
        <w:spacing w:after="100"/>
      </w:pPr>
      <w:r>
        <w:rPr>
          <w:b/>
          <w:bCs/>
        </w:rPr>
        <w:t xml:space="preserve">Anticiper la friction d'outillage — </w:t>
      </w:r>
      <w:r>
        <w:t xml:space="preserve">si l'installation ou l'exécution se fait hors d'un usage interactif standard (CI, agents automatisés), prévoir un contournement et le documenter.</w:t>
      </w:r>
    </w:p>
    <w:p>
      <w:pPr>
        <w:pStyle w:val="Heading1"/>
      </w:pPr>
      <w:r>
        <w:t xml:space="preserve">9. Annexe — artefacts produits</w:t>
      </w:r>
    </w:p>
    <w:p>
      <w:pPr>
        <w:spacing w:after="160"/>
      </w:pPr>
      <w:r>
        <w:t xml:space="preserve">Tous les documents cités dans ce rapport sont disponibles dans le projet PACAL :</w:t>
      </w:r>
    </w:p>
    <w:p>
      <w:pPr>
        <w:pStyle w:val="ListParagraph"/>
        <w:numPr>
          <w:ilvl w:val="0"/>
          <w:numId w:val="2"/>
        </w:numPr>
        <w:spacing w:after="100"/>
      </w:pPr>
      <w:r>
        <w:t xml:space="preserve">docs/PACAL-cahier-des-charges.md — cahier des charges initial</w:t>
      </w:r>
    </w:p>
    <w:p>
      <w:pPr>
        <w:pStyle w:val="ListParagraph"/>
        <w:numPr>
          <w:ilvl w:val="0"/>
          <w:numId w:val="2"/>
        </w:numPr>
        <w:spacing w:after="100"/>
      </w:pPr>
      <w:r>
        <w:t xml:space="preserve">_bmad-output/planning-artifacts/briefs/.../brief.md — Brief produit (approuvé) et son journal de décisions</w:t>
      </w:r>
    </w:p>
    <w:p>
      <w:pPr>
        <w:pStyle w:val="ListParagraph"/>
        <w:numPr>
          <w:ilvl w:val="0"/>
          <w:numId w:val="2"/>
        </w:numPr>
        <w:spacing w:after="100"/>
      </w:pPr>
      <w:r>
        <w:t xml:space="preserve">_bmad-output/planning-artifacts/prds/.../prd.md — PRD (final, 23 exigences fonctionnelles, 4 contraintes transverses) et son journal de décisions</w:t>
      </w:r>
    </w:p>
    <w:p>
      <w:pPr>
        <w:pStyle w:val="ListParagraph"/>
        <w:numPr>
          <w:ilvl w:val="0"/>
          <w:numId w:val="2"/>
        </w:numPr>
        <w:spacing w:after="100"/>
      </w:pPr>
      <w:r>
        <w:t xml:space="preserve">_bmad-output/planning-artifacts/architecture.md — Document d'architecture complet, statut « prêt pour l'implémentation »</w:t>
      </w:r>
    </w:p>
    <w:p>
      <w:pPr>
        <w:pStyle w:val="ListParagraph"/>
        <w:numPr>
          <w:ilvl w:val="0"/>
          <w:numId w:val="2"/>
        </w:numPr>
        <w:spacing w:after="100"/>
      </w:pPr>
      <w:r>
        <w:t xml:space="preserve">_bmad-output/planning-artifacts/epics.md — 2 epics, 13 stories prêtes au développement</w:t>
      </w:r>
    </w:p>
    <w:p>
      <w:pPr>
        <w:pStyle w:val="ListParagraph"/>
        <w:numPr>
          <w:ilvl w:val="0"/>
          <w:numId w:val="2"/>
        </w:numPr>
        <w:spacing w:after="100"/>
      </w:pPr>
      <w:r>
        <w:t xml:space="preserve">_bmad-debrief/journal.md — journal de bord tenu en temps réel, matière source de ce rapport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PACAL × BMAD-METHOD — Débrief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9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2761"/>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E2761"/>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BMAD-METHOD à l'épreuve d'un cas réel</dc:title>
  <dc:creator>Utilisateur</dc:creator>
  <cp:lastModifiedBy>Un-named</cp:lastModifiedBy>
  <cp:revision>1</cp:revision>
  <dcterms:created xsi:type="dcterms:W3CDTF">2026-06-19T05:39:25.135Z</dcterms:created>
  <dcterms:modified xsi:type="dcterms:W3CDTF">2026-06-19T05:39:25.135Z</dcterms:modified>
</cp:coreProperties>
</file>

<file path=docProps/custom.xml><?xml version="1.0" encoding="utf-8"?>
<Properties xmlns="http://schemas.openxmlformats.org/officeDocument/2006/custom-properties" xmlns:vt="http://schemas.openxmlformats.org/officeDocument/2006/docPropsVTypes"/>
</file>