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pBdr>
          <w:top w:val="single" w:sz="2" w:space="1" w:color="000000"/>
          <w:left w:val="single" w:sz="2" w:space="1" w:color="000000"/>
          <w:bottom w:val="single" w:sz="2" w:space="1" w:color="000000"/>
          <w:right w:val="single" w:sz="2" w:space="1" w:color="000000"/>
        </w:pBdr>
        <w:bidi w:val="0"/>
        <w:spacing w:lineRule="atLeast" w:line="615" w:before="0" w:after="0"/>
        <w:ind w:hanging="0" w:start="0" w:end="0"/>
        <w:jc w:val="start"/>
        <w:rPr>
          <w:rFonts w:ascii="IBM Plex Sans;ui-sans-serif;system-ui;sans-serif" w:hAnsi="IBM Plex Sans;ui-sans-serif;system-ui;sans-serif"/>
          <w:b/>
          <w:i w:val="false"/>
          <w:caps w:val="false"/>
          <w:smallCaps w:val="false"/>
          <w:color w:val="071A39"/>
          <w:spacing w:val="0"/>
          <w:sz w:val="28"/>
          <w:bdr w:val="single" w:sz="2" w:space="1" w:color="000000"/>
        </w:rPr>
      </w:pPr>
      <w:r>
        <w:rPr>
          <w:rFonts w:ascii="IBM Plex Sans;ui-sans-serif;system-ui;sans-serif" w:hAnsi="IBM Plex Sans;ui-sans-serif;system-ui;sans-serif"/>
          <w:b/>
          <w:i w:val="false"/>
          <w:caps w:val="false"/>
          <w:smallCaps w:val="false"/>
          <w:color w:val="071A39"/>
          <w:spacing w:val="0"/>
          <w:sz w:val="28"/>
          <w:bdr w:val="single" w:sz="2" w:space="1" w:color="000000"/>
        </w:rPr>
        <w:t>Quel est l'impact de l'IA sur l'environnement ?</w:t>
      </w:r>
    </w:p>
    <w:p>
      <w:pPr>
        <w:pStyle w:val="BodyText"/>
        <w:widowControl/>
        <w:bidi w:val="0"/>
        <w:spacing w:lineRule="auto" w:line="360" w:before="0" w:after="0"/>
        <w:ind w:hanging="0" w:start="0" w:end="0"/>
        <w:jc w:val="start"/>
        <w:rPr/>
      </w:pPr>
      <w:hyperlink r:id="rId2">
        <w:r>
          <w:rPr>
            <w:rStyle w:val="Hyperlink"/>
            <w:rFonts w:ascii="IBM Plex Sans;ui-sans-serif;system-ui;sans-serif" w:hAnsi="IBM Plex Sans;ui-sans-serif;system-ui;sans-serif"/>
            <w:b w:val="false"/>
            <w:i w:val="false"/>
            <w:caps w:val="false"/>
            <w:smallCaps w:val="false"/>
            <w:color w:val="071A39"/>
            <w:spacing w:val="0"/>
            <w:sz w:val="28"/>
            <w:u w:val="single"/>
          </w:rPr>
          <w:t>Intelligence Artificielle</w:t>
        </w:r>
      </w:hyperlink>
    </w:p>
    <w:p>
      <w:pPr>
        <w:pStyle w:val="BodyText"/>
        <w:widowControl/>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bdr w:val="single" w:sz="2" w:space="1" w:color="000000"/>
        </w:rPr>
      </w:pPr>
      <w:r>
        <w:rPr>
          <w:rFonts w:ascii="IBM Plex Sans;ui-sans-serif;system-ui;sans-serif" w:hAnsi="IBM Plex Sans;ui-sans-serif;system-ui;sans-serif"/>
          <w:b w:val="false"/>
          <w:i w:val="false"/>
          <w:caps w:val="false"/>
          <w:smallCaps w:val="false"/>
          <w:color w:val="071A39"/>
          <w:spacing w:val="0"/>
          <w:sz w:val="28"/>
          <w:bdr w:val="single" w:sz="2" w:space="1" w:color="000000"/>
        </w:rPr>
        <w:t>10 avril 2026</w:t>
      </w:r>
    </w:p>
    <w:p>
      <w:pPr>
        <w:pStyle w:val="BodyText"/>
        <w:widowControl/>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bdr w:val="single" w:sz="2" w:space="1" w:color="000000"/>
        </w:rPr>
      </w:pPr>
      <w:r>
        <w:rPr>
          <w:rFonts w:ascii="IBM Plex Sans;ui-sans-serif;system-ui;sans-serif" w:hAnsi="IBM Plex Sans;ui-sans-serif;system-ui;sans-serif"/>
          <w:b w:val="false"/>
          <w:i w:val="false"/>
          <w:caps w:val="false"/>
          <w:smallCaps w:val="false"/>
          <w:color w:val="071A39"/>
          <w:spacing w:val="0"/>
          <w:sz w:val="28"/>
          <w:bdr w:val="single" w:sz="2" w:space="1" w:color="00000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5261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120130" cy="3526155"/>
                    </a:xfrm>
                    <a:prstGeom prst="rect">
                      <a:avLst/>
                    </a:prstGeom>
                    <a:noFill/>
                  </pic:spPr>
                </pic:pic>
              </a:graphicData>
            </a:graphic>
          </wp:anchor>
        </w:drawing>
      </w:r>
    </w:p>
    <w:p>
      <w:pPr>
        <w:pStyle w:val="BodyText"/>
        <w:bidi w:val="0"/>
        <w:jc w:val="start"/>
        <w:rPr/>
      </w:pPr>
      <w:r>
        <w:rPr/>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L'intelligence artificielle s'est imposée comme un catalyseur de performance pour les entreprises, les services publics et la recherche. Mais l'explosion des usages cloud, la multiplication des data centers et la demande croissante en puissance de calcul rendent cette transformation numérique non neutre pour la planète. En France, le numérique représentait 4,4 % de l'empreinte carbone en 2023, un poids comparable à celui du secteur des poids lourds. Dans ce contexte, l'IA, moteur de croissance, entre en tension avec les impératifs de transition écologique.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Son empreinte ne se limite pas aux émissions de CO₂ : consommation d'eau, épuisement des ressources, pollution liée à la fabrication, déchets électroniques et durée de vie réduite des équipements s'additionnent. Les acteurs économiques (start-ups, PME, ETI, grands groupes) ont néanmoins une marge d'action pour maximiser le potentiel environnemental des usages. Pour raisonner de manière opérationnelle, on peut distinguer trois empreintes : carbone (gaz à effet de serre sur le cycle de vie), eau (sur site et indirectement via l'électricité) et matières (métaux, minéraux, équipements). Elles se répartissent entre la fabrication du matériel, l'entraînement des modèles et l'inférence (usage au quotidien).</w:t>
      </w:r>
    </w:p>
    <w:p>
      <w:pPr>
        <w:pStyle w:val="Heading2"/>
        <w:widowControl/>
        <w:pBdr>
          <w:top w:val="single" w:sz="2" w:space="1" w:color="000000"/>
          <w:left w:val="single" w:sz="2" w:space="1" w:color="000000"/>
          <w:bottom w:val="single" w:sz="2" w:space="1" w:color="000000"/>
          <w:right w:val="single" w:sz="2" w:space="1" w:color="000000"/>
        </w:pBdr>
        <w:bidi w:val="0"/>
        <w:spacing w:lineRule="atLeast" w:line="540" w:before="0" w:after="0"/>
        <w:ind w:hanging="0" w:start="0" w:end="0"/>
        <w:jc w:val="start"/>
        <w:rPr>
          <w:rFonts w:ascii="IBM Plex Sans;ui-sans-serif;system-ui;sans-serif" w:hAnsi="IBM Plex Sans;ui-sans-serif;system-ui;sans-serif"/>
          <w:b w:val="false"/>
          <w:i w:val="false"/>
          <w:caps w:val="false"/>
          <w:smallCaps w:val="false"/>
          <w:color w:val="071A39"/>
          <w:spacing w:val="0"/>
        </w:rPr>
      </w:pPr>
      <w:bookmarkStart w:id="0" w:name="pourquoi-l-ia-pese-sur-l-environnement"/>
      <w:bookmarkEnd w:id="0"/>
      <w:r>
        <w:rPr>
          <w:rFonts w:ascii="IBM Plex Sans;ui-sans-serif;system-ui;sans-serif" w:hAnsi="IBM Plex Sans;ui-sans-serif;system-ui;sans-serif"/>
          <w:b w:val="false"/>
          <w:i w:val="false"/>
          <w:caps w:val="false"/>
          <w:smallCaps w:val="false"/>
          <w:color w:val="071A39"/>
          <w:spacing w:val="0"/>
        </w:rPr>
        <w:t>Pourquoi l'IA pèse sur l'environnement ?</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Consommation d'énergie et d'eau</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L'entraînement et l'exploitation des modèles reposent sur des infrastructures très énergivores. Les serveurs mobilisent des GPU, qui consomment environ 4 fois plus d'électricité que des serveurs classiques, avec une durée de vie 3 à 5 fois plus courte. À l'échelle mondiale, la consommation électrique liée aux data centers IA pourrait passer de 50 TWh en 2023 à 554 TWh en 2030. Cette hausse place l'IA parmi les usages numériques les plus demandeurs en énergie.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La logique est cumulative : plus de calcul implique plus de puissance électrique, donc plus de chaleur à dissiper, donc plus de refroidissement et de pertes supplémentaires (alimentation, redondance). Selon l'Agence internationale de l'énergie (AIE), un data center « classique » se situe souvent autour de 10 à 25 MW, tandis qu'un data center orienté IA peut atteindre 100 MW ou plus. Ce niveau correspond à un ordre de grandeur comparable à la consommation annuelle d'environ 100 000 foyers.</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L'eau constitue l'autre point de tension majeur. Les data centers en utilisent notamment pour évacuer la chaleur, et Greenpeace estime que l'usage de l'eau par les infrastructures IA pourrait atteindre plusieurs centaines de milliards de litres par an. Au-delà du chiffre, l'enjeu vient surtout de la localisation et des périodes de stress hydrique, qui peuvent rendre ces consommations plus sensibles.</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Dans la pratique, il faut distinguer deux volets complémentaires de la consommation d'eau pour le refroidissement des data centers :</w:t>
      </w:r>
    </w:p>
    <w:p>
      <w:pPr>
        <w:pStyle w:val="BodyText"/>
        <w:widowControl/>
        <w:numPr>
          <w:ilvl w:val="0"/>
          <w:numId w:val="2"/>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l'eau sur site</w:t>
      </w:r>
      <w:r>
        <w:rPr>
          <w:rFonts w:ascii="IBM Plex Sans;ui-sans-serif;system-ui;sans-serif" w:hAnsi="IBM Plex Sans;ui-sans-serif;system-ui;sans-serif"/>
          <w:b w:val="false"/>
          <w:i w:val="false"/>
          <w:caps w:val="false"/>
          <w:smallCaps w:val="false"/>
          <w:color w:val="071A39"/>
          <w:spacing w:val="0"/>
          <w:sz w:val="28"/>
        </w:rPr>
        <w:t> (refroidissement évaporatif, humidification, rechargement de circuits, nettoyage), avec une distinction importante entre eau « prélevée » et eau « consommée » (non restituée aux milieux aquatiques) ;</w:t>
      </w:r>
    </w:p>
    <w:p>
      <w:pPr>
        <w:pStyle w:val="BodyText"/>
        <w:widowControl/>
        <w:numPr>
          <w:ilvl w:val="0"/>
          <w:numId w:val="2"/>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l'eau indirecte</w:t>
      </w:r>
      <w:r>
        <w:rPr>
          <w:rFonts w:ascii="IBM Plex Sans;ui-sans-serif;system-ui;sans-serif" w:hAnsi="IBM Plex Sans;ui-sans-serif;system-ui;sans-serif"/>
          <w:b w:val="false"/>
          <w:i w:val="false"/>
          <w:caps w:val="false"/>
          <w:smallCaps w:val="false"/>
          <w:color w:val="071A39"/>
          <w:spacing w:val="0"/>
          <w:sz w:val="28"/>
        </w:rPr>
        <w:t> liée à la production de l'électricité consommée (selon l'Arcep, elle peut dépasser largement l'eau prélevée directement, ce qui change le diagnostic selon le mix et la filière électrique).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Enfin, l'inférence peut devenir le poste dominant si le volume de requêtes explose. Certaines estimations citées (MIT Technology Review, 2025) avancent qu'elle pourrait représenter 80 à 90 % de la puissance de calcul mobilisée, une fois les modèles largement accessibles. Pour les entreprises qui déploient des assistants internes ou des fonctionnalités de chat côté client, l'impact se joue donc sur toute la durée de vie du service, pas seulement au moment de l'entraînement.</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Un coût environnemental sous-estimé</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L'impact environnemental de l'IA ne se limite pas à l'énergie ou à l'eau. Une étude de Green IT (2025) évaluant le cycle de vie des serveurs IA (fabrication, distribution, utilisation, fin de vie) a quantifié 16 impacts environnementaux et sanitaires. Selon cette étude, 69 % de ces impacts ne sont pas liés au climat, mais à d'autres facteurs comme l'épuisement des ressources abiotiques (métaux, minéraux) ou la pollution atmosphérique. Cela rappelle que la sobriété ne se résume pas à « verdir l'électricité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La fabrication des composants (GPU, RAM) pèse lourd en métaux et ressources fossiles. L'IA pourrait atteindre 21 % de l'empreinte écologique numérique d'ici 2030, selon des sources citées. La pression touche aussi des métaux dits critiques (indium, gallium, tantale, néodyme, germanium), l'eau et parfois le foncier, selon les territoires d'implantation.</w:t>
      </w:r>
    </w:p>
    <w:tbl>
      <w:tblPr>
        <w:tblW w:w="9638" w:type="dxa"/>
        <w:jc w:val="start"/>
        <w:tblInd w:w="0" w:type="dxa"/>
        <w:tblLayout w:type="fixed"/>
        <w:tblCellMar>
          <w:top w:w="28" w:type="dxa"/>
          <w:start w:w="28" w:type="dxa"/>
          <w:bottom w:w="28" w:type="dxa"/>
          <w:end w:w="28" w:type="dxa"/>
        </w:tblCellMar>
      </w:tblPr>
      <w:tblGrid>
        <w:gridCol w:w="1605"/>
        <w:gridCol w:w="1876"/>
        <w:gridCol w:w="3533"/>
        <w:gridCol w:w="2624"/>
      </w:tblGrid>
      <w:tr>
        <w:trPr>
          <w:tblHeader w:val="true"/>
        </w:trPr>
        <w:tc>
          <w:tcPr>
            <w:tcW w:w="1605" w:type="dxa"/>
            <w:tcBorders>
              <w:top w:val="single" w:sz="2" w:space="0" w:color="000000"/>
              <w:start w:val="single" w:sz="2" w:space="0" w:color="000000"/>
              <w:bottom w:val="single" w:sz="2" w:space="0" w:color="000000"/>
              <w:end w:val="single" w:sz="2" w:space="0" w:color="000000"/>
            </w:tcBorders>
            <w:vAlign w:val="center"/>
          </w:tcPr>
          <w:p>
            <w:pPr>
              <w:pStyle w:val="TableHeading"/>
              <w:bidi w:val="0"/>
              <w:spacing w:before="0" w:after="0"/>
              <w:ind w:hanging="0" w:start="0" w:end="0"/>
              <w:rPr/>
            </w:pPr>
            <w:r>
              <w:rPr/>
              <w:t>Bloc d'impact</w:t>
            </w:r>
          </w:p>
        </w:tc>
        <w:tc>
          <w:tcPr>
            <w:tcW w:w="1876" w:type="dxa"/>
            <w:tcBorders>
              <w:top w:val="single" w:sz="2" w:space="0" w:color="000000"/>
              <w:start w:val="single" w:sz="2" w:space="0" w:color="000000"/>
              <w:bottom w:val="single" w:sz="2" w:space="0" w:color="000000"/>
              <w:end w:val="single" w:sz="2" w:space="0" w:color="000000"/>
            </w:tcBorders>
            <w:vAlign w:val="center"/>
          </w:tcPr>
          <w:p>
            <w:pPr>
              <w:pStyle w:val="TableHeading"/>
              <w:bidi w:val="0"/>
              <w:spacing w:before="0" w:after="0"/>
              <w:ind w:hanging="0" w:start="0" w:end="0"/>
              <w:rPr/>
            </w:pPr>
            <w:r>
              <w:rPr/>
              <w:t>Ce qui pèse le plus</w:t>
            </w:r>
          </w:p>
        </w:tc>
        <w:tc>
          <w:tcPr>
            <w:tcW w:w="3533" w:type="dxa"/>
            <w:tcBorders>
              <w:top w:val="single" w:sz="2" w:space="0" w:color="000000"/>
              <w:start w:val="single" w:sz="2" w:space="0" w:color="000000"/>
              <w:bottom w:val="single" w:sz="2" w:space="0" w:color="000000"/>
              <w:end w:val="single" w:sz="2" w:space="0" w:color="000000"/>
            </w:tcBorders>
            <w:vAlign w:val="center"/>
          </w:tcPr>
          <w:p>
            <w:pPr>
              <w:pStyle w:val="TableHeading"/>
              <w:bidi w:val="0"/>
              <w:spacing w:before="0" w:after="0"/>
              <w:ind w:hanging="0" w:start="0" w:end="0"/>
              <w:rPr/>
            </w:pPr>
            <w:r>
              <w:rPr/>
              <w:t>Ce qui fait varier l'empreinte</w:t>
            </w:r>
          </w:p>
        </w:tc>
        <w:tc>
          <w:tcPr>
            <w:tcW w:w="2624" w:type="dxa"/>
            <w:tcBorders>
              <w:top w:val="single" w:sz="2" w:space="0" w:color="000000"/>
              <w:start w:val="single" w:sz="2" w:space="0" w:color="000000"/>
              <w:bottom w:val="single" w:sz="2" w:space="0" w:color="000000"/>
              <w:end w:val="single" w:sz="2" w:space="0" w:color="000000"/>
            </w:tcBorders>
            <w:vAlign w:val="center"/>
          </w:tcPr>
          <w:p>
            <w:pPr>
              <w:pStyle w:val="TableHeading"/>
              <w:bidi w:val="0"/>
              <w:spacing w:before="0" w:after="0"/>
              <w:ind w:hanging="0" w:start="0" w:end="0"/>
              <w:rPr/>
            </w:pPr>
            <w:r>
              <w:rPr/>
              <w:t>Levier d'action côté entreprise</w:t>
            </w:r>
          </w:p>
        </w:tc>
      </w:tr>
      <w:tr>
        <w:trPr/>
        <w:tc>
          <w:tcPr>
            <w:tcW w:w="160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Fabrication (matériel)</w:t>
            </w:r>
          </w:p>
        </w:tc>
        <w:tc>
          <w:tcPr>
            <w:tcW w:w="1876"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Puces, serveurs, racks, matériaux</w:t>
            </w:r>
          </w:p>
        </w:tc>
        <w:tc>
          <w:tcPr>
            <w:tcW w:w="353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Durée de vie, renouvellement, intensité de la chaîne d'approvisionnement</w:t>
            </w:r>
          </w:p>
        </w:tc>
        <w:tc>
          <w:tcPr>
            <w:tcW w:w="262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Allonger la durée de vie, mutualiser, éviter la surcapacité</w:t>
            </w:r>
          </w:p>
        </w:tc>
      </w:tr>
      <w:tr>
        <w:trPr/>
        <w:tc>
          <w:tcPr>
            <w:tcW w:w="160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Entraînement (calcul)</w:t>
            </w:r>
          </w:p>
        </w:tc>
        <w:tc>
          <w:tcPr>
            <w:tcW w:w="1876"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GPU mobilisés sur une période donnée</w:t>
            </w:r>
          </w:p>
        </w:tc>
        <w:tc>
          <w:tcPr>
            <w:tcW w:w="353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Taille du modèle, durée, réglage fin, localisation et intensité carbone de l'électricité</w:t>
            </w:r>
          </w:p>
        </w:tc>
        <w:tc>
          <w:tcPr>
            <w:tcW w:w="262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Réutiliser des modèles existants, entraînements ciblés, planifier les runs</w:t>
            </w:r>
          </w:p>
        </w:tc>
      </w:tr>
      <w:tr>
        <w:trPr/>
        <w:tc>
          <w:tcPr>
            <w:tcW w:w="160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Inférence (usage)</w:t>
            </w:r>
          </w:p>
        </w:tc>
        <w:tc>
          <w:tcPr>
            <w:tcW w:w="1876"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Requêtes, contexte, latence, disponibilité 24/7</w:t>
            </w:r>
          </w:p>
        </w:tc>
        <w:tc>
          <w:tcPr>
            <w:tcW w:w="353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Volume, tokens, cache, architecture (RAG, quantification), région cloud</w:t>
            </w:r>
          </w:p>
        </w:tc>
        <w:tc>
          <w:tcPr>
            <w:tcW w:w="262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start="0" w:end="0"/>
              <w:jc w:val="start"/>
              <w:rPr/>
            </w:pPr>
            <w:r>
              <w:rPr/>
              <w:t>Réduire la demande, optimiser le coût par requête, piloter par métriques</w:t>
            </w:r>
          </w:p>
        </w:tc>
      </w:tr>
    </w:tbl>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Une augmentation rapide des émissions de CO₂</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Du côté des gaz à effet de serre, une étude américaine couvrant plus de 2 000 data centers (2023–2024) estime qu'ils ont généré plus de 105 millions de tonnes de CO₂e, soit 2,18 % des émissions totales des États-Unis sur la période. Greenpeace projette que, sans changements significatifs, les émissions globales des data centers pourraient passer de 212 Mt en 2023 à 355 Mt en 2030. Une telle trajectoire compliquerait les objectifs de neutralité carbone.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À l'échelle mondiale, les centres de données représenteraient environ 1,5 % de la consommation d'électricité (environ 415 TWh en 2024), et la consommation totale pourrait a minima plus que doubler d'ici 2030 pour atteindre environ 945 TWh, en grande partie sous l'effet de la demande liée à l'IA. La localisation compte : l'impact local peut devenir beaucoup plus significatif dans des zones de concentration d'infrastructures. En France, selon RTE, la consommation des centres de données pourrait atteindre 12 à 20 TWh en 2030 puis 19 à 28 TWh en 2035, soit près de 4 % de la consommation nationale.</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Des impacts sur la santé et la biodiversité</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Au-delà du climat, l'IA a aussi des effets sur la santé humaine et l'environnement local. L'extraction des minerais nécessaires aux puces implique souvent des impacts lourds pour les écosystèmes (destruction d'habitats, pollution des eaux, épuisement des ressources). La pression foncière et les atteintes à la biodiversité peuvent aussi augmenter lorsque l'expansion des centres de données est mal planifiée. À l'inverse, des politiques d'aménagement peuvent réduire la concentration des infrastructures et limiter les dommages environnementaux.</w:t>
      </w:r>
    </w:p>
    <w:p>
      <w:pPr>
        <w:pStyle w:val="Heading2"/>
        <w:widowControl/>
        <w:pBdr>
          <w:top w:val="single" w:sz="2" w:space="1" w:color="000000"/>
          <w:left w:val="single" w:sz="2" w:space="1" w:color="000000"/>
          <w:bottom w:val="single" w:sz="2" w:space="1" w:color="000000"/>
          <w:right w:val="single" w:sz="2" w:space="1" w:color="000000"/>
        </w:pBdr>
        <w:bidi w:val="0"/>
        <w:spacing w:lineRule="atLeast" w:line="540" w:before="0" w:after="0"/>
        <w:ind w:hanging="0" w:start="0" w:end="0"/>
        <w:jc w:val="start"/>
        <w:rPr>
          <w:rFonts w:ascii="IBM Plex Sans;ui-sans-serif;system-ui;sans-serif" w:hAnsi="IBM Plex Sans;ui-sans-serif;system-ui;sans-serif"/>
          <w:b w:val="false"/>
          <w:i w:val="false"/>
          <w:caps w:val="false"/>
          <w:smallCaps w:val="false"/>
          <w:color w:val="071A39"/>
          <w:spacing w:val="0"/>
        </w:rPr>
      </w:pPr>
      <w:bookmarkStart w:id="1" w:name="les-defis-de-la-mesure-et-de-la-transpar"/>
      <w:bookmarkEnd w:id="1"/>
      <w:r>
        <w:rPr>
          <w:rFonts w:ascii="IBM Plex Sans;ui-sans-serif;system-ui;sans-serif" w:hAnsi="IBM Plex Sans;ui-sans-serif;system-ui;sans-serif"/>
          <w:b w:val="false"/>
          <w:i w:val="false"/>
          <w:caps w:val="false"/>
          <w:smallCaps w:val="false"/>
          <w:color w:val="071A39"/>
          <w:spacing w:val="0"/>
        </w:rPr>
        <w:t>Les défis de la mesure et de la transparence</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L'évaluation au centre du problème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Mesurer l'empreinte environnementale des systèmes d'IA reste difficile, car elle dépend de nombreux composants (matériel, énergie, eau, réseaux) et de phases distinctes (fabrication, entraînement, inférence, maintenance, fin de vie). En outre, les données nécessaires sont souvent non publiques, ce qui complique la comparaison entre projets, régions cloud ou fournisseurs. Des travaux publics soulignent une opacité persistante, avec des chiffres parfois parcellaires ou contradictoires sur la part exacte de l'IA dans la consommation des centres de données. L'enjeu est donc de mettre en place un pilotage pragmatique et traçable, même avec des informations imparfaites.</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Ce que vous pouvez mesurer dès maintenant</w:t>
      </w:r>
    </w:p>
    <w:p>
      <w:pPr>
        <w:pStyle w:val="BodyText"/>
        <w:widowControl/>
        <w:numPr>
          <w:ilvl w:val="0"/>
          <w:numId w:val="3"/>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 volume de requêtes (par jour, par équipe, par application) et sa tendance.</w:t>
      </w:r>
    </w:p>
    <w:p>
      <w:pPr>
        <w:pStyle w:val="BodyText"/>
        <w:widowControl/>
        <w:numPr>
          <w:ilvl w:val="0"/>
          <w:numId w:val="3"/>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 nombre moyen de tokens (ou taille de contexte) par requête, et sa distribution.</w:t>
      </w:r>
    </w:p>
    <w:p>
      <w:pPr>
        <w:pStyle w:val="BodyText"/>
        <w:widowControl/>
        <w:numPr>
          <w:ilvl w:val="0"/>
          <w:numId w:val="3"/>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 taux de cache (réponses réutilisées) et la part de requêtes évitables.</w:t>
      </w:r>
    </w:p>
    <w:p>
      <w:pPr>
        <w:pStyle w:val="BodyText"/>
        <w:widowControl/>
        <w:numPr>
          <w:ilvl w:val="0"/>
          <w:numId w:val="3"/>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 coût par tâche (en euros) et le coût énergétique proxy (kWh estimés si le fournisseur le propose).</w:t>
      </w:r>
    </w:p>
    <w:p>
      <w:pPr>
        <w:pStyle w:val="BodyText"/>
        <w:widowControl/>
        <w:numPr>
          <w:ilvl w:val="0"/>
          <w:numId w:val="3"/>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L'intensité carbone de la région cloud quand elle est disponible, et la région d'exécution effective.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Ce qui reste souvent incertain</w:t>
      </w:r>
    </w:p>
    <w:p>
      <w:pPr>
        <w:pStyle w:val="BodyText"/>
        <w:widowControl/>
        <w:numPr>
          <w:ilvl w:val="0"/>
          <w:numId w:val="4"/>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Les données détaillées d'eau (WUE, eau consommée vs prélevée), selon les fournisseurs et les sites.</w:t>
      </w:r>
    </w:p>
    <w:p>
      <w:pPr>
        <w:pStyle w:val="BodyText"/>
        <w:widowControl/>
        <w:numPr>
          <w:ilvl w:val="0"/>
          <w:numId w:val="4"/>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Les impacts amont complets (métaux, fabrication des puces) sans ACV consolidée.</w:t>
      </w:r>
    </w:p>
    <w:p>
      <w:pPr>
        <w:pStyle w:val="BodyText"/>
        <w:widowControl/>
        <w:numPr>
          <w:ilvl w:val="0"/>
          <w:numId w:val="4"/>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La répartition exacte entre IA et autres usages au sein d'un même centre de données.</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Des initiatives émergent chez les fournisseurs pour publier des informations d'empreinte et aller vers une standardisation, par exemple via des logiques de « score » comparables. Sur le plan réglementaire, l'AI Act (février 2025) reconnaît l'enjeu environnemental, mais sans imposer à ce stade d'obligations contraignantes généralisées. Les incitations passent surtout par des codes de conduite et la normalisation.</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Effets rebond et usage intensif</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L'effet rebond constitue un risque majeur. L'IA promet d'améliorer l'efficacité, mais si ces gains conduisent à multiplier les usages, la consommation totale augmente (plus de requêtes, plus de serveurs, plus d'énergie et d'eau). En entreprise, ce phénomène apparaît souvent via des micro-usages (résumés, reformulations, variantes) qui semblent négligeables isolément, mais deviennent significatifs à grande échelle. Les assistants conversationnels et leurs versions internes rendent cette dynamique particulièrement visible.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Trois garde-fous décisionnels simples permettent de limiter l'emballement :</w:t>
      </w:r>
    </w:p>
    <w:p>
      <w:pPr>
        <w:pStyle w:val="BodyText"/>
        <w:widowControl/>
        <w:numPr>
          <w:ilvl w:val="0"/>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Plafonner</w:t>
      </w:r>
      <w:r>
        <w:rPr>
          <w:rFonts w:ascii="IBM Plex Sans;ui-sans-serif;system-ui;sans-serif" w:hAnsi="IBM Plex Sans;ui-sans-serif;system-ui;sans-serif"/>
          <w:b w:val="false"/>
          <w:i w:val="false"/>
          <w:caps w:val="false"/>
          <w:smallCaps w:val="false"/>
          <w:color w:val="071A39"/>
          <w:spacing w:val="0"/>
          <w:sz w:val="28"/>
        </w:rPr>
        <w:t> certains usages (quotas par équipe, par application, ou par type de tâche).</w:t>
      </w:r>
    </w:p>
    <w:p>
      <w:pPr>
        <w:pStyle w:val="BodyText"/>
        <w:widowControl/>
        <w:numPr>
          <w:ilvl w:val="0"/>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Prioriser</w:t>
      </w:r>
      <w:r>
        <w:rPr>
          <w:rFonts w:ascii="IBM Plex Sans;ui-sans-serif;system-ui;sans-serif" w:hAnsi="IBM Plex Sans;ui-sans-serif;system-ui;sans-serif"/>
          <w:b w:val="false"/>
          <w:i w:val="false"/>
          <w:caps w:val="false"/>
          <w:smallCaps w:val="false"/>
          <w:color w:val="071A39"/>
          <w:spacing w:val="0"/>
          <w:sz w:val="28"/>
        </w:rPr>
        <w:t> les cas où la valeur créée est la plus forte (gain de temps critique, qualité, sécurité, réduction d'erreurs).</w:t>
      </w:r>
    </w:p>
    <w:p>
      <w:pPr>
        <w:pStyle w:val="BodyText"/>
        <w:widowControl/>
        <w:numPr>
          <w:ilvl w:val="0"/>
          <w:numId w:val="5"/>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Revoir trimestriellement</w:t>
      </w:r>
      <w:r>
        <w:rPr>
          <w:rFonts w:ascii="IBM Plex Sans;ui-sans-serif;system-ui;sans-serif" w:hAnsi="IBM Plex Sans;ui-sans-serif;system-ui;sans-serif"/>
          <w:b w:val="false"/>
          <w:i w:val="false"/>
          <w:caps w:val="false"/>
          <w:smallCaps w:val="false"/>
          <w:color w:val="071A39"/>
          <w:spacing w:val="0"/>
          <w:sz w:val="28"/>
        </w:rPr>
        <w:t> les métriques (volume, tokens, coût, incidents) et désactiver les usages peu utiles.</w:t>
      </w:r>
    </w:p>
    <w:p>
      <w:pPr>
        <w:pStyle w:val="Heading2"/>
        <w:widowControl/>
        <w:pBdr>
          <w:top w:val="single" w:sz="2" w:space="1" w:color="000000"/>
          <w:left w:val="single" w:sz="2" w:space="1" w:color="000000"/>
          <w:bottom w:val="single" w:sz="2" w:space="1" w:color="000000"/>
          <w:right w:val="single" w:sz="2" w:space="1" w:color="000000"/>
        </w:pBdr>
        <w:bidi w:val="0"/>
        <w:spacing w:lineRule="atLeast" w:line="540" w:before="0" w:after="0"/>
        <w:ind w:hanging="0" w:start="0" w:end="0"/>
        <w:jc w:val="start"/>
        <w:rPr>
          <w:rFonts w:ascii="IBM Plex Sans;ui-sans-serif;system-ui;sans-serif" w:hAnsi="IBM Plex Sans;ui-sans-serif;system-ui;sans-serif"/>
          <w:b w:val="false"/>
          <w:i w:val="false"/>
          <w:caps w:val="false"/>
          <w:smallCaps w:val="false"/>
          <w:color w:val="071A39"/>
          <w:spacing w:val="0"/>
        </w:rPr>
      </w:pPr>
      <w:bookmarkStart w:id="2" w:name="l-ia-peut-elle-devenir-un-levier-pour-l-"/>
      <w:bookmarkEnd w:id="2"/>
      <w:r>
        <w:rPr>
          <w:rFonts w:ascii="IBM Plex Sans;ui-sans-serif;system-ui;sans-serif" w:hAnsi="IBM Plex Sans;ui-sans-serif;system-ui;sans-serif"/>
          <w:b w:val="false"/>
          <w:i w:val="false"/>
          <w:caps w:val="false"/>
          <w:smallCaps w:val="false"/>
          <w:color w:val="071A39"/>
          <w:spacing w:val="0"/>
        </w:rPr>
        <w:t>L'IA peut-elle devenir un levier pour l'environnement ?</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Optimisation énergétique et gestion des ressources</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Utilisée correctement, l'IA peut accompagner la transition écologique. Elle peut améliorer l'efficacité énergétique des bâtiments, optimiser les chaînes logistiques, prévoir les pics de consommation et ajuster l'énergie en temps réel. Des outils d'analyse prédictive aident aussi à anticiper les besoins et à réduire certaines consommations. Des sources publiques citent, par exemple, un potentiel de réduction de la consommation d'énergie jusqu'à 20 % dans certains usages liés aux transports.</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Aide à la décision</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L'IA peut soutenir la surveillance de l'environnement et de la biodiversité, par exemple via l'analyse d'images satellitaires pour détecter pollution ou déforestation. Pour les entreprises, cela ouvre des pistes d'innovation et de pilotage des ressources, avec un enjeu de démonstration d'impact. Pour arbitrer en B2B, il est utile de mettre en regard la valeur créée et l'empreinte (carbone, eau, matières) sur le cycle de vie, en séparant entraînement et inférence. L'objectif est d'éviter des modèles surdimensionnés pour des tâches simples, ou des cas d'usage à faible valeur qui deviennent massifs.</w:t>
      </w:r>
    </w:p>
    <w:tbl>
      <w:tblPr>
        <w:tblW w:w="9638" w:type="dxa"/>
        <w:jc w:val="start"/>
        <w:tblInd w:w="0" w:type="dxa"/>
        <w:tblLayout w:type="fixed"/>
        <w:tblCellMar>
          <w:top w:w="28" w:type="dxa"/>
          <w:start w:w="28" w:type="dxa"/>
          <w:bottom w:w="28" w:type="dxa"/>
          <w:end w:w="28" w:type="dxa"/>
        </w:tblCellMar>
      </w:tblPr>
      <w:tblGrid>
        <w:gridCol w:w="2664"/>
        <w:gridCol w:w="3799"/>
        <w:gridCol w:w="3175"/>
      </w:tblGrid>
      <w:tr>
        <w:trPr>
          <w:tblHeader w:val="true"/>
        </w:trPr>
        <w:tc>
          <w:tcPr>
            <w:tcW w:w="2664" w:type="dxa"/>
            <w:tcBorders>
              <w:top w:val="single" w:sz="2" w:space="0" w:color="000000"/>
              <w:start w:val="single" w:sz="2" w:space="0" w:color="000000"/>
              <w:bottom w:val="single" w:sz="2" w:space="0" w:color="000000"/>
              <w:end w:val="single" w:sz="2" w:space="0" w:color="000000"/>
            </w:tcBorders>
            <w:vAlign w:val="center"/>
          </w:tcPr>
          <w:p>
            <w:pPr>
              <w:pStyle w:val="TableHeading"/>
              <w:bidi w:val="0"/>
              <w:spacing w:before="0" w:after="0"/>
              <w:ind w:hanging="0" w:start="0" w:end="0"/>
              <w:rPr/>
            </w:pPr>
            <w:r>
              <w:rPr/>
              <w:t>Question d'arbitrage</w:t>
            </w:r>
          </w:p>
        </w:tc>
        <w:tc>
          <w:tcPr>
            <w:tcW w:w="3799" w:type="dxa"/>
            <w:tcBorders>
              <w:top w:val="single" w:sz="2" w:space="0" w:color="000000"/>
              <w:start w:val="single" w:sz="2" w:space="0" w:color="000000"/>
              <w:bottom w:val="single" w:sz="2" w:space="0" w:color="000000"/>
              <w:end w:val="single" w:sz="2" w:space="0" w:color="000000"/>
            </w:tcBorders>
            <w:vAlign w:val="center"/>
          </w:tcPr>
          <w:p>
            <w:pPr>
              <w:pStyle w:val="TableHeading"/>
              <w:bidi w:val="0"/>
              <w:spacing w:before="0" w:after="0"/>
              <w:ind w:hanging="0" w:start="0" w:end="0"/>
              <w:rPr/>
            </w:pPr>
            <w:r>
              <w:rPr/>
              <w:t>Indicateur concret</w:t>
            </w:r>
          </w:p>
        </w:tc>
        <w:tc>
          <w:tcPr>
            <w:tcW w:w="3175" w:type="dxa"/>
            <w:tcBorders>
              <w:top w:val="single" w:sz="2" w:space="0" w:color="000000"/>
              <w:start w:val="single" w:sz="2" w:space="0" w:color="000000"/>
              <w:bottom w:val="single" w:sz="2" w:space="0" w:color="000000"/>
              <w:end w:val="single" w:sz="2" w:space="0" w:color="000000"/>
            </w:tcBorders>
            <w:vAlign w:val="center"/>
          </w:tcPr>
          <w:p>
            <w:pPr>
              <w:pStyle w:val="TableHeading"/>
              <w:bidi w:val="0"/>
              <w:spacing w:before="0" w:after="0"/>
              <w:ind w:hanging="0" w:start="0" w:end="0"/>
              <w:rPr/>
            </w:pPr>
            <w:r>
              <w:rPr/>
              <w:t>Décision typique</w:t>
            </w:r>
          </w:p>
        </w:tc>
      </w:tr>
      <w:tr>
        <w:trPr/>
        <w:tc>
          <w:tcPr>
            <w:tcW w:w="26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La tâche nécessite-t-elle vraiment de l'IA ?</w:t>
            </w:r>
          </w:p>
        </w:tc>
        <w:tc>
          <w:tcPr>
            <w:tcW w:w="3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Qualité vs solution non IA (règles, recherche, automatisation classique)</w:t>
            </w:r>
          </w:p>
        </w:tc>
        <w:tc>
          <w:tcPr>
            <w:tcW w:w="317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Remplacer par une solution plus légère si l'écart est faible</w:t>
            </w:r>
          </w:p>
        </w:tc>
      </w:tr>
      <w:tr>
        <w:trPr/>
        <w:tc>
          <w:tcPr>
            <w:tcW w:w="26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Le volume d'usage est-il maîtrisé ?</w:t>
            </w:r>
          </w:p>
        </w:tc>
        <w:tc>
          <w:tcPr>
            <w:tcW w:w="3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Requêtes/mois, tokens/requête, ratio d'utilisateurs actifs</w:t>
            </w:r>
          </w:p>
        </w:tc>
        <w:tc>
          <w:tcPr>
            <w:tcW w:w="317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Fixer des quotas, simplifier le parcours, mettre du cache</w:t>
            </w:r>
          </w:p>
        </w:tc>
      </w:tr>
      <w:tr>
        <w:trPr/>
        <w:tc>
          <w:tcPr>
            <w:tcW w:w="26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Le modèle est-il dimensionné au besoin ?</w:t>
            </w:r>
          </w:p>
        </w:tc>
        <w:tc>
          <w:tcPr>
            <w:tcW w:w="3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Performance utile (taux de résolution, NPS, exactitude) vs taille du modèle</w:t>
            </w:r>
          </w:p>
        </w:tc>
        <w:tc>
          <w:tcPr>
            <w:tcW w:w="317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Tester un modèle plus petit ou spécialisé</w:t>
            </w:r>
          </w:p>
        </w:tc>
      </w:tr>
      <w:tr>
        <w:trPr/>
        <w:tc>
          <w:tcPr>
            <w:tcW w:w="26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Où l'IA s'exécute-t-elle ?</w:t>
            </w:r>
          </w:p>
        </w:tc>
        <w:tc>
          <w:tcPr>
            <w:tcW w:w="379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hanging="0" w:start="0" w:end="0"/>
              <w:jc w:val="start"/>
              <w:rPr/>
            </w:pPr>
            <w:r>
              <w:rPr/>
              <w:t>Région cloud, intensité carbone, PUE/WUE quand disponible</w:t>
            </w:r>
          </w:p>
        </w:tc>
        <w:tc>
          <w:tcPr>
            <w:tcW w:w="317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before="0" w:after="0"/>
              <w:ind w:start="0" w:end="0"/>
              <w:jc w:val="start"/>
              <w:rPr/>
            </w:pPr>
            <w:r>
              <w:rPr/>
              <w:t>Changer de région ou de fournisseur si l'écart est significatif</w:t>
            </w:r>
          </w:p>
        </w:tc>
      </w:tr>
    </w:tbl>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Vers une IA responsable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La notion d'« IA responsable » progresse, avec l'objectif de limiter la consommation d'énergie, d'eau et de ressources. Les bonnes pratiques consistent notamment à privilégier des data centers alimentés par des énergies renouvelables, à prolonger la durée de vie des serveurs et à limiter les requêtes inutiles. Cette approche rejoint l'idée d'une IA « frugale », qui questionne le niveau de performance nécessaire et adapte l'architecture (modèles plus petits, compression, quantification). Elle se traduit aussi par des choix d'usage : limiter le contexte et réutiliser des résultats quand c'est possible.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Sur l'eau, un point clé consiste à demander des informations exploitables au fournisseur (si disponibles), plutôt que de se contenter d'estimations globales. Exemples d'intitulés à solliciter dans un reporting ou un questionnaire fournisseur :</w:t>
      </w:r>
    </w:p>
    <w:p>
      <w:pPr>
        <w:pStyle w:val="BodyText"/>
        <w:widowControl/>
        <w:numPr>
          <w:ilvl w:val="0"/>
          <w:numId w:val="6"/>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WUE (Water Usage Effectiveness) du site ou moyenne pondérée (si publiée).</w:t>
      </w:r>
    </w:p>
    <w:p>
      <w:pPr>
        <w:pStyle w:val="BodyText"/>
        <w:widowControl/>
        <w:numPr>
          <w:ilvl w:val="0"/>
          <w:numId w:val="6"/>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Fonts w:ascii="IBM Plex Sans;ui-sans-serif;system-ui;sans-serif" w:hAnsi="IBM Plex Sans;ui-sans-serif;system-ui;sans-serif"/>
          <w:b w:val="false"/>
          <w:i w:val="false"/>
          <w:caps w:val="false"/>
          <w:smallCaps w:val="false"/>
          <w:color w:val="071A39"/>
          <w:spacing w:val="0"/>
          <w:sz w:val="28"/>
        </w:rPr>
        <w:t>Volumes d'eau </w:t>
      </w:r>
      <w:r>
        <w:rPr>
          <w:rStyle w:val="Emphasis"/>
          <w:rFonts w:ascii="IBM Plex Sans;ui-sans-serif;system-ui;sans-serif" w:hAnsi="IBM Plex Sans;ui-sans-serif;system-ui;sans-serif"/>
          <w:b w:val="false"/>
          <w:i w:val="false"/>
          <w:caps w:val="false"/>
          <w:smallCaps w:val="false"/>
          <w:color w:val="071A39"/>
          <w:spacing w:val="0"/>
          <w:sz w:val="28"/>
        </w:rPr>
        <w:t>prélevée</w:t>
      </w:r>
      <w:r>
        <w:rPr>
          <w:rFonts w:ascii="IBM Plex Sans;ui-sans-serif;system-ui;sans-serif" w:hAnsi="IBM Plex Sans;ui-sans-serif;system-ui;sans-serif"/>
          <w:b w:val="false"/>
          <w:i w:val="false"/>
          <w:caps w:val="false"/>
          <w:smallCaps w:val="false"/>
          <w:color w:val="071A39"/>
          <w:spacing w:val="0"/>
          <w:sz w:val="28"/>
        </w:rPr>
        <w:t> et </w:t>
      </w:r>
      <w:r>
        <w:rPr>
          <w:rStyle w:val="Emphasis"/>
          <w:rFonts w:ascii="IBM Plex Sans;ui-sans-serif;system-ui;sans-serif" w:hAnsi="IBM Plex Sans;ui-sans-serif;system-ui;sans-serif"/>
          <w:b w:val="false"/>
          <w:i w:val="false"/>
          <w:caps w:val="false"/>
          <w:smallCaps w:val="false"/>
          <w:color w:val="071A39"/>
          <w:spacing w:val="0"/>
          <w:sz w:val="28"/>
        </w:rPr>
        <w:t>consommée</w:t>
      </w:r>
      <w:r>
        <w:rPr>
          <w:rFonts w:ascii="IBM Plex Sans;ui-sans-serif;system-ui;sans-serif" w:hAnsi="IBM Plex Sans;ui-sans-serif;system-ui;sans-serif"/>
          <w:b w:val="false"/>
          <w:i w:val="false"/>
          <w:caps w:val="false"/>
          <w:smallCaps w:val="false"/>
          <w:color w:val="071A39"/>
          <w:spacing w:val="0"/>
          <w:sz w:val="28"/>
        </w:rPr>
        <w:t> (sur site), avec méthode de calcul.</w:t>
      </w:r>
    </w:p>
    <w:p>
      <w:pPr>
        <w:pStyle w:val="BodyText"/>
        <w:widowControl/>
        <w:numPr>
          <w:ilvl w:val="0"/>
          <w:numId w:val="6"/>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Part d'eau potable vs eau non potable / recyclée.</w:t>
      </w:r>
    </w:p>
    <w:p>
      <w:pPr>
        <w:pStyle w:val="BodyText"/>
        <w:widowControl/>
        <w:numPr>
          <w:ilvl w:val="0"/>
          <w:numId w:val="6"/>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Région d'exécution réelle (pour relier eau et mix électrique local).</w:t>
      </w:r>
    </w:p>
    <w:p>
      <w:pPr>
        <w:pStyle w:val="BodyText"/>
        <w:widowControl/>
        <w:numPr>
          <w:ilvl w:val="0"/>
          <w:numId w:val="6"/>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Politique de gestion en période de stress hydrique (restrictions, priorités, plans de continuité).</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Enjeux pour les entreprises françaises et opportunités</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Pour les start-ups, PME, ETI et grands groupes français, les enjeux environnementaux deviennent stratégiques, à la fois pour la responsabilité, l'image et la performance. Adopter une IA responsable peut devenir un avantage compétitif, tandis qu'ignorer ces sujets expose à des risques réglementaires, réputationnels ou financiers. Les start-ups et PME peuvent aussi développer des services IA « verts » (optimisation énergétique, gestion des ressources) en intégrant des principes de sobriété dès la conception. À l'échelle des grands groupes, les leviers portent davantage sur le choix des data centers, l'efficacité des modèles et le recyclage des équipements.</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La frugalité devient également un facteur de différenciation concurrentielle, à condition de disposer d'informations fiables et de standards comparables. Pour suivre ces enjeux, certaines analyses publiques, dont celle de l'Autorité de la concurrence sur l'impact énergétique et environnemental de l'IA, apportent un cadre utile. Elles aident à situer les risques, mais aussi les opportunités d'innovation et de compétitivité.</w:t>
      </w:r>
    </w:p>
    <w:p>
      <w:pPr>
        <w:pStyle w:val="Heading2"/>
        <w:widowControl/>
        <w:pBdr>
          <w:top w:val="single" w:sz="2" w:space="1" w:color="000000"/>
          <w:left w:val="single" w:sz="2" w:space="1" w:color="000000"/>
          <w:bottom w:val="single" w:sz="2" w:space="1" w:color="000000"/>
          <w:right w:val="single" w:sz="2" w:space="1" w:color="000000"/>
        </w:pBdr>
        <w:bidi w:val="0"/>
        <w:spacing w:lineRule="atLeast" w:line="540" w:before="0" w:after="0"/>
        <w:ind w:hanging="0" w:start="0" w:end="0"/>
        <w:jc w:val="start"/>
        <w:rPr>
          <w:rFonts w:ascii="IBM Plex Sans;ui-sans-serif;system-ui;sans-serif" w:hAnsi="IBM Plex Sans;ui-sans-serif;system-ui;sans-serif"/>
          <w:b w:val="false"/>
          <w:i w:val="false"/>
          <w:caps w:val="false"/>
          <w:smallCaps w:val="false"/>
          <w:color w:val="071A39"/>
          <w:spacing w:val="0"/>
        </w:rPr>
      </w:pPr>
      <w:bookmarkStart w:id="3" w:name="recommandations-pour-une-ia-durable"/>
      <w:bookmarkEnd w:id="3"/>
      <w:r>
        <w:rPr>
          <w:rFonts w:ascii="IBM Plex Sans;ui-sans-serif;system-ui;sans-serif" w:hAnsi="IBM Plex Sans;ui-sans-serif;system-ui;sans-serif"/>
          <w:b w:val="false"/>
          <w:i w:val="false"/>
          <w:caps w:val="false"/>
          <w:smallCaps w:val="false"/>
          <w:color w:val="071A39"/>
          <w:spacing w:val="0"/>
        </w:rPr>
        <w:t>Recommandations pour une IA durable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Plusieurs leviers permettent de rendre les projets IA plus compatibles avec la transition écologique. Mettre en place une Analyse du Cycle de Vie (ACV) aide à mesurer les impacts sur le climat, l'eau, les ressources et la pollution. Il est également pertinent de privilégier des data centers alimentés par des énergies renouvelables et de choisir des modèles adaptés aux besoins pour éviter la surcapacité. Enfin, limiter les requêtes et renforcer l'efficacité logicielle réduit la demande énergétique globale.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Allonger la durée de vie des équipements constitue un enjeu majeur, car cela réduit la pression sur les matières et les déchets électroniques. Le reporting environnemental (données d'énergie, d'eau et de ressources) facilite aussi la comparaison et la progression. Pour passer de l'intention à l'exécution, une checklist « IA frugale » peut structurer les décisions en distinguant demande, coût par requête, infrastructure et matériel.</w:t>
      </w:r>
    </w:p>
    <w:p>
      <w:pPr>
        <w:pStyle w:val="BodyText"/>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Réduire la demande</w:t>
      </w:r>
      <w:r>
        <w:rPr>
          <w:rFonts w:ascii="IBM Plex Sans;ui-sans-serif;system-ui;sans-serif" w:hAnsi="IBM Plex Sans;ui-sans-serif;system-ui;sans-serif"/>
          <w:b w:val="false"/>
          <w:i w:val="false"/>
          <w:caps w:val="false"/>
          <w:smallCaps w:val="false"/>
          <w:color w:val="071A39"/>
          <w:spacing w:val="0"/>
          <w:sz w:val="28"/>
        </w:rPr>
        <w:t> : supprimer les cas d'usage « gadget », imposer une validation humaine pour les tâches non critiques, mutualiser un assistant unique plutôt que plusieurs.</w:t>
      </w:r>
    </w:p>
    <w:p>
      <w:pPr>
        <w:pStyle w:val="BodyText"/>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Réduire le coût par requête</w:t>
      </w:r>
      <w:r>
        <w:rPr>
          <w:rFonts w:ascii="IBM Plex Sans;ui-sans-serif;system-ui;sans-serif" w:hAnsi="IBM Plex Sans;ui-sans-serif;system-ui;sans-serif"/>
          <w:b w:val="false"/>
          <w:i w:val="false"/>
          <w:caps w:val="false"/>
          <w:smallCaps w:val="false"/>
          <w:color w:val="071A39"/>
          <w:spacing w:val="0"/>
          <w:sz w:val="28"/>
        </w:rPr>
        <w:t> : choisir un modèle plus petit quand il suffit, limiter le contexte, activer le cache, utiliser du RAG (recherche augmentée) pour éviter d'« injecter » trop de documents à chaque requête.</w:t>
      </w:r>
    </w:p>
    <w:p>
      <w:pPr>
        <w:pStyle w:val="BodyText"/>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Verdir l'infrastructure</w:t>
      </w:r>
      <w:r>
        <w:rPr>
          <w:rFonts w:ascii="IBM Plex Sans;ui-sans-serif;system-ui;sans-serif" w:hAnsi="IBM Plex Sans;ui-sans-serif;system-ui;sans-serif"/>
          <w:b w:val="false"/>
          <w:i w:val="false"/>
          <w:caps w:val="false"/>
          <w:smallCaps w:val="false"/>
          <w:color w:val="071A39"/>
          <w:spacing w:val="0"/>
          <w:sz w:val="28"/>
        </w:rPr>
        <w:t> : sélectionner une région cloud moins carbonée quand c'est possible, demander PUE/WUE, suivre l'évolution de l'intensité carbone si l'indicateur est publié.</w:t>
      </w:r>
    </w:p>
    <w:p>
      <w:pPr>
        <w:pStyle w:val="BodyText"/>
        <w:widowControl/>
        <w:numPr>
          <w:ilvl w:val="0"/>
          <w:numId w:val="7"/>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pPr>
      <w:r>
        <w:rPr>
          <w:rStyle w:val="Strong"/>
          <w:rFonts w:ascii="IBM Plex Sans;ui-sans-serif;system-ui;sans-serif" w:hAnsi="IBM Plex Sans;ui-sans-serif;system-ui;sans-serif"/>
          <w:b/>
          <w:i w:val="false"/>
          <w:caps w:val="false"/>
          <w:smallCaps w:val="false"/>
          <w:color w:val="071A39"/>
          <w:spacing w:val="0"/>
          <w:sz w:val="28"/>
        </w:rPr>
        <w:t>Allonger la durée de vie matériel</w:t>
      </w:r>
      <w:r>
        <w:rPr>
          <w:rFonts w:ascii="IBM Plex Sans;ui-sans-serif;system-ui;sans-serif" w:hAnsi="IBM Plex Sans;ui-sans-serif;system-ui;sans-serif"/>
          <w:b w:val="false"/>
          <w:i w:val="false"/>
          <w:caps w:val="false"/>
          <w:smallCaps w:val="false"/>
          <w:color w:val="071A39"/>
          <w:spacing w:val="0"/>
          <w:sz w:val="28"/>
        </w:rPr>
        <w:t> : éviter les migrations non nécessaires, optimiser l'utilisation des ressources, planifier les renouvellements, privilégier la mutualisation plutôt que le suréquipement.</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Mini-cas chiffré (PME) : un assistant interne utilisé par 200 personnes, avec 10 requêtes par jour ouvré et 300 jours par an, représente 600 000 requêtes/an. À volume élevé, l'inférence peut devenir le poste dominant, même si vous n'entraînez aucun modèle en interne. Les leviers les plus efficaces sont alors la réduction des requêtes évitables (cache, bonnes pratiques) et la baisse de la taille moyenne des requêtes (contexte).</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Enfin, cinq questions de gouvernance à poser avant de déployer un service d'IA :</w:t>
      </w:r>
    </w:p>
    <w:p>
      <w:pPr>
        <w:pStyle w:val="BodyText"/>
        <w:widowControl/>
        <w:numPr>
          <w:ilvl w:val="0"/>
          <w:numId w:val="8"/>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Quel problème métier résout-on, et quelle alternative plus sobre a été écartée, avec quelles preuves ?</w:t>
      </w:r>
    </w:p>
    <w:p>
      <w:pPr>
        <w:pStyle w:val="BodyText"/>
        <w:widowControl/>
        <w:numPr>
          <w:ilvl w:val="0"/>
          <w:numId w:val="8"/>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Quelles métriques d'usage et de coût (requêtes, tokens, cache, euros) pilote-t-on, et à quelle fréquence ?</w:t>
      </w:r>
    </w:p>
    <w:p>
      <w:pPr>
        <w:pStyle w:val="BodyText"/>
        <w:widowControl/>
        <w:numPr>
          <w:ilvl w:val="0"/>
          <w:numId w:val="8"/>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Quel niveau de performance est réellement nécessaire, et quel modèle minimal permet de l'atteindre ?</w:t>
      </w:r>
    </w:p>
    <w:p>
      <w:pPr>
        <w:pStyle w:val="BodyText"/>
        <w:widowControl/>
        <w:numPr>
          <w:ilvl w:val="0"/>
          <w:numId w:val="8"/>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Quelles exigences demandons-nous au fournisseur sur énergie, eau et transparence (PUE/WUE, région, méthodes) ?</w:t>
      </w:r>
    </w:p>
    <w:p>
      <w:pPr>
        <w:pStyle w:val="BodyText"/>
        <w:widowControl/>
        <w:numPr>
          <w:ilvl w:val="0"/>
          <w:numId w:val="8"/>
        </w:numPr>
        <w:pBdr>
          <w:top w:val="single" w:sz="2" w:space="1" w:color="000000"/>
          <w:left w:val="single" w:sz="2" w:space="1" w:color="000000"/>
          <w:bottom w:val="single" w:sz="2" w:space="1" w:color="000000"/>
          <w:right w:val="single" w:sz="2" w:space="1" w:color="000000"/>
        </w:pBdr>
        <w:tabs>
          <w:tab w:val="clear" w:pos="709"/>
          <w:tab w:val="left" w:pos="0" w:leader="none"/>
        </w:tabs>
        <w:bidi w:val="0"/>
        <w:spacing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Quels garde-fous contre l'effet rebond (quotas, priorisation, revues trimestrielles) met-on en place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Pour approfondir les enjeux de réglementation et de transparence, l'analyse de KPMG sur l'IA, l'environnement et le cadre réglementaire rappelle la montée en puissance des exigences (devoir de vigilance, loi Pacte, Pacte vert européen, CSRD) et la place encore incitative de l'AI Act sur ce volet.</w:t>
      </w:r>
    </w:p>
    <w:p>
      <w:pPr>
        <w:pStyle w:val="Heading2"/>
        <w:widowControl/>
        <w:pBdr>
          <w:top w:val="single" w:sz="2" w:space="1" w:color="000000"/>
          <w:left w:val="single" w:sz="2" w:space="1" w:color="000000"/>
          <w:bottom w:val="single" w:sz="2" w:space="1" w:color="000000"/>
          <w:right w:val="single" w:sz="2" w:space="1" w:color="000000"/>
        </w:pBdr>
        <w:bidi w:val="0"/>
        <w:spacing w:lineRule="atLeast" w:line="540" w:before="0" w:after="0"/>
        <w:ind w:hanging="0" w:start="0" w:end="0"/>
        <w:jc w:val="start"/>
        <w:rPr>
          <w:rFonts w:ascii="IBM Plex Sans;ui-sans-serif;system-ui;sans-serif" w:hAnsi="IBM Plex Sans;ui-sans-serif;system-ui;sans-serif"/>
          <w:b w:val="false"/>
          <w:i w:val="false"/>
          <w:caps w:val="false"/>
          <w:smallCaps w:val="false"/>
          <w:color w:val="071A39"/>
          <w:spacing w:val="0"/>
        </w:rPr>
      </w:pPr>
      <w:bookmarkStart w:id="4" w:name="faq-questions-cles-sur-l-impact-de-l-ia-"/>
      <w:bookmarkEnd w:id="4"/>
      <w:r>
        <w:rPr>
          <w:rFonts w:ascii="IBM Plex Sans;ui-sans-serif;system-ui;sans-serif" w:hAnsi="IBM Plex Sans;ui-sans-serif;system-ui;sans-serif"/>
          <w:b w:val="false"/>
          <w:i w:val="false"/>
          <w:caps w:val="false"/>
          <w:smallCaps w:val="false"/>
          <w:color w:val="071A39"/>
          <w:spacing w:val="0"/>
        </w:rPr>
        <w:t>FAQ : questions clés sur l'impact de l'IA sur l'environnement</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Quel est l'impact de l'intelligence artificielle sur l'environnement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L'IA a une empreinte environnementale croissante, car elle repose sur du calcul intensif (GPU), des centres de données et une chaîne matérielle (puces, serveurs) exigeante en ressources. Ses impacts principaux concernent l'électricité (et donc les émissions associées selon le mix), l'eau utilisée pour le refroidissement et l'extraction de matières nécessaires à la fabrication des équipements.</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Quel est l'impact réel de l'IA sur l'environnement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L'impact dépend du cas d'usage et de l'échelle. Un modèle déjà entraîné peut avoir un impact majoritaire en phase d'inférence si le volume de requêtes est élevé, tandis qu'un entraînement ponctuel peut être significatif mais « amorti » s'il sert à de nombreux usages. La région cloud, l'efficacité du refroidissement et la durée de vie du matériel font aussi varier les ordres de grandeur.</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L'IA est-elle néfaste pour l'environnement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Elle peut l'être si elle entraîne une hausse non maîtrisée des usages, une surconsommation d'énergie et d'eau, ou un renouvellement accéléré du matériel. Mais elle peut aussi contribuer à l'écologie lorsqu'elle améliore l'efficacité énergétique, la gestion des ressources ou la maintenance des équipements. La question clé consiste à vérifier que la valeur créée justifie l'empreinte et que l'usage reste piloté.</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Comment l'IA détruit-elle la nature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L'IA peut contribuer indirectement à la dégradation des écosystèmes via l'extraction de minerais nécessaires aux puces, la pression sur l'eau et l'énergie dans certaines zones, et les impacts locaux des infrastructures (foncier, biodiversité). Elle peut également amplifier des consommations si l'effet rebond se déclenche et que l'on multiplie les usages sans bénéfice net.</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Pourquoi l'entraînement des modèles d'IA consomme-t-il autant d'énergie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L'entraînement mobilise de nombreux GPU pendant des durées parfois longues pour ajuster des milliards de paramètres, ce qui requiert une puissance électrique élevée. À cela s'ajoutent la dissipation thermique et le refroidissement, qui augmentent la consommation totale. La taille du modèle, la durée d'entraînement et l'efficacité de l'infrastructure restent les principaux facteurs de variation.</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Pourquoi l'IA consomme-t-elle autant d'électricité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Parce que les calculs (entraînement et inférence) reposent sur des accélérateurs spécialisés très puissants, hébergés dans des centres de données qui fonctionnent en continu. Les besoins du refroidissement, les pertes liées à l'alimentation électrique et les contraintes de redondance contribuent aussi à la facture énergétique.</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Pourquoi l'IA consomme-t-elle beaucoup d'eau dans les data centers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Les data centers utilisent de l'eau pour évacuer la chaleur produite par les serveurs, notamment via des systèmes évaporatifs, et pour d'autres usages techniques. Il faut aussi compter une part d'eau indirecte, liée à la production d'électricité consommée. L'impact exact dépend du site, du climat, de la technologie de refroidissement et du mix électrique.</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Quelle est l'empreinte carbone de l'entraînement des modèles d'IA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Elle varie fortement selon la taille du modèle, la durée d'entraînement, le nombre de GPU et l'intensité carbone de l'électricité utilisée. Sans transparence détaillée des fournisseurs, il est difficile de donner un chiffre unique fiable. En entreprise, l'approche la plus robuste consiste à raisonner en fourchettes, à documenter les hypothèses et à privilégier la réutilisation de modèles existants quand c'est possible.</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Quels sont les principaux postes d'empreinte carbone de l'IA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Les postes majeurs se situent généralement dans la consommation d'électricité des centres de données (serveurs et refroidissement) et dans la fabrication des équipements (semi-conducteurs, serveurs, matériaux), en particulier via les émissions de la chaîne d'approvisionnement (scope 3). La part respective dépend de la durée de vie du matériel et de l'intensité d'usage (inférence) du service.</w:t>
      </w:r>
    </w:p>
    <w:p>
      <w:pPr>
        <w:pStyle w:val="Heading3"/>
        <w:widowControl/>
        <w:pBdr>
          <w:top w:val="single" w:sz="2" w:space="1" w:color="000000"/>
          <w:left w:val="single" w:sz="2" w:space="1" w:color="000000"/>
          <w:bottom w:val="single" w:sz="2" w:space="1" w:color="000000"/>
          <w:right w:val="single" w:sz="2" w:space="1" w:color="000000"/>
        </w:pBdr>
        <w:bidi w:val="0"/>
        <w:spacing w:lineRule="atLeast" w:line="420" w:before="0" w:after="0"/>
        <w:ind w:hanging="0" w:start="0" w:end="0"/>
        <w:jc w:val="start"/>
        <w:rPr>
          <w:rFonts w:ascii="IBM Plex Sans;ui-sans-serif;system-ui;sans-serif" w:hAnsi="IBM Plex Sans;ui-sans-serif;system-ui;sans-serif"/>
          <w:b w:val="false"/>
          <w:i w:val="false"/>
          <w:caps w:val="false"/>
          <w:smallCaps w:val="false"/>
          <w:color w:val="071A39"/>
          <w:spacing w:val="0"/>
        </w:rPr>
      </w:pPr>
      <w:r>
        <w:rPr>
          <w:rFonts w:ascii="IBM Plex Sans;ui-sans-serif;system-ui;sans-serif" w:hAnsi="IBM Plex Sans;ui-sans-serif;system-ui;sans-serif"/>
          <w:b w:val="false"/>
          <w:i w:val="false"/>
          <w:caps w:val="false"/>
          <w:smallCaps w:val="false"/>
          <w:color w:val="071A39"/>
          <w:spacing w:val="0"/>
        </w:rPr>
        <w:t>Quel est l'impact environnemental de l'inférence et de l'usage quotidien des IA ?</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L'inférence correspond à l'usage quotidien (assistants, chat, génération de contenus, recherche interne). Si le volume de requêtes est élevé, elle peut dépasser l'impact de l'entraînement, car elle se répète en continu sur des mois ou des années. Les leviers principaux consistent à réduire les requêtes inutiles, à limiter le contexte, à mettre du cache et à choisir des modèles adaptés au besoin.</w:t>
      </w:r>
    </w:p>
    <w:p>
      <w:pPr>
        <w:pStyle w:val="Heading2"/>
        <w:widowControl/>
        <w:pBdr>
          <w:top w:val="single" w:sz="2" w:space="1" w:color="000000"/>
          <w:left w:val="single" w:sz="2" w:space="1" w:color="000000"/>
          <w:bottom w:val="single" w:sz="2" w:space="1" w:color="000000"/>
          <w:right w:val="single" w:sz="2" w:space="1" w:color="000000"/>
        </w:pBdr>
        <w:bidi w:val="0"/>
        <w:spacing w:lineRule="atLeast" w:line="540" w:before="0" w:after="0"/>
        <w:ind w:hanging="0" w:start="0" w:end="0"/>
        <w:jc w:val="start"/>
        <w:rPr>
          <w:rFonts w:ascii="IBM Plex Sans;ui-sans-serif;system-ui;sans-serif" w:hAnsi="IBM Plex Sans;ui-sans-serif;system-ui;sans-serif"/>
          <w:b w:val="false"/>
          <w:i w:val="false"/>
          <w:caps w:val="false"/>
          <w:smallCaps w:val="false"/>
          <w:color w:val="071A39"/>
          <w:spacing w:val="0"/>
        </w:rPr>
      </w:pPr>
      <w:bookmarkStart w:id="5" w:name="conclusion"/>
      <w:bookmarkEnd w:id="5"/>
      <w:r>
        <w:rPr>
          <w:rFonts w:ascii="IBM Plex Sans;ui-sans-serif;system-ui;sans-serif" w:hAnsi="IBM Plex Sans;ui-sans-serif;system-ui;sans-serif"/>
          <w:b w:val="false"/>
          <w:i w:val="false"/>
          <w:caps w:val="false"/>
          <w:smallCaps w:val="false"/>
          <w:color w:val="071A39"/>
          <w:spacing w:val="0"/>
        </w:rPr>
        <w:t>Conclusion</w:t>
      </w:r>
    </w:p>
    <w:p>
      <w:pPr>
        <w:pStyle w:val="BodyText"/>
        <w:widowControl/>
        <w:pBdr>
          <w:top w:val="single" w:sz="2" w:space="1" w:color="000000"/>
          <w:left w:val="single" w:sz="2" w:space="1" w:color="000000"/>
          <w:bottom w:val="single" w:sz="2" w:space="1" w:color="000000"/>
          <w:right w:val="single" w:sz="2" w:space="1" w:color="000000"/>
        </w:pBdr>
        <w:bidi w:val="0"/>
        <w:spacing w:lineRule="atLeast" w:line="300" w:before="0" w:after="0"/>
        <w:ind w:hanging="0" w:start="0" w:end="0"/>
        <w:jc w:val="start"/>
        <w:rPr>
          <w:rFonts w:ascii="IBM Plex Sans;ui-sans-serif;system-ui;sans-serif" w:hAnsi="IBM Plex Sans;ui-sans-serif;system-ui;sans-serif"/>
          <w:b w:val="false"/>
          <w:i w:val="false"/>
          <w:caps w:val="false"/>
          <w:smallCaps w:val="false"/>
          <w:color w:val="071A39"/>
          <w:spacing w:val="0"/>
          <w:sz w:val="28"/>
        </w:rPr>
      </w:pPr>
      <w:r>
        <w:rPr>
          <w:rFonts w:ascii="IBM Plex Sans;ui-sans-serif;system-ui;sans-serif" w:hAnsi="IBM Plex Sans;ui-sans-serif;system-ui;sans-serif"/>
          <w:b w:val="false"/>
          <w:i w:val="false"/>
          <w:caps w:val="false"/>
          <w:smallCaps w:val="false"/>
          <w:color w:val="071A39"/>
          <w:spacing w:val="0"/>
          <w:sz w:val="28"/>
        </w:rPr>
        <w:t>L'intelligence artificielle constitue un défi environnemental, entre consommation d'énergie et d'eau, pression sur les ressources et impacts de la chaîne matérielle. Pour autant, bien conçue et bien pilotée, elle peut aussi servir la transition écologique en améliorant l'efficacité énergétique et la gestion des ressources. L'enjeu est de faire des arbitrages explicites, basés sur la valeur et l'empreinte, plutôt que de déployer l'IA par défaut. En séparant fabrication, entraînement et inférence, et en pilotant quelques indicateurs simples, les entreprises peuvent réduire l'empreinte sans perdre la valeur business.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IBM Plex Sans">
    <w:altName w:val="ui-sans-serif"/>
    <w:charset w:val="00" w:characterSet="windows-1252"/>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gmedia.bpifrance.fr/intelligence-artificielle"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LibreOffice/26.2.0.3$Windows_X86_64 LibreOffice_project/620$Build-3</Application>
  <AppVersion>15.0000</AppVersion>
  <Pages>9</Pages>
  <Words>3342</Words>
  <Characters>19358</Characters>
  <CharactersWithSpaces>22541</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2026-04-14T15:33:59Z</dcterms:created>
  <dc:creator>Telvin Warner</dc:creator>
  <dc:description/>
  <dc:language>fr-FR</dc:language>
  <cp:lastModifiedBy>Telvin Warner</cp:lastModifiedBy>
  <dcterms:modified xsi:type="dcterms:W3CDTF">2026-04-14T15:38:14Z</dcterms:modified>
  <cp:revision>1</cp:revision>
  <dc:subject/>
  <dc:title/>
</cp:coreProperties>
</file>