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1628"/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3515"/>
      </w:tblGrid>
      <w:tr>
        <w:tc>
          <w:tcPr>
            <w:tcW w:type="dxa" w:w="7370"/>
            <w:shd w:val="clear" w:color="auto" w:fill="0A1628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>
            <w:r>
              <w:rPr>
                <w:rFonts w:ascii="Calibri" w:hAnsi="Calibri" w:cs="Calibri"/>
                <w:b/>
                <w:i w:val="0"/>
                <w:color w:val="C9A84C"/>
                <w:sz w:val="44"/>
              </w:rPr>
              <w:t>DIFARE NEXUS</w:t>
            </w:r>
            <w:r>
              <w:rPr>
                <w:rFonts w:ascii="Calibri" w:hAnsi="Calibri" w:cs="Calibri"/>
                <w:b w:val="0"/>
                <w:i w:val="0"/>
                <w:color w:val="F0C97A"/>
                <w:sz w:val="28"/>
              </w:rPr>
              <w:t xml:space="preserve"> v2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i w:val="0"/>
                <w:color w:val="F8FAFF"/>
                <w:sz w:val="20"/>
              </w:rPr>
              <w:t>Plataforma multi-agente de recuperación comercial · Genomma Lab Ecuador</w:t>
            </w:r>
          </w:p>
          <w:p>
            <w:pPr>
              <w:spacing w:before="40" w:after="0" w:line="264" w:lineRule="auto"/>
            </w:pPr>
            <w:r>
              <w:rPr>
                <w:rFonts w:ascii="Calibri" w:hAnsi="Calibri" w:cs="Calibri"/>
                <w:b w:val="0"/>
                <w:i/>
                <w:color w:val="7A8FBB"/>
                <w:sz w:val="16"/>
              </w:rPr>
              <w:t>10 agentes Claude con function calling · Dashboard + Chat de campo · En producción desde abril 2026</w:t>
            </w:r>
          </w:p>
        </w:tc>
        <w:tc>
          <w:tcPr>
            <w:tcW w:type="dxa" w:w="3515"/>
            <w:shd w:val="clear" w:color="auto" w:fill="1B3A6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LIVE · Railway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nexus-v2.up.railway.app</w:t>
            </w:r>
          </w:p>
          <w:p>
            <w:pPr>
              <w:spacing w:before="80" w:after="0" w:line="264" w:lineRule="auto"/>
              <w:jc w:val="right"/>
            </w:pPr>
            <w:r>
              <w:rPr>
                <w:rFonts w:ascii="Calibri" w:hAnsi="Calibri" w:cs="Calibri"/>
                <w:b w:val="0"/>
                <w:i/>
                <w:color w:val="7A8FBB"/>
                <w:sz w:val="15"/>
              </w:rPr>
              <w:t>Francisco Ávila · KAM DIFARE</w:t>
            </w:r>
          </w:p>
        </w:tc>
      </w:tr>
    </w:tbl>
    <w:p>
      <w:pPr>
        <w:spacing w:before="40" w:after="40" w:line="264" w:lineRule="auto"/>
        <w:pBdr>
          <w:bottom w:val="single" w:sz="12" w:space="1" w:color="C9A84C"/>
        </w:pBdr>
      </w:pPr>
    </w:p>
    <w:p>
      <w:pPr>
        <w:spacing w:before="60" w:after="20" w:line="264" w:lineRule="auto"/>
      </w:pPr>
      <w:r>
        <w:rPr>
          <w:rFonts w:ascii="Calibri" w:hAnsi="Calibri" w:cs="Calibri"/>
          <w:b/>
          <w:i w:val="0"/>
          <w:color w:val="F0C97A"/>
          <w:sz w:val="22"/>
        </w:rPr>
        <w:t>No es un agente. Es una plataforma que orquesta 10 agentes para recuperar al cliente #1.</w:t>
      </w:r>
    </w:p>
    <w:p>
      <w:pPr>
        <w:spacing w:before="0" w:after="60" w:line="276" w:lineRule="auto"/>
      </w:pPr>
      <w:r>
        <w:rPr>
          <w:rFonts w:ascii="Calibri" w:hAnsi="Calibri" w:cs="Calibri"/>
          <w:b w:val="0"/>
          <w:i w:val="0"/>
          <w:color w:val="F8FAFF"/>
          <w:sz w:val="18"/>
        </w:rPr>
        <w:t>DIFARE ha sido el cliente ancla de Genomma Ecuador por más de una década. En los últimos 4 años viene perdiendo peso sistemáticamente y en 2026 toca su mínimo histórico. Nexus fue construido para detectar, explicar y revertir esa caída con data del día, no del trimestre pasado.</w:t>
      </w:r>
    </w:p>
    <w:p>
      <w:pPr>
        <w:spacing w:before="60" w:after="40" w:line="264" w:lineRule="auto"/>
      </w:pPr>
      <w:r>
        <w:rPr>
          <w:rFonts w:ascii="Calibri" w:hAnsi="Calibri" w:cs="Calibri"/>
          <w:b/>
          <w:i w:val="0"/>
          <w:color w:val="C9A84C"/>
          <w:sz w:val="18"/>
        </w:rPr>
        <w:t>EL CONTEXTO · DIFARE PASÓ DE 23,2% A 12,8% DEL NEGOCIO ECUADOR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587"/>
            <w:shd w:val="clear" w:color="auto" w:fill="0A162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Año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2021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2022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2023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2024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2025</w:t>
            </w:r>
          </w:p>
        </w:tc>
        <w:tc>
          <w:tcPr>
            <w:tcW w:type="dxa" w:w="1542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2026 YTD</w:t>
            </w:r>
          </w:p>
        </w:tc>
      </w:tr>
      <w:tr>
        <w:tc>
          <w:tcPr>
            <w:tcW w:type="dxa" w:w="1587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8FAFF"/>
                <w:sz w:val="16"/>
              </w:rPr>
              <w:t>Total Ecuador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$25,8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$22,6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$22,8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$22,1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$23,7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7A8FBB"/>
                <w:sz w:val="16"/>
              </w:rPr>
              <w:t>$5,8 M</w:t>
            </w:r>
          </w:p>
        </w:tc>
      </w:tr>
      <w:tr>
        <w:tc>
          <w:tcPr>
            <w:tcW w:type="dxa" w:w="1587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8FAFF"/>
                <w:sz w:val="16"/>
              </w:rPr>
              <w:t>DIFARE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$5,97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$4,96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$5,00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$4,56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$4,79 M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$0,75 M</w:t>
            </w:r>
          </w:p>
        </w:tc>
      </w:tr>
      <w:tr>
        <w:tc>
          <w:tcPr>
            <w:tcW w:type="dxa" w:w="1587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8FAFF"/>
                <w:sz w:val="16"/>
              </w:rPr>
              <w:t>% participación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23,2%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22,0%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21,9%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20,6%</w:t>
            </w:r>
          </w:p>
        </w:tc>
        <w:tc>
          <w:tcPr>
            <w:tcW w:type="dxa" w:w="1542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20,2%</w:t>
            </w:r>
          </w:p>
        </w:tc>
        <w:tc>
          <w:tcPr>
            <w:tcW w:type="dxa" w:w="1542"/>
            <w:shd w:val="clear" w:color="auto" w:fill="3a1620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E56B6B"/>
                <w:sz w:val="17"/>
              </w:rPr>
              <w:t>12,8%</w:t>
            </w:r>
          </w:p>
        </w:tc>
      </w:tr>
    </w:tbl>
    <w:p>
      <w:pPr>
        <w:spacing w:before="60" w:after="0" w:line="276" w:lineRule="auto"/>
      </w:pPr>
      <w:r>
        <w:rPr>
          <w:rFonts w:ascii="Calibri" w:hAnsi="Calibri" w:cs="Calibri"/>
          <w:b/>
          <w:i w:val="0"/>
          <w:color w:val="C9A84C"/>
          <w:sz w:val="16"/>
        </w:rPr>
        <w:t xml:space="preserve">Lectura: </w:t>
      </w:r>
      <w:r>
        <w:rPr>
          <w:rFonts w:ascii="Calibri" w:hAnsi="Calibri" w:cs="Calibri"/>
          <w:b w:val="0"/>
          <w:i w:val="0"/>
          <w:color w:val="F8FAFF"/>
          <w:sz w:val="16"/>
        </w:rPr>
        <w:t xml:space="preserve">el mercado Ecuador se mantiene estable en ~$23 M/año. DIFARE no cae porque el mercado cae; cae porque otros clientes crecen. FARMAENLACE ya lo superó en 2026 YTD ($1,43 M vs $0,75 M, casi 2:1). </w:t>
      </w:r>
      <w:r>
        <w:rPr>
          <w:rFonts w:ascii="Calibri" w:hAnsi="Calibri" w:cs="Calibri"/>
          <w:b/>
          <w:i w:val="0"/>
          <w:color w:val="F0C97A"/>
          <w:sz w:val="16"/>
        </w:rPr>
        <w:t>Recuperar del 12,8% al 20% histórico = +$1,7 M/año. Ese es el tamaño del premio.</w:t>
      </w:r>
    </w:p>
    <w:p>
      <w:pPr>
        <w:spacing w:before="80" w:after="40" w:line="264" w:lineRule="auto"/>
      </w:pPr>
      <w:r>
        <w:rPr>
          <w:rFonts w:ascii="Calibri" w:hAnsi="Calibri" w:cs="Calibri"/>
          <w:b/>
          <w:i w:val="0"/>
          <w:color w:val="C9A84C"/>
          <w:sz w:val="18"/>
        </w:rPr>
        <w:t>CÓMO RECUPERAMOS · LOS 10 AGENTES DE LA PLATAFORMA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01 · KAM Campo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Chat contextual por farmacia. Stock, venta y productos faltantes en la mano del vendedor.</w:t>
            </w:r>
          </w:p>
        </w:tc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02 · Analítico Gerencial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Chat con 12 herramientas: DOIS, Pareto, tendencia YoY, ranking PDV en segundos.</w:t>
            </w:r>
          </w:p>
        </w:tc>
      </w:tr>
      <w:tr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03 · Vectorización (Tienda Perfecta)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Productos Pareto faltantes por PDV. Genera el Excel firmable para DIFARE.</w:t>
            </w:r>
          </w:p>
        </w:tc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04 · Inventario DOIS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Días de inventario valorizado USD. Alerta crítico &lt; 15 días · bajo 15-30 · OK &gt; 30.</w:t>
            </w:r>
          </w:p>
        </w:tc>
      </w:tr>
      <w:tr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05 · Distribución Numérica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RUCs atendidos mes a mes, nuevos vs perdidos, penetración del portafolio TOP.</w:t>
            </w:r>
          </w:p>
        </w:tc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06 · Canales Digital/Físico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Segrega mostrador vs APP/WhatsApp/Call Center/Tienda Virtual. Mix e-commerce real.</w:t>
            </w:r>
          </w:p>
        </w:tc>
      </w:tr>
      <w:tr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07 · Tendencia &amp; Forecast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Evolución por marca, proyección de cierre con data parcial SAP semanal.</w:t>
            </w:r>
          </w:p>
        </w:tc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08 · Reporte Ejecutivo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PDF + screenshot del dashboard en un clic. Listo para comité y mail a dirección.</w:t>
            </w:r>
          </w:p>
        </w:tc>
      </w:tr>
      <w:tr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09 · Data Ops / ETL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Detecta Excels nuevos y regenera SQLite automáticamente. Cero mantenimiento manual.</w:t>
            </w:r>
          </w:p>
        </w:tc>
        <w:tc>
          <w:tcPr>
            <w:tcW w:type="dxa" w:w="544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0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10 · Filtros Inteligentes</w:t>
            </w:r>
          </w:p>
          <w:p>
            <w:pPr>
              <w:spacing w:before="0" w:after="20" w:line="264" w:lineRule="auto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Multi-select cascading marca → producto, grupo PDV con nombres Genomma, debounce.</w:t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 w:cs="Calibri"/>
          <w:b/>
          <w:i w:val="0"/>
          <w:color w:val="C9A84C"/>
          <w:sz w:val="18"/>
        </w:rPr>
        <w:t>EL TAMAÑO DEL PREMIO · DE PROYECTO A INFRAESTRUCTURA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c>
          <w:tcPr>
            <w:tcW w:type="dxa" w:w="2721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20"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28"/>
              </w:rPr>
              <w:t>+$1,7 M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4"/>
              </w:rPr>
              <w:t>anuales si DIFARE vuelve al 20% histórico</w:t>
            </w:r>
          </w:p>
        </w:tc>
        <w:tc>
          <w:tcPr>
            <w:tcW w:type="dxa" w:w="2721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20"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28"/>
              </w:rPr>
              <w:t>10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4"/>
              </w:rPr>
              <w:t>agentes Claude en producción atacando la caída</w:t>
            </w:r>
          </w:p>
        </w:tc>
        <w:tc>
          <w:tcPr>
            <w:tcW w:type="dxa" w:w="2721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20"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28"/>
              </w:rPr>
              <w:t>3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4"/>
              </w:rPr>
              <w:t>roles activos · campo / gerencial / admin</w:t>
            </w:r>
          </w:p>
        </w:tc>
        <w:tc>
          <w:tcPr>
            <w:tcW w:type="dxa" w:w="2721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20"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28"/>
              </w:rPr>
              <w:t>5.614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F8FAFF"/>
                <w:sz w:val="14"/>
              </w:rPr>
              <w:t>líneas de código · deploy continuo Railway</w:t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 w:cs="Calibri"/>
          <w:b/>
          <w:i w:val="0"/>
          <w:color w:val="C9A84C"/>
          <w:sz w:val="18"/>
        </w:rPr>
        <w:t>ESTO NO SE QUEDA EN DIFARE · ROADMAP DE ESCALABILIDAD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005"/>
        <w:gridCol w:w="6633"/>
      </w:tblGrid>
      <w:tr>
        <w:tc>
          <w:tcPr>
            <w:tcW w:type="dxa" w:w="1247"/>
            <w:shd w:val="clear" w:color="auto" w:fill="C9A84C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A1628"/>
                <w:sz w:val="16"/>
              </w:rPr>
              <w:t>HOY</w:t>
            </w:r>
          </w:p>
        </w:tc>
        <w:tc>
          <w:tcPr>
            <w:tcW w:type="dxa" w:w="3005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Fase 1 · Recuperar DIFARE</w:t>
            </w:r>
          </w:p>
        </w:tc>
        <w:tc>
          <w:tcPr>
            <w:tcW w:type="dxa" w:w="663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Plataforma productiva con 10 agentes · output Excel semanal que el vendedor lleva al cliente.</w:t>
            </w:r>
          </w:p>
        </w:tc>
      </w:tr>
      <w:tr>
        <w:tc>
          <w:tcPr>
            <w:tcW w:type="dxa" w:w="1247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Q2 2026</w:t>
            </w:r>
          </w:p>
        </w:tc>
        <w:tc>
          <w:tcPr>
            <w:tcW w:type="dxa" w:w="3005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Fase 2 · Industrializar</w:t>
            </w:r>
          </w:p>
        </w:tc>
        <w:tc>
          <w:tcPr>
            <w:tcW w:type="dxa" w:w="663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Postgres · histórico YoY real · snapshots mensuales · uploader por UI · auditoría de cambios.</w:t>
            </w:r>
          </w:p>
        </w:tc>
      </w:tr>
      <w:tr>
        <w:tc>
          <w:tcPr>
            <w:tcW w:type="dxa" w:w="1247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Q3–Q4 2026</w:t>
            </w:r>
          </w:p>
        </w:tc>
        <w:tc>
          <w:tcPr>
            <w:tcW w:type="dxa" w:w="3005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Fase 3 · Top clientes Ecuador</w:t>
            </w:r>
          </w:p>
        </w:tc>
        <w:tc>
          <w:tcPr>
            <w:tcW w:type="dxa" w:w="663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Mismo motor, multi-cliente: FARMAENLACE, GPF, LETERAGO, FAVORITA, EL ROSADO, CRESIO. Onboarding en semanas.</w:t>
            </w:r>
          </w:p>
        </w:tc>
      </w:tr>
      <w:tr>
        <w:tc>
          <w:tcPr>
            <w:tcW w:type="dxa" w:w="1247"/>
            <w:shd w:val="clear" w:color="auto" w:fill="1B3A6B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C9A84C"/>
                <w:sz w:val="16"/>
              </w:rPr>
              <w:t>2027</w:t>
            </w:r>
          </w:p>
        </w:tc>
        <w:tc>
          <w:tcPr>
            <w:tcW w:type="dxa" w:w="3005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60" w:type="dxa"/>
            </w:tcMar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6"/>
              </w:rPr>
              <w:t>Fase 4 · Multi-país Genomma</w:t>
            </w:r>
          </w:p>
        </w:tc>
        <w:tc>
          <w:tcPr>
            <w:tcW w:type="dxa" w:w="6633"/>
            <w:shd w:val="clear" w:color="auto" w:fill="111F38"/>
            <w:tcBorders>
              <w:top w:val="single" w:sz="6" w:space="0" w:color="0A1628"/>
              <w:left w:val="single" w:sz="6" w:space="0" w:color="0A1628"/>
              <w:bottom w:val="single" w:sz="6" w:space="0" w:color="0A1628"/>
              <w:right w:val="single" w:sz="6" w:space="0" w:color="0A1628"/>
            </w:tcBorders>
            <w:tcMar>
              <w:top w:w="40" w:type="dxa"/>
              <w:left w:w="100" w:type="dxa"/>
              <w:bottom w:w="40" w:type="dxa"/>
              <w:right w:w="100" w:type="dxa"/>
            </w:tcMar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olor w:val="F8FAFF"/>
                <w:sz w:val="15"/>
              </w:rPr>
              <w:t>Top 5 clientes por país · MX, BR, CO, PE, AR, CL, CAM, US · 1 stack, 1 equipo de producto, N geografías.</w:t>
            </w:r>
          </w:p>
        </w:tc>
      </w:tr>
    </w:tbl>
    <w:p>
      <w:pPr>
        <w:spacing w:before="80" w:after="40" w:line="264" w:lineRule="auto"/>
      </w:pPr>
      <w:r>
        <w:rPr>
          <w:rFonts w:ascii="Calibri" w:hAnsi="Calibri" w:cs="Calibri"/>
          <w:b/>
          <w:i w:val="0"/>
          <w:color w:val="C9A84C"/>
          <w:sz w:val="18"/>
        </w:rPr>
        <w:t>POR QUÉ DIFARE NEXUS GANA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5"/>
      </w:tblGrid>
      <w:tr>
        <w:tc>
          <w:tcPr>
            <w:tcW w:type="dxa" w:w="10885"/>
            <w:shd w:val="clear" w:color="auto" w:fill="0A1628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7"/>
              </w:rPr>
              <w:t xml:space="preserve">▸ Ataca un problema de $1,7 M que ya está ocurriendo.  </w:t>
            </w:r>
            <w:r>
              <w:rPr>
                <w:rFonts w:ascii="Calibri" w:hAnsi="Calibri" w:cs="Calibri"/>
                <w:b w:val="0"/>
                <w:i w:val="0"/>
                <w:color w:val="F8FAFF"/>
                <w:sz w:val="16"/>
              </w:rPr>
              <w:t>No es un 'nice to have'. Es la diferencia entre recuperar al cliente #1 o verlo caer al 3er lugar.</w:t>
            </w:r>
          </w:p>
        </w:tc>
      </w:tr>
      <w:tr>
        <w:tc>
          <w:tcPr>
            <w:tcW w:type="dxa" w:w="10885"/>
            <w:shd w:val="clear" w:color="auto" w:fill="0A1628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7"/>
              </w:rPr>
              <w:t xml:space="preserve">▸ No simula multi-agente. Lo ejecuta.  </w:t>
            </w:r>
            <w:r>
              <w:rPr>
                <w:rFonts w:ascii="Calibri" w:hAnsi="Calibri" w:cs="Calibri"/>
                <w:b w:val="0"/>
                <w:i w:val="0"/>
                <w:color w:val="F8FAFF"/>
                <w:sz w:val="16"/>
              </w:rPr>
              <w:t>10 agentes especializados con function calling real, cada uno con su caja de herramientas y su rol.</w:t>
            </w:r>
          </w:p>
        </w:tc>
      </w:tr>
      <w:tr>
        <w:tc>
          <w:tcPr>
            <w:tcW w:type="dxa" w:w="10885"/>
            <w:shd w:val="clear" w:color="auto" w:fill="0A1628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/>
                <w:i w:val="0"/>
                <w:color w:val="F0C97A"/>
                <w:sz w:val="17"/>
              </w:rPr>
              <w:t xml:space="preserve">▸ No se queda en demo. Escala.  </w:t>
            </w:r>
            <w:r>
              <w:rPr>
                <w:rFonts w:ascii="Calibri" w:hAnsi="Calibri" w:cs="Calibri"/>
                <w:b w:val="0"/>
                <w:i w:val="0"/>
                <w:color w:val="F8FAFF"/>
                <w:sz w:val="16"/>
              </w:rPr>
              <w:t>Arquitectura multi-cliente desde Fase 2. Replicable al Top 5 de cada país donde opera Genomma.</w:t>
            </w:r>
          </w:p>
        </w:tc>
      </w:tr>
    </w:tbl>
    <w:p>
      <w:pPr>
        <w:spacing w:before="80" w:after="0" w:line="264" w:lineRule="auto"/>
        <w:jc w:val="center"/>
      </w:pPr>
      <w:r>
        <w:rPr>
          <w:rFonts w:ascii="Calibri" w:hAnsi="Calibri" w:cs="Calibri"/>
          <w:b/>
          <w:i w:val="0"/>
          <w:color w:val="C9A84C"/>
          <w:sz w:val="15"/>
        </w:rPr>
        <w:t xml:space="preserve">Difare Nexus v2 · </w:t>
      </w:r>
      <w:r>
        <w:rPr>
          <w:rFonts w:ascii="Calibri" w:hAnsi="Calibri" w:cs="Calibri"/>
          <w:b w:val="0"/>
          <w:i/>
          <w:color w:val="7A8FBB"/>
          <w:sz w:val="15"/>
        </w:rPr>
        <w:t>Construido en Genomma Lab Ecuador · Claude Sonnet 4.5 · Flask · Railway · SQLite → Postgres</w:t>
      </w:r>
    </w:p>
    <w:sectPr w:rsidR="00FC693F" w:rsidRPr="0006063C" w:rsidSect="00034616">
      <w:pgSz w:w="12240" w:h="15840"/>
      <w:pgMar w:top="51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F8FAF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