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16D7" w14:textId="6A68D5CD" w:rsidR="00DD5754" w:rsidRDefault="0088618C">
      <w:pPr>
        <w:rPr>
          <w:lang w:val="en-US"/>
        </w:rPr>
      </w:pPr>
      <w:commentRangeStart w:id="0"/>
      <w:r>
        <w:rPr>
          <w:lang w:val="en-US"/>
        </w:rPr>
        <w:t>Line 7 – PA needs to be defined. First time acronym.</w:t>
      </w:r>
      <w:commentRangeEnd w:id="0"/>
      <w:r w:rsidR="003935F1">
        <w:rPr>
          <w:rStyle w:val="CommentReference"/>
        </w:rPr>
        <w:commentReference w:id="0"/>
      </w:r>
    </w:p>
    <w:p w14:paraId="03D0780C" w14:textId="77777777" w:rsidR="00443B78" w:rsidRDefault="0088618C">
      <w:pPr>
        <w:rPr>
          <w:lang w:val="en-US"/>
        </w:rPr>
      </w:pPr>
      <w:r>
        <w:rPr>
          <w:lang w:val="en-US"/>
        </w:rPr>
        <w:t xml:space="preserve">Line 8 – </w:t>
      </w:r>
      <w:commentRangeStart w:id="1"/>
      <w:r>
        <w:rPr>
          <w:lang w:val="en-US"/>
        </w:rPr>
        <w:t>May be beneficial to indicate the data year? Though is it implied that it is 2022 by the title of the document?</w:t>
      </w:r>
      <w:commentRangeEnd w:id="1"/>
      <w:r w:rsidR="003935F1">
        <w:rPr>
          <w:rStyle w:val="CommentReference"/>
        </w:rPr>
        <w:commentReference w:id="1"/>
      </w:r>
    </w:p>
    <w:p w14:paraId="0602B3EF" w14:textId="3B2A3B45" w:rsidR="0088618C" w:rsidRDefault="00443B78">
      <w:pPr>
        <w:rPr>
          <w:lang w:val="en-US"/>
        </w:rPr>
      </w:pPr>
      <w:r>
        <w:rPr>
          <w:lang w:val="en-US"/>
        </w:rPr>
        <w:t xml:space="preserve">Line 35/36 – </w:t>
      </w:r>
      <w:commentRangeStart w:id="2"/>
      <w:r>
        <w:rPr>
          <w:lang w:val="en-US"/>
        </w:rPr>
        <w:t>When you say exceeds 33,500 in 4 years, is that the 3-year average exceeds? The benchmark is intended to be measured against the generational geometric average. Just want to confirm since Figure 2 does not look like it plots the generational geo-mean.</w:t>
      </w:r>
      <w:commentRangeEnd w:id="2"/>
      <w:r w:rsidR="003935F1">
        <w:rPr>
          <w:rStyle w:val="CommentReference"/>
        </w:rPr>
        <w:commentReference w:id="2"/>
      </w:r>
    </w:p>
    <w:p w14:paraId="0887CF12" w14:textId="666394E6" w:rsidR="00443B78" w:rsidRDefault="00377FA7">
      <w:pPr>
        <w:rPr>
          <w:lang w:val="en-US"/>
        </w:rPr>
      </w:pPr>
      <w:commentRangeStart w:id="3"/>
      <w:r>
        <w:rPr>
          <w:lang w:val="en-US"/>
        </w:rPr>
        <w:t>Line 70+ – “a c</w:t>
      </w:r>
      <w:commentRangeEnd w:id="3"/>
      <w:r w:rsidR="003935F1">
        <w:rPr>
          <w:rStyle w:val="CommentReference"/>
        </w:rPr>
        <w:commentReference w:id="3"/>
      </w:r>
      <w:r>
        <w:rPr>
          <w:lang w:val="en-US"/>
        </w:rPr>
        <w:t xml:space="preserve">ap on </w:t>
      </w:r>
      <w:proofErr w:type="spellStart"/>
      <w:r>
        <w:rPr>
          <w:lang w:val="en-US"/>
        </w:rPr>
        <w:t>Srep</w:t>
      </w:r>
      <w:proofErr w:type="spellEnd"/>
      <w:r>
        <w:rPr>
          <w:lang w:val="en-US"/>
        </w:rPr>
        <w:t>”. I would suggest describing it as a highly informative prior. Would it also not be acting more as a lower limit than a cap in the model formation? Did the word “cap” come from the “</w:t>
      </w:r>
      <w:proofErr w:type="spellStart"/>
      <w:r>
        <w:rPr>
          <w:lang w:val="en-US"/>
        </w:rPr>
        <w:t>Prior_Cap</w:t>
      </w:r>
      <w:proofErr w:type="spellEnd"/>
      <w:r>
        <w:rPr>
          <w:lang w:val="en-US"/>
        </w:rPr>
        <w:t>” model naming convention? It is short for, “prior on capacity”. Not for a “cap” on the prior.</w:t>
      </w:r>
    </w:p>
    <w:p w14:paraId="672A8CAC" w14:textId="2211956B" w:rsidR="00377FA7" w:rsidRDefault="00377FA7">
      <w:pPr>
        <w:rPr>
          <w:lang w:val="en-US"/>
        </w:rPr>
      </w:pPr>
      <w:commentRangeStart w:id="4"/>
      <w:r>
        <w:rPr>
          <w:lang w:val="en-US"/>
        </w:rPr>
        <w:t xml:space="preserve">Table 1 </w:t>
      </w:r>
      <w:commentRangeEnd w:id="4"/>
      <w:r w:rsidR="003935F1">
        <w:rPr>
          <w:rStyle w:val="CommentReference"/>
        </w:rPr>
        <w:commentReference w:id="4"/>
      </w:r>
      <w:r>
        <w:rPr>
          <w:lang w:val="en-US"/>
        </w:rPr>
        <w:t>– I think that “CTC Indicator” is supposed to be “CWT” indicator, no? Also needs to be defined in the table caption as it is the first mention of it. I was also have a caveat of “current”</w:t>
      </w:r>
      <w:r w:rsidR="002D05F3">
        <w:rPr>
          <w:lang w:val="en-US"/>
        </w:rPr>
        <w:t xml:space="preserve"> or “active”</w:t>
      </w:r>
      <w:r>
        <w:rPr>
          <w:lang w:val="en-US"/>
        </w:rPr>
        <w:t xml:space="preserve"> CWT indicators.</w:t>
      </w:r>
    </w:p>
    <w:p w14:paraId="7D2C5152" w14:textId="21D882BF" w:rsidR="001078A5" w:rsidRDefault="002D05F3">
      <w:pPr>
        <w:rPr>
          <w:lang w:val="en-US"/>
        </w:rPr>
      </w:pPr>
      <w:commentRangeStart w:id="5"/>
      <w:r>
        <w:rPr>
          <w:lang w:val="en-US"/>
        </w:rPr>
        <w:t>Line 137 – With regards to the aggregate objective in the PST</w:t>
      </w:r>
      <w:r w:rsidR="001078A5">
        <w:rPr>
          <w:lang w:val="en-US"/>
        </w:rPr>
        <w:t xml:space="preserve"> (and maybe an answer to Brittany’s comment)</w:t>
      </w:r>
      <w:r>
        <w:rPr>
          <w:lang w:val="en-US"/>
        </w:rPr>
        <w:t xml:space="preserve"> – None of the work in Decker 2014 or Arbeider 2020 have to do with the PST management reference point</w:t>
      </w:r>
      <w:r w:rsidR="001078A5">
        <w:rPr>
          <w:lang w:val="en-US"/>
        </w:rPr>
        <w:t xml:space="preserve">… When we manage the reference point in </w:t>
      </w:r>
      <w:proofErr w:type="spellStart"/>
      <w:r w:rsidR="001078A5">
        <w:rPr>
          <w:lang w:val="en-US"/>
        </w:rPr>
        <w:t>CoTC</w:t>
      </w:r>
      <w:proofErr w:type="spellEnd"/>
      <w:r w:rsidR="001078A5">
        <w:rPr>
          <w:lang w:val="en-US"/>
        </w:rPr>
        <w:t>. We use the subpopulation definition and more-or-less ignore the “officially undefined” aggregate MU objective, which was never explicitly set (from my readings of the published literature).</w:t>
      </w:r>
      <w:commentRangeEnd w:id="5"/>
      <w:r w:rsidR="003935F1">
        <w:rPr>
          <w:rStyle w:val="CommentReference"/>
        </w:rPr>
        <w:commentReference w:id="5"/>
      </w:r>
    </w:p>
    <w:p w14:paraId="4CCDF228" w14:textId="1F10A621" w:rsidR="001078A5" w:rsidRDefault="001078A5">
      <w:pPr>
        <w:rPr>
          <w:lang w:val="en-US"/>
        </w:rPr>
      </w:pPr>
      <w:r>
        <w:rPr>
          <w:lang w:val="en-US"/>
        </w:rPr>
        <w:t>With more background to Brittany’s comment, yes, Lynda did tell me to use my RPA analysis to “annually update” the MU aggregate benchmark, so I did it, but I can not find any written guide to say why that was “correct”. In my last year and when passing the buck to Rory and Sara, I told them just to report on if the subpopulation target was met and to stop updating the aggregate benchmark or using it.</w:t>
      </w:r>
    </w:p>
    <w:p w14:paraId="18669C3E" w14:textId="008E8620" w:rsidR="001078A5" w:rsidRDefault="001078A5">
      <w:pPr>
        <w:rPr>
          <w:lang w:val="en-US"/>
        </w:rPr>
      </w:pPr>
      <w:r>
        <w:rPr>
          <w:lang w:val="en-US"/>
        </w:rPr>
        <w:t xml:space="preserve">Overall, I </w:t>
      </w:r>
      <w:r w:rsidR="00F07B50">
        <w:rPr>
          <w:lang w:val="en-US"/>
        </w:rPr>
        <w:t>kind of</w:t>
      </w:r>
      <w:r>
        <w:rPr>
          <w:lang w:val="en-US"/>
        </w:rPr>
        <w:t xml:space="preserve"> like the “solidification” of using 35,935 based on the RPA logistic curve</w:t>
      </w:r>
      <w:r w:rsidR="00F07B50">
        <w:rPr>
          <w:lang w:val="en-US"/>
        </w:rPr>
        <w:t xml:space="preserve"> in this document. The RPA code</w:t>
      </w:r>
      <w:r>
        <w:rPr>
          <w:lang w:val="en-US"/>
        </w:rPr>
        <w:t xml:space="preserve"> was an “update” of what </w:t>
      </w:r>
      <w:proofErr w:type="spellStart"/>
      <w:r>
        <w:rPr>
          <w:lang w:val="en-US"/>
        </w:rPr>
        <w:t>Korman</w:t>
      </w:r>
      <w:proofErr w:type="spellEnd"/>
      <w:r>
        <w:rPr>
          <w:lang w:val="en-US"/>
        </w:rPr>
        <w:t xml:space="preserve"> et al 2019 had done, which </w:t>
      </w:r>
      <w:r>
        <w:rPr>
          <w:i/>
          <w:iCs/>
          <w:lang w:val="en-US"/>
        </w:rPr>
        <w:t>was</w:t>
      </w:r>
      <w:r>
        <w:rPr>
          <w:lang w:val="en-US"/>
        </w:rPr>
        <w:t xml:space="preserve"> explicitly being used to create a PST MU aggregate benchmark.</w:t>
      </w:r>
      <w:r w:rsidR="00F07B50">
        <w:rPr>
          <w:lang w:val="en-US"/>
        </w:rPr>
        <w:t xml:space="preserve"> However, they had run into some problems when they were doing it and I had more and updated data, so my results (at the time) were “stable”.</w:t>
      </w:r>
    </w:p>
    <w:p w14:paraId="2C23AFBB" w14:textId="6616F47D" w:rsidR="00F07B50" w:rsidRDefault="00F07B50">
      <w:pPr>
        <w:rPr>
          <w:lang w:val="en-US"/>
        </w:rPr>
      </w:pPr>
      <w:r>
        <w:rPr>
          <w:lang w:val="en-US"/>
        </w:rPr>
        <w:t>Other context. With he development of the LRP Case-Studies paper, we determined that doing that type of analysis on historical data was too much “looking in the rear-view mirror”, and not necessarily appropriate, however, we struggled to create a robust subpopulation level model structure that would not have way too much variability and uncertainty due to the “finer scale” of the data structure.</w:t>
      </w:r>
    </w:p>
    <w:p w14:paraId="23C3F7D5" w14:textId="3B0E89C2" w:rsidR="001078A5" w:rsidRDefault="001078A5">
      <w:pPr>
        <w:rPr>
          <w:lang w:val="en-US"/>
        </w:rPr>
      </w:pPr>
      <w:commentRangeStart w:id="6"/>
      <w:r>
        <w:rPr>
          <w:lang w:val="en-US"/>
        </w:rPr>
        <w:t xml:space="preserve">Line 156 – With reference to the </w:t>
      </w:r>
      <w:proofErr w:type="spellStart"/>
      <w:r>
        <w:rPr>
          <w:lang w:val="en-US"/>
        </w:rPr>
        <w:t>Umsy</w:t>
      </w:r>
      <w:proofErr w:type="spellEnd"/>
      <w:r>
        <w:rPr>
          <w:lang w:val="en-US"/>
        </w:rPr>
        <w:t xml:space="preserve"> being lower than the PST caps. Did you calculate the </w:t>
      </w:r>
      <w:proofErr w:type="spellStart"/>
      <w:r>
        <w:rPr>
          <w:lang w:val="en-US"/>
        </w:rPr>
        <w:t>Umsys</w:t>
      </w:r>
      <w:proofErr w:type="spellEnd"/>
      <w:r>
        <w:rPr>
          <w:lang w:val="en-US"/>
        </w:rPr>
        <w:t xml:space="preserve"> when survival was 6%? Those </w:t>
      </w:r>
      <w:proofErr w:type="spellStart"/>
      <w:r>
        <w:rPr>
          <w:lang w:val="en-US"/>
        </w:rPr>
        <w:t>Umsy’s</w:t>
      </w:r>
      <w:proofErr w:type="spellEnd"/>
      <w:r>
        <w:rPr>
          <w:lang w:val="en-US"/>
        </w:rPr>
        <w:t xml:space="preserve"> would be the </w:t>
      </w:r>
      <w:proofErr w:type="spellStart"/>
      <w:r>
        <w:rPr>
          <w:lang w:val="en-US"/>
        </w:rPr>
        <w:t>Umsys</w:t>
      </w:r>
      <w:proofErr w:type="spellEnd"/>
      <w:r>
        <w:rPr>
          <w:lang w:val="en-US"/>
        </w:rPr>
        <w:t xml:space="preserve"> to use under biological conditions that satisfy an Abundant Status. I suggest this because SAS </w:t>
      </w:r>
      <w:r>
        <w:rPr>
          <w:i/>
          <w:iCs/>
          <w:lang w:val="en-US"/>
        </w:rPr>
        <w:t>should</w:t>
      </w:r>
      <w:r>
        <w:rPr>
          <w:lang w:val="en-US"/>
        </w:rPr>
        <w:t xml:space="preserve"> be directly affecting the estimates of alpha, SMSY, and therefore, </w:t>
      </w:r>
      <w:proofErr w:type="spellStart"/>
      <w:r>
        <w:rPr>
          <w:lang w:val="en-US"/>
        </w:rPr>
        <w:t>Umsy</w:t>
      </w:r>
      <w:proofErr w:type="spellEnd"/>
      <w:r>
        <w:rPr>
          <w:lang w:val="en-US"/>
        </w:rPr>
        <w:t>.</w:t>
      </w:r>
      <w:r>
        <w:rPr>
          <w:lang w:val="en-US"/>
        </w:rPr>
        <w:br/>
        <w:t>Please make a copy of Table 3 when SAS = 0.06 and not the recent average</w:t>
      </w:r>
      <w:r w:rsidR="00F07B50">
        <w:rPr>
          <w:lang w:val="en-US"/>
        </w:rPr>
        <w:t xml:space="preserve"> SAS</w:t>
      </w:r>
      <w:r>
        <w:rPr>
          <w:lang w:val="en-US"/>
        </w:rPr>
        <w:t>.</w:t>
      </w:r>
      <w:commentRangeEnd w:id="6"/>
      <w:r w:rsidR="003935F1">
        <w:rPr>
          <w:rStyle w:val="CommentReference"/>
        </w:rPr>
        <w:commentReference w:id="6"/>
      </w:r>
    </w:p>
    <w:p w14:paraId="04239401" w14:textId="4F7EF685" w:rsidR="00F07B50" w:rsidRDefault="000C72D7">
      <w:pPr>
        <w:rPr>
          <w:lang w:val="en-US"/>
        </w:rPr>
      </w:pPr>
      <w:r>
        <w:rPr>
          <w:lang w:val="en-US"/>
        </w:rPr>
        <w:t>Line 292 – Historical not Historic. (I know that John received feedback on this during the last meeting).</w:t>
      </w:r>
    </w:p>
    <w:p w14:paraId="02355283" w14:textId="11D18720" w:rsidR="000C72D7" w:rsidRDefault="000C72D7">
      <w:pPr>
        <w:rPr>
          <w:lang w:val="en-US"/>
        </w:rPr>
      </w:pPr>
      <w:r>
        <w:rPr>
          <w:lang w:val="en-US"/>
        </w:rPr>
        <w:t>Line 291 – Mike has a comment that says, “need to describe data sources”. Refer him to the data section that describes the data.</w:t>
      </w:r>
    </w:p>
    <w:p w14:paraId="7253EF05" w14:textId="5833EE14" w:rsidR="000C72D7" w:rsidRDefault="000C72D7">
      <w:pPr>
        <w:rPr>
          <w:lang w:val="en-US"/>
        </w:rPr>
      </w:pPr>
      <w:r>
        <w:rPr>
          <w:lang w:val="en-US"/>
        </w:rPr>
        <w:lastRenderedPageBreak/>
        <w:t>Line 302 and then 304-306 – There is a comment from Mike with a reply from you about smolts and fry affecting the SR relationship. Fry are explicitly accounted for in the data using assumptions about fry-to-smolt survival and then applying the specific year’s smolt-to-adult survival to calculate an unclipped hatchery return that is excluded from natural returns. There is some uncertainty due to the assumptions about this reconstruction but I would not say the impact of fry releases on the stock-recruit is unknown. I would say, it is accounted for with assumptions.</w:t>
      </w:r>
    </w:p>
    <w:p w14:paraId="02DAF5D6" w14:textId="64E56D0F" w:rsidR="000C72D7" w:rsidRDefault="003F3EB4">
      <w:r>
        <w:rPr>
          <w:lang w:val="en-US"/>
        </w:rPr>
        <w:t xml:space="preserve">Line 357-359 – I would include this more recent sensitivity analysis that looks at how well FRAM is working relative to CWT-direct estimates of ER: </w:t>
      </w:r>
      <w:hyperlink r:id="rId8" w:history="1">
        <w:r>
          <w:rPr>
            <w:rStyle w:val="Hyperlink"/>
          </w:rPr>
          <w:t>Coho FRAM Model Validation and Mixed Stock Model Updating</w:t>
        </w:r>
      </w:hyperlink>
    </w:p>
    <w:p w14:paraId="1CCB3131" w14:textId="32B6F98C" w:rsidR="003F3EB4" w:rsidRDefault="003F3EB4">
      <w:r>
        <w:t xml:space="preserve">Line 374 – Comment from Mike. I agree that time and money need to be spent on assessing the SAS data and how to estimate it in a more robust manner. ER is a more of a </w:t>
      </w:r>
      <w:proofErr w:type="spellStart"/>
      <w:r>
        <w:t>CoTC</w:t>
      </w:r>
      <w:proofErr w:type="spellEnd"/>
      <w:r>
        <w:t xml:space="preserve"> thing, but DFO could still provide resources to assist with their work. There is also work that needs to be done around distribution benchmarks and alternative to SMY-based benchmarks that FN participants identified in the Rapid Status review.</w:t>
      </w:r>
    </w:p>
    <w:p w14:paraId="718A5615" w14:textId="77777777" w:rsidR="003F3EB4" w:rsidRDefault="003F3EB4"/>
    <w:sectPr w:rsidR="003F3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iley, Colin (DFO/MPO)" w:date="2024-11-12T13:08:00Z" w:initials="CB">
    <w:p w14:paraId="27924A72" w14:textId="77777777" w:rsidR="003935F1" w:rsidRDefault="003935F1" w:rsidP="003935F1">
      <w:pPr>
        <w:pStyle w:val="CommentText"/>
      </w:pPr>
      <w:r>
        <w:rPr>
          <w:rStyle w:val="CommentReference"/>
        </w:rPr>
        <w:annotationRef/>
      </w:r>
      <w:r>
        <w:t>Easy to fix</w:t>
      </w:r>
    </w:p>
  </w:comment>
  <w:comment w:id="1" w:author="Bailey, Colin (DFO/MPO)" w:date="2024-11-12T13:09:00Z" w:initials="CB">
    <w:p w14:paraId="4F83D1C7" w14:textId="77777777" w:rsidR="003935F1" w:rsidRDefault="003935F1" w:rsidP="003935F1">
      <w:pPr>
        <w:pStyle w:val="CommentText"/>
      </w:pPr>
      <w:r>
        <w:rPr>
          <w:rStyle w:val="CommentReference"/>
        </w:rPr>
        <w:annotationRef/>
      </w:r>
      <w:r>
        <w:t>Easy to fix</w:t>
      </w:r>
    </w:p>
  </w:comment>
  <w:comment w:id="2" w:author="Bailey, Colin (DFO/MPO)" w:date="2024-11-12T13:10:00Z" w:initials="CB">
    <w:p w14:paraId="024D5C08" w14:textId="77777777" w:rsidR="003935F1" w:rsidRDefault="003935F1" w:rsidP="003935F1">
      <w:pPr>
        <w:pStyle w:val="CommentText"/>
      </w:pPr>
      <w:r>
        <w:rPr>
          <w:rStyle w:val="CommentReference"/>
        </w:rPr>
        <w:annotationRef/>
      </w:r>
      <w:r>
        <w:t>We can clarify easily. I am indeed referring to single instances of exceeding those benchmarks, not averages</w:t>
      </w:r>
    </w:p>
  </w:comment>
  <w:comment w:id="3" w:author="Bailey, Colin (DFO/MPO)" w:date="2024-11-12T13:11:00Z" w:initials="CB">
    <w:p w14:paraId="20B52352" w14:textId="77777777" w:rsidR="003935F1" w:rsidRDefault="003935F1" w:rsidP="003935F1">
      <w:pPr>
        <w:pStyle w:val="CommentText"/>
      </w:pPr>
      <w:r>
        <w:rPr>
          <w:rStyle w:val="CommentReference"/>
        </w:rPr>
        <w:annotationRef/>
      </w:r>
      <w:r>
        <w:t>Good catch, indeed it should be a highly informative prior on capacity, not a cap on Srep</w:t>
      </w:r>
    </w:p>
  </w:comment>
  <w:comment w:id="4" w:author="Bailey, Colin (DFO/MPO)" w:date="2024-11-12T13:12:00Z" w:initials="CB">
    <w:p w14:paraId="38653B57" w14:textId="77777777" w:rsidR="003935F1" w:rsidRDefault="003935F1" w:rsidP="003935F1">
      <w:pPr>
        <w:pStyle w:val="CommentText"/>
      </w:pPr>
      <w:r>
        <w:rPr>
          <w:rStyle w:val="CommentReference"/>
        </w:rPr>
        <w:annotationRef/>
      </w:r>
      <w:r>
        <w:t>Correct, it should say current CWT indicator</w:t>
      </w:r>
    </w:p>
  </w:comment>
  <w:comment w:id="5" w:author="Bailey, Colin (DFO/MPO)" w:date="2024-11-12T13:14:00Z" w:initials="CB">
    <w:p w14:paraId="54807296" w14:textId="77777777" w:rsidR="003935F1" w:rsidRDefault="003935F1" w:rsidP="003935F1">
      <w:pPr>
        <w:pStyle w:val="CommentText"/>
      </w:pPr>
      <w:r>
        <w:rPr>
          <w:rStyle w:val="CommentReference"/>
        </w:rPr>
        <w:annotationRef/>
      </w:r>
      <w:r>
        <w:t>Good to know. I couldn’t find an explicit definition either. Interesting that the subpopulation definition is what is used</w:t>
      </w:r>
    </w:p>
  </w:comment>
  <w:comment w:id="6" w:author="Bailey, Colin (DFO/MPO)" w:date="2024-11-12T13:18:00Z" w:initials="CB">
    <w:p w14:paraId="7F762929" w14:textId="77777777" w:rsidR="003935F1" w:rsidRDefault="003935F1" w:rsidP="003935F1">
      <w:pPr>
        <w:pStyle w:val="CommentText"/>
      </w:pPr>
      <w:r>
        <w:rPr>
          <w:rStyle w:val="CommentReference"/>
        </w:rPr>
        <w:annotationRef/>
      </w:r>
      <w:r>
        <w:t>Interesting point because we don’t have any data we can comfortably use in the stock-recruit analysis from when the population theoretically had 6.0% survival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924A72" w15:done="0"/>
  <w15:commentEx w15:paraId="4F83D1C7" w15:done="0"/>
  <w15:commentEx w15:paraId="024D5C08" w15:done="0"/>
  <w15:commentEx w15:paraId="20B52352" w15:done="0"/>
  <w15:commentEx w15:paraId="38653B57" w15:done="0"/>
  <w15:commentEx w15:paraId="54807296" w15:done="0"/>
  <w15:commentEx w15:paraId="7F7629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DDD1EB" w16cex:dateUtc="2024-11-12T21:08:00Z"/>
  <w16cex:commentExtensible w16cex:durableId="2ADDD1F3" w16cex:dateUtc="2024-11-12T21:09:00Z"/>
  <w16cex:commentExtensible w16cex:durableId="2ADDD249" w16cex:dateUtc="2024-11-12T21:10:00Z"/>
  <w16cex:commentExtensible w16cex:durableId="2ADDD289" w16cex:dateUtc="2024-11-12T21:11:00Z"/>
  <w16cex:commentExtensible w16cex:durableId="2ADDD2B6" w16cex:dateUtc="2024-11-12T21:12:00Z"/>
  <w16cex:commentExtensible w16cex:durableId="2ADDD32E" w16cex:dateUtc="2024-11-12T21:14:00Z"/>
  <w16cex:commentExtensible w16cex:durableId="2ADDD41C" w16cex:dateUtc="2024-11-12T2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924A72" w16cid:durableId="2ADDD1EB"/>
  <w16cid:commentId w16cid:paraId="4F83D1C7" w16cid:durableId="2ADDD1F3"/>
  <w16cid:commentId w16cid:paraId="024D5C08" w16cid:durableId="2ADDD249"/>
  <w16cid:commentId w16cid:paraId="20B52352" w16cid:durableId="2ADDD289"/>
  <w16cid:commentId w16cid:paraId="38653B57" w16cid:durableId="2ADDD2B6"/>
  <w16cid:commentId w16cid:paraId="54807296" w16cid:durableId="2ADDD32E"/>
  <w16cid:commentId w16cid:paraId="7F762929" w16cid:durableId="2ADDD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iley, Colin (DFO/MPO)">
    <w15:presenceInfo w15:providerId="AD" w15:userId="S::Colin.Bailey@dfo-mpo.gc.ca::789fa5ac-ac8a-4e16-adf2-787bd439e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8C"/>
    <w:rsid w:val="000A3DD0"/>
    <w:rsid w:val="000C2426"/>
    <w:rsid w:val="000C72D7"/>
    <w:rsid w:val="001078A5"/>
    <w:rsid w:val="001F776D"/>
    <w:rsid w:val="002D05F3"/>
    <w:rsid w:val="002F3F21"/>
    <w:rsid w:val="00377FA7"/>
    <w:rsid w:val="003935F1"/>
    <w:rsid w:val="003F3EB4"/>
    <w:rsid w:val="00443B78"/>
    <w:rsid w:val="008308A1"/>
    <w:rsid w:val="0088618C"/>
    <w:rsid w:val="00891F37"/>
    <w:rsid w:val="008F6773"/>
    <w:rsid w:val="00A95C4C"/>
    <w:rsid w:val="00B50044"/>
    <w:rsid w:val="00C92548"/>
    <w:rsid w:val="00D068D5"/>
    <w:rsid w:val="00D97D0E"/>
    <w:rsid w:val="00DA4141"/>
    <w:rsid w:val="00DA593F"/>
    <w:rsid w:val="00DD5754"/>
    <w:rsid w:val="00F0196A"/>
    <w:rsid w:val="00F07B5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D67C"/>
  <w15:chartTrackingRefBased/>
  <w15:docId w15:val="{EE1F9E67-1AA2-48AC-8A14-8F89E23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EB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3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3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35F1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5F1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rbeiderm\Documents\PSC\Coho\Annual%20FRAM%20Reports\Sensitivity%20Analysis\CohoFRAMModelValidation10_31_2022.html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Arbeider, Michael (DFO/MPO)</dc:creator>
  <cp:keywords/>
  <dc:description/>
  <cp:lastModifiedBy>Bailey, Colin (DFO/MPO)</cp:lastModifiedBy>
  <cp:revision>2</cp:revision>
  <dcterms:created xsi:type="dcterms:W3CDTF">2024-11-14T00:00:00Z</dcterms:created>
  <dcterms:modified xsi:type="dcterms:W3CDTF">2024-11-14T00:00:00Z</dcterms:modified>
</cp:coreProperties>
</file>