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AEBDF" w14:textId="77777777" w:rsidR="00484FFE" w:rsidRDefault="003446C1" w:rsidP="00484FFE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="00484FFE">
        <w:rPr>
          <w:b/>
          <w:sz w:val="24"/>
          <w:szCs w:val="24"/>
        </w:rPr>
        <w:t>ow</w:t>
      </w:r>
      <w:r w:rsidR="00484FFE" w:rsidRPr="0037273F">
        <w:rPr>
          <w:b/>
          <w:sz w:val="24"/>
          <w:szCs w:val="24"/>
        </w:rPr>
        <w:t xml:space="preserve"> distributions for </w:t>
      </w:r>
      <w:r w:rsidR="00593841">
        <w:rPr>
          <w:b/>
          <w:sz w:val="24"/>
          <w:szCs w:val="24"/>
        </w:rPr>
        <w:t>hierarchical variance parameter</w:t>
      </w:r>
      <w:r w:rsidR="00484FFE" w:rsidRPr="0037273F">
        <w:rPr>
          <w:b/>
          <w:sz w:val="24"/>
          <w:szCs w:val="24"/>
        </w:rPr>
        <w:t xml:space="preserve"> </w:t>
      </w:r>
      <w:r w:rsidR="00593841">
        <w:rPr>
          <w:b/>
          <w:sz w:val="24"/>
          <w:szCs w:val="24"/>
        </w:rPr>
        <w:t>a</w:t>
      </w:r>
      <w:r w:rsidR="00484FFE">
        <w:rPr>
          <w:b/>
          <w:sz w:val="24"/>
          <w:szCs w:val="24"/>
        </w:rPr>
        <w:t>ffect</w:t>
      </w:r>
      <w:r w:rsidR="00593841">
        <w:rPr>
          <w:b/>
          <w:sz w:val="24"/>
          <w:szCs w:val="24"/>
        </w:rPr>
        <w:t>s</w:t>
      </w:r>
      <w:r w:rsidR="00484FFE">
        <w:rPr>
          <w:b/>
          <w:sz w:val="24"/>
          <w:szCs w:val="24"/>
        </w:rPr>
        <w:t xml:space="preserve"> </w:t>
      </w:r>
      <w:r w:rsidR="00593841">
        <w:rPr>
          <w:b/>
          <w:sz w:val="24"/>
          <w:szCs w:val="24"/>
        </w:rPr>
        <w:t>LRP</w:t>
      </w:r>
      <w:r w:rsidR="00484FFE">
        <w:rPr>
          <w:b/>
          <w:sz w:val="24"/>
          <w:szCs w:val="24"/>
        </w:rPr>
        <w:t xml:space="preserve"> estimates for Interior Fraser Coho</w:t>
      </w:r>
    </w:p>
    <w:p w14:paraId="3417B490" w14:textId="77777777" w:rsidR="00484FFE" w:rsidRPr="00484FFE" w:rsidRDefault="00484FFE" w:rsidP="00484FFE">
      <w:pPr>
        <w:rPr>
          <w:b/>
          <w:i/>
        </w:rPr>
      </w:pPr>
      <w:r w:rsidRPr="00484FFE">
        <w:rPr>
          <w:b/>
          <w:i/>
        </w:rPr>
        <w:t>Prepared for the Limit Reference Point Technical Working Group (Aug 27, 2020)</w:t>
      </w:r>
    </w:p>
    <w:p w14:paraId="0C76B708" w14:textId="77777777" w:rsidR="003446C1" w:rsidRDefault="0087089A">
      <w:r>
        <w:t xml:space="preserve">This note describes how the shape of the prior distribution for the variance parameter </w:t>
      </w:r>
      <w:r>
        <w:rPr>
          <w:rFonts w:cstheme="minorHAnsi"/>
        </w:rPr>
        <w:t>σ</w:t>
      </w:r>
      <w:r w:rsidRPr="0087089A">
        <w:rPr>
          <w:rFonts w:cstheme="minorHAnsi"/>
          <w:vertAlign w:val="subscript"/>
        </w:rPr>
        <w:t>α</w:t>
      </w:r>
      <w:r>
        <w:t xml:space="preserve"> </w:t>
      </w:r>
      <w:r w:rsidR="00593841">
        <w:t xml:space="preserve">(which, is the variance of the </w:t>
      </w:r>
      <w:proofErr w:type="spellStart"/>
      <w:r w:rsidR="00593841">
        <w:t>hyperdistribution</w:t>
      </w:r>
      <w:proofErr w:type="spellEnd"/>
      <w:r w:rsidR="00593841">
        <w:t xml:space="preserve"> on productivity, </w:t>
      </w:r>
      <w:r w:rsidR="00593841">
        <w:rPr>
          <w:rFonts w:cstheme="minorHAnsi"/>
        </w:rPr>
        <w:t>α</w:t>
      </w:r>
      <w:r w:rsidR="00593841">
        <w:t xml:space="preserve">, </w:t>
      </w:r>
      <w:r>
        <w:t>in the hierarchical Ricker component of the integrated LRP model</w:t>
      </w:r>
      <w:r w:rsidR="00593841">
        <w:t>)</w:t>
      </w:r>
      <w:r>
        <w:t xml:space="preserve"> </w:t>
      </w:r>
      <w:r w:rsidR="00593841">
        <w:t>can influence resulting LRP estimates for the Interior Fraser Coho</w:t>
      </w:r>
      <w:r>
        <w:t xml:space="preserve"> </w:t>
      </w:r>
      <w:r w:rsidR="00593841">
        <w:t>case study.</w:t>
      </w:r>
      <w:r>
        <w:t xml:space="preserve"> </w:t>
      </w:r>
    </w:p>
    <w:p w14:paraId="415862A8" w14:textId="77777777" w:rsidR="0087089A" w:rsidRDefault="0087089A">
      <w:r>
        <w:t xml:space="preserve">Two distributions are considered in detail: The </w:t>
      </w:r>
      <w:proofErr w:type="spellStart"/>
      <w:r>
        <w:t>inv.gamma</w:t>
      </w:r>
      <w:proofErr w:type="spellEnd"/>
      <w:r>
        <w:t xml:space="preserve"> (0.</w:t>
      </w:r>
      <w:r w:rsidR="00F62707">
        <w:t>0</w:t>
      </w:r>
      <w:r>
        <w:t xml:space="preserve">1, 0.01) distribution shown in </w:t>
      </w:r>
      <w:r w:rsidR="00F62707">
        <w:t>purple</w:t>
      </w:r>
      <w:r>
        <w:t xml:space="preserve"> in the below figure and the </w:t>
      </w:r>
      <w:proofErr w:type="spellStart"/>
      <w:r>
        <w:t>inv.gamma</w:t>
      </w:r>
      <w:proofErr w:type="spellEnd"/>
      <w:r>
        <w:t xml:space="preserve"> (1,1) distribution shown in red.</w:t>
      </w:r>
      <w:r w:rsidR="0003479C">
        <w:t xml:space="preserve">  We do not show results specific to the </w:t>
      </w:r>
      <w:proofErr w:type="spellStart"/>
      <w:r w:rsidR="0003479C">
        <w:t>inv.gamma</w:t>
      </w:r>
      <w:proofErr w:type="spellEnd"/>
      <w:r w:rsidR="0003479C">
        <w:t xml:space="preserve"> (0.1, 0.1) distribution [grey line in plot] (which behaves similar to the </w:t>
      </w:r>
      <w:proofErr w:type="spellStart"/>
      <w:r w:rsidR="0003479C">
        <w:t>inv.gamma</w:t>
      </w:r>
      <w:proofErr w:type="spellEnd"/>
      <w:r w:rsidR="0003479C">
        <w:t xml:space="preserve"> (0.01, 0.01) distribution)  or the independent model fit (which behaves similar to the </w:t>
      </w:r>
      <w:proofErr w:type="spellStart"/>
      <w:r w:rsidR="0003479C">
        <w:t>inv.gamma</w:t>
      </w:r>
      <w:proofErr w:type="spellEnd"/>
      <w:r w:rsidR="0003479C">
        <w:t xml:space="preserve"> (1, 1) distribution). </w:t>
      </w:r>
    </w:p>
    <w:p w14:paraId="76CD9C12" w14:textId="77777777" w:rsidR="00484FFE" w:rsidRDefault="00484FFE" w:rsidP="00B803B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E579F37" wp14:editId="2283C3E5">
            <wp:extent cx="2247900" cy="216808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73" cy="218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964F6" w14:textId="77777777" w:rsidR="0087089A" w:rsidRDefault="0087089A">
      <w:r w:rsidRPr="0087089A">
        <w:t xml:space="preserve">These prior distributions control the extent to which CU-level estimates of alpha deviate from the mean of the alpha </w:t>
      </w:r>
      <w:proofErr w:type="spellStart"/>
      <w:r w:rsidRPr="0087089A">
        <w:t>hyperdistribution</w:t>
      </w:r>
      <w:proofErr w:type="spellEnd"/>
      <w:r w:rsidRPr="0087089A">
        <w:t>.</w:t>
      </w:r>
      <w:r>
        <w:t xml:space="preserve">  The mode of the variance distribution for the red line is higher than the </w:t>
      </w:r>
      <w:r w:rsidR="00593841">
        <w:t>purple</w:t>
      </w:r>
      <w:r>
        <w:t xml:space="preserve"> line</w:t>
      </w:r>
      <w:r w:rsidR="0041246B">
        <w:t xml:space="preserve"> and the probability is near zero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1246B">
        <w:rPr>
          <w:rFonts w:eastAsiaTheme="minorEastAsia"/>
        </w:rPr>
        <w:t>&lt;0.1 for the red line</w:t>
      </w:r>
      <w:r>
        <w:t>; thus, the red line allows</w:t>
      </w:r>
      <w:r w:rsidR="00593841">
        <w:t xml:space="preserve"> for more deviation </w:t>
      </w:r>
      <w:r w:rsidR="0041246B">
        <w:t xml:space="preserve">(larger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1246B">
        <w:rPr>
          <w:rFonts w:eastAsiaTheme="minorEastAsia"/>
        </w:rPr>
        <w:t xml:space="preserve">) </w:t>
      </w:r>
      <w:r w:rsidR="00593841">
        <w:t>among CU-level alphas</w:t>
      </w:r>
      <w:r w:rsidR="00B803B8">
        <w:t xml:space="preserve"> than the </w:t>
      </w:r>
      <w:r w:rsidR="00F62707">
        <w:t>purple</w:t>
      </w:r>
      <w:r w:rsidR="00B803B8">
        <w:t xml:space="preserve"> line.</w:t>
      </w:r>
    </w:p>
    <w:p w14:paraId="3CD3061D" w14:textId="77777777" w:rsidR="00B803B8" w:rsidRDefault="00B803B8" w:rsidP="00B803B8">
      <w:r>
        <w:t xml:space="preserve">For some CUs, the more diffuse </w:t>
      </w:r>
      <w:proofErr w:type="spellStart"/>
      <w:r>
        <w:t>inv.gamma</w:t>
      </w:r>
      <w:proofErr w:type="spellEnd"/>
      <w:r>
        <w:t xml:space="preserve"> (1,1) distribution </w:t>
      </w:r>
      <w:r w:rsidR="00593841">
        <w:t>leads to an</w:t>
      </w:r>
      <w:r>
        <w:t xml:space="preserve"> increase in alpha compared to the tighter </w:t>
      </w:r>
      <w:proofErr w:type="spellStart"/>
      <w:r>
        <w:t>inv.gamma</w:t>
      </w:r>
      <w:proofErr w:type="spellEnd"/>
      <w:r>
        <w:t xml:space="preserve"> (0.</w:t>
      </w:r>
      <w:r w:rsidR="00F62707">
        <w:t>0</w:t>
      </w:r>
      <w:r>
        <w:t>1, 0.</w:t>
      </w:r>
      <w:r w:rsidR="00F62707">
        <w:t>0</w:t>
      </w:r>
      <w:r>
        <w:t>1) distribution (Fraser Canyon, North Thompson), while for others, it leads to a decrease</w:t>
      </w:r>
      <w:r w:rsidR="00593841">
        <w:t xml:space="preserve"> in alpha</w:t>
      </w:r>
      <w:r>
        <w:t xml:space="preserve"> (Middle Fraser, South Thompson).  These results can be seen the </w:t>
      </w:r>
      <w:r w:rsidR="00593841">
        <w:t xml:space="preserve">below </w:t>
      </w:r>
      <w:r>
        <w:t>figure of CU-level alpha estima</w:t>
      </w:r>
      <w:r w:rsidR="00593841">
        <w:t>tes for various prior scenarios.  N</w:t>
      </w:r>
      <w:r>
        <w:t xml:space="preserve">ote that the </w:t>
      </w:r>
      <w:proofErr w:type="spellStart"/>
      <w:r>
        <w:t>colour</w:t>
      </w:r>
      <w:proofErr w:type="spellEnd"/>
      <w:r>
        <w:t xml:space="preserve"> blocks in the</w:t>
      </w:r>
      <w:r w:rsidR="00593841">
        <w:t>se</w:t>
      </w:r>
      <w:r>
        <w:t xml:space="preserve"> plots </w:t>
      </w:r>
      <w:r w:rsidR="00593841">
        <w:t>show scenarios with different</w:t>
      </w:r>
      <w:r>
        <w:t xml:space="preserve"> variance parameter</w:t>
      </w:r>
      <w:r w:rsidR="00593841">
        <w:t xml:space="preserve">s (where </w:t>
      </w:r>
      <w:r>
        <w:rPr>
          <w:rFonts w:cstheme="minorHAnsi"/>
        </w:rPr>
        <w:t>σ</w:t>
      </w:r>
      <w:r w:rsidRPr="0087089A">
        <w:rPr>
          <w:rFonts w:cstheme="minorHAnsi"/>
          <w:vertAlign w:val="subscript"/>
        </w:rPr>
        <w:t>α</w:t>
      </w:r>
      <w:r w:rsidR="00593841">
        <w:t xml:space="preserve"> = 1/</w:t>
      </w:r>
      <w:r w:rsidR="00593841">
        <w:rPr>
          <w:rFonts w:cstheme="minorHAnsi"/>
        </w:rPr>
        <w:t>τ</w:t>
      </w:r>
      <w:r w:rsidR="00593841" w:rsidRPr="0087089A">
        <w:rPr>
          <w:rFonts w:cstheme="minorHAnsi"/>
          <w:vertAlign w:val="subscript"/>
        </w:rPr>
        <w:t>α</w:t>
      </w:r>
      <w:r w:rsidR="00593841">
        <w:t xml:space="preserve">) </w:t>
      </w:r>
      <w:r>
        <w:t xml:space="preserve">and have been selected to match the </w:t>
      </w:r>
      <w:proofErr w:type="spellStart"/>
      <w:r>
        <w:t>colour</w:t>
      </w:r>
      <w:proofErr w:type="spellEnd"/>
      <w:r>
        <w:t xml:space="preserve"> of the prior distri</w:t>
      </w:r>
      <w:r w:rsidR="00593841">
        <w:t>bution curves in the above plot</w:t>
      </w:r>
      <w:r>
        <w:t>.</w:t>
      </w:r>
    </w:p>
    <w:p w14:paraId="069E4AB9" w14:textId="77777777" w:rsidR="00FE32DE" w:rsidRDefault="00FE32DE"/>
    <w:p w14:paraId="01A559ED" w14:textId="77777777" w:rsidR="00FE32DE" w:rsidRDefault="00FE32DE"/>
    <w:p w14:paraId="3F778DD9" w14:textId="77777777" w:rsidR="00FE32DE" w:rsidRDefault="00FE32DE"/>
    <w:p w14:paraId="688992E0" w14:textId="77777777" w:rsidR="00FE32DE" w:rsidRDefault="00FE32DE"/>
    <w:p w14:paraId="00D486E7" w14:textId="77777777" w:rsidR="00FE32DE" w:rsidRDefault="00FE32DE"/>
    <w:p w14:paraId="7447F221" w14:textId="77777777" w:rsidR="00FE32DE" w:rsidRDefault="00FE32DE"/>
    <w:p w14:paraId="0720CE42" w14:textId="77777777" w:rsidR="00484FFE" w:rsidRDefault="00484FFE">
      <w:pPr>
        <w:rPr>
          <w:b/>
        </w:rPr>
      </w:pPr>
      <w:r>
        <w:rPr>
          <w:b/>
          <w:noProof/>
        </w:rPr>
        <w:drawing>
          <wp:inline distT="0" distB="0" distL="0" distR="0" wp14:anchorId="33FEE389" wp14:editId="546BD336">
            <wp:extent cx="5838825" cy="58655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47" cy="5867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57925" w14:textId="77777777" w:rsidR="00593841" w:rsidRDefault="00593841" w:rsidP="00593841"/>
    <w:p w14:paraId="109B4196" w14:textId="77777777" w:rsidR="007F0833" w:rsidRDefault="007F0833" w:rsidP="00593841"/>
    <w:p w14:paraId="5864D3F0" w14:textId="77777777" w:rsidR="007F0833" w:rsidRDefault="007F0833" w:rsidP="00593841"/>
    <w:p w14:paraId="7DBDC1DA" w14:textId="77777777" w:rsidR="007F0833" w:rsidRDefault="007F0833" w:rsidP="00593841"/>
    <w:p w14:paraId="1094D991" w14:textId="77777777" w:rsidR="007F0833" w:rsidRDefault="007F0833" w:rsidP="00593841"/>
    <w:p w14:paraId="636EFBAA" w14:textId="77777777" w:rsidR="007F0833" w:rsidRDefault="007F0833" w:rsidP="00593841"/>
    <w:p w14:paraId="515538A3" w14:textId="3017BA2B" w:rsidR="00593841" w:rsidRDefault="00593841" w:rsidP="00593841">
      <w:r>
        <w:lastRenderedPageBreak/>
        <w:t xml:space="preserve">These CU-level changes in alpha lead to CU-level changes in </w:t>
      </w:r>
      <w:proofErr w:type="spellStart"/>
      <w:r>
        <w:t>Sgen</w:t>
      </w:r>
      <w:proofErr w:type="spellEnd"/>
      <w:r>
        <w:t xml:space="preserve">, with some </w:t>
      </w:r>
      <w:proofErr w:type="spellStart"/>
      <w:r>
        <w:t>Sgen</w:t>
      </w:r>
      <w:proofErr w:type="spellEnd"/>
      <w:r>
        <w:t xml:space="preserve"> values increasing as the prior distribution on </w:t>
      </w:r>
      <w:r>
        <w:rPr>
          <w:rFonts w:cstheme="minorHAnsi"/>
        </w:rPr>
        <w:t>σ</w:t>
      </w:r>
      <w:r w:rsidRPr="0087089A">
        <w:rPr>
          <w:rFonts w:cstheme="minorHAnsi"/>
          <w:vertAlign w:val="subscript"/>
        </w:rPr>
        <w:t>α</w:t>
      </w:r>
      <w:r>
        <w:t xml:space="preserve"> becomes more diffuse while others decrease.  The </w:t>
      </w:r>
      <w:r w:rsidR="001508FE">
        <w:t>M</w:t>
      </w:r>
      <w:r w:rsidR="001508FE">
        <w:t>aximum</w:t>
      </w:r>
      <w:r w:rsidR="001508FE">
        <w:t xml:space="preserve"> P</w:t>
      </w:r>
      <w:r w:rsidR="001508FE">
        <w:t>osterior</w:t>
      </w:r>
      <w:r w:rsidR="001508FE">
        <w:t xml:space="preserve"> </w:t>
      </w:r>
      <w:r w:rsidR="00AF78E6">
        <w:t>Density ,</w:t>
      </w:r>
      <w:r>
        <w:t>MPD</w:t>
      </w:r>
      <w:r w:rsidR="00AF78E6">
        <w:t>,</w:t>
      </w:r>
      <w:r>
        <w:t xml:space="preserve"> </w:t>
      </w:r>
      <w:proofErr w:type="spellStart"/>
      <w:r>
        <w:t>Sgen</w:t>
      </w:r>
      <w:proofErr w:type="spellEnd"/>
      <w:r>
        <w:t xml:space="preserve"> estimates in 2018 using the </w:t>
      </w:r>
      <w:proofErr w:type="spellStart"/>
      <w:r>
        <w:t>inv.gamma</w:t>
      </w:r>
      <w:proofErr w:type="spellEnd"/>
      <w:r>
        <w:t xml:space="preserve"> (0.01, 0.001) and the </w:t>
      </w:r>
      <w:proofErr w:type="spellStart"/>
      <w:r>
        <w:t>inv.gamma</w:t>
      </w:r>
      <w:proofErr w:type="spellEnd"/>
      <w:r>
        <w:t xml:space="preserve"> (1,1) distributions are shown here: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2340"/>
      </w:tblGrid>
      <w:tr w:rsidR="00593841" w14:paraId="6B3C3ECC" w14:textId="77777777" w:rsidTr="006E1825">
        <w:tc>
          <w:tcPr>
            <w:tcW w:w="2245" w:type="dxa"/>
          </w:tcPr>
          <w:p w14:paraId="4D6AA7E5" w14:textId="77777777" w:rsidR="00593841" w:rsidRDefault="00593841" w:rsidP="006E1825">
            <w:r>
              <w:t>CU</w:t>
            </w:r>
          </w:p>
        </w:tc>
        <w:tc>
          <w:tcPr>
            <w:tcW w:w="2430" w:type="dxa"/>
          </w:tcPr>
          <w:p w14:paraId="0FB7DE80" w14:textId="77777777" w:rsidR="00593841" w:rsidRPr="001A7914" w:rsidRDefault="00593841" w:rsidP="006E1825">
            <w:proofErr w:type="spellStart"/>
            <w:r>
              <w:t>Sgen</w:t>
            </w:r>
            <w:proofErr w:type="spellEnd"/>
            <w:r>
              <w:t xml:space="preserve"> when </w:t>
            </w:r>
            <w:r>
              <w:rPr>
                <w:rFonts w:cstheme="minorHAnsi"/>
              </w:rPr>
              <w:t>σ</w:t>
            </w:r>
            <w:r w:rsidRPr="0087089A">
              <w:rPr>
                <w:rFonts w:cstheme="minorHAnsi"/>
                <w:vertAlign w:val="subscript"/>
              </w:rPr>
              <w:t>α</w:t>
            </w:r>
            <w:r>
              <w:rPr>
                <w:rFonts w:cstheme="minorHAnsi"/>
              </w:rPr>
              <w:t xml:space="preserve"> , σ ~ </w:t>
            </w:r>
            <w:proofErr w:type="spellStart"/>
            <w:r>
              <w:rPr>
                <w:rFonts w:cstheme="minorHAnsi"/>
              </w:rPr>
              <w:t>inv.gamma</w:t>
            </w:r>
            <w:proofErr w:type="spellEnd"/>
            <w:r>
              <w:rPr>
                <w:rFonts w:cstheme="minorHAnsi"/>
              </w:rPr>
              <w:t xml:space="preserve"> (0.01, 0.01)</w:t>
            </w:r>
          </w:p>
        </w:tc>
        <w:tc>
          <w:tcPr>
            <w:tcW w:w="2340" w:type="dxa"/>
          </w:tcPr>
          <w:p w14:paraId="1BDF93F8" w14:textId="77777777" w:rsidR="00593841" w:rsidRDefault="00593841" w:rsidP="006E1825">
            <w:proofErr w:type="spellStart"/>
            <w:r>
              <w:t>Sgen</w:t>
            </w:r>
            <w:proofErr w:type="spellEnd"/>
            <w:r>
              <w:t xml:space="preserve"> when </w:t>
            </w:r>
            <w:r>
              <w:rPr>
                <w:rFonts w:cstheme="minorHAnsi"/>
              </w:rPr>
              <w:t>σ</w:t>
            </w:r>
            <w:r w:rsidRPr="0087089A">
              <w:rPr>
                <w:rFonts w:cstheme="minorHAnsi"/>
                <w:vertAlign w:val="subscript"/>
              </w:rPr>
              <w:t>α</w:t>
            </w:r>
            <w:r>
              <w:rPr>
                <w:rFonts w:cstheme="minorHAnsi"/>
              </w:rPr>
              <w:t xml:space="preserve"> , σ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 xml:space="preserve">~ </w:t>
            </w:r>
            <w:proofErr w:type="spellStart"/>
            <w:r>
              <w:rPr>
                <w:rFonts w:cstheme="minorHAnsi"/>
              </w:rPr>
              <w:t>inv.gamma</w:t>
            </w:r>
            <w:proofErr w:type="spellEnd"/>
            <w:r>
              <w:rPr>
                <w:rFonts w:cstheme="minorHAnsi"/>
              </w:rPr>
              <w:t xml:space="preserve"> (1, 1)</w:t>
            </w:r>
          </w:p>
        </w:tc>
      </w:tr>
      <w:tr w:rsidR="00593841" w14:paraId="6744B5D5" w14:textId="77777777" w:rsidTr="006E1825">
        <w:tc>
          <w:tcPr>
            <w:tcW w:w="2245" w:type="dxa"/>
          </w:tcPr>
          <w:p w14:paraId="014210AC" w14:textId="77777777" w:rsidR="00593841" w:rsidRDefault="00593841" w:rsidP="006E1825">
            <w:r>
              <w:t>Middle Fraser</w:t>
            </w:r>
          </w:p>
        </w:tc>
        <w:tc>
          <w:tcPr>
            <w:tcW w:w="2430" w:type="dxa"/>
          </w:tcPr>
          <w:p w14:paraId="5E865400" w14:textId="77777777" w:rsidR="00593841" w:rsidRDefault="00593841" w:rsidP="006E1825">
            <w:r>
              <w:t>1492</w:t>
            </w:r>
          </w:p>
        </w:tc>
        <w:tc>
          <w:tcPr>
            <w:tcW w:w="2340" w:type="dxa"/>
          </w:tcPr>
          <w:p w14:paraId="625162B5" w14:textId="77777777" w:rsidR="00593841" w:rsidRDefault="00593841" w:rsidP="006E1825">
            <w:r>
              <w:t>1785</w:t>
            </w:r>
          </w:p>
        </w:tc>
      </w:tr>
      <w:tr w:rsidR="00593841" w14:paraId="5AD36D7F" w14:textId="77777777" w:rsidTr="006E1825">
        <w:tc>
          <w:tcPr>
            <w:tcW w:w="2245" w:type="dxa"/>
          </w:tcPr>
          <w:p w14:paraId="5200A4CA" w14:textId="77777777" w:rsidR="00593841" w:rsidRDefault="00593841" w:rsidP="006E1825">
            <w:r>
              <w:t>Fraser Canyon</w:t>
            </w:r>
          </w:p>
        </w:tc>
        <w:tc>
          <w:tcPr>
            <w:tcW w:w="2430" w:type="dxa"/>
          </w:tcPr>
          <w:p w14:paraId="7DBEAF3F" w14:textId="77777777" w:rsidR="00593841" w:rsidRDefault="00593841" w:rsidP="006E1825">
            <w:r>
              <w:t>608</w:t>
            </w:r>
          </w:p>
        </w:tc>
        <w:tc>
          <w:tcPr>
            <w:tcW w:w="2340" w:type="dxa"/>
          </w:tcPr>
          <w:p w14:paraId="17560A3C" w14:textId="77777777" w:rsidR="00593841" w:rsidRDefault="00593841" w:rsidP="006E1825">
            <w:r>
              <w:t>476</w:t>
            </w:r>
          </w:p>
        </w:tc>
      </w:tr>
      <w:tr w:rsidR="00593841" w14:paraId="7905C7F0" w14:textId="77777777" w:rsidTr="006E1825">
        <w:tc>
          <w:tcPr>
            <w:tcW w:w="2245" w:type="dxa"/>
          </w:tcPr>
          <w:p w14:paraId="7C1C88D6" w14:textId="77777777" w:rsidR="00593841" w:rsidRDefault="00593841" w:rsidP="006E1825">
            <w:r>
              <w:t>Lower Thompson</w:t>
            </w:r>
          </w:p>
        </w:tc>
        <w:tc>
          <w:tcPr>
            <w:tcW w:w="2430" w:type="dxa"/>
          </w:tcPr>
          <w:p w14:paraId="6DBA6290" w14:textId="77777777" w:rsidR="00593841" w:rsidRDefault="00593841" w:rsidP="006E1825">
            <w:r>
              <w:t>1542</w:t>
            </w:r>
          </w:p>
        </w:tc>
        <w:tc>
          <w:tcPr>
            <w:tcW w:w="2340" w:type="dxa"/>
          </w:tcPr>
          <w:p w14:paraId="22643303" w14:textId="77777777" w:rsidR="00593841" w:rsidRDefault="00593841" w:rsidP="006E1825">
            <w:r>
              <w:t>1583</w:t>
            </w:r>
          </w:p>
        </w:tc>
      </w:tr>
      <w:tr w:rsidR="00593841" w14:paraId="43242E9E" w14:textId="77777777" w:rsidTr="006E1825">
        <w:tc>
          <w:tcPr>
            <w:tcW w:w="2245" w:type="dxa"/>
          </w:tcPr>
          <w:p w14:paraId="6DD437D3" w14:textId="77777777" w:rsidR="00593841" w:rsidRDefault="00593841" w:rsidP="006E1825">
            <w:r>
              <w:t>North Thompson</w:t>
            </w:r>
          </w:p>
        </w:tc>
        <w:tc>
          <w:tcPr>
            <w:tcW w:w="2430" w:type="dxa"/>
          </w:tcPr>
          <w:p w14:paraId="016E7A64" w14:textId="77777777" w:rsidR="00593841" w:rsidRDefault="00593841" w:rsidP="006E1825">
            <w:r>
              <w:t>2653</w:t>
            </w:r>
          </w:p>
        </w:tc>
        <w:tc>
          <w:tcPr>
            <w:tcW w:w="2340" w:type="dxa"/>
          </w:tcPr>
          <w:p w14:paraId="0659EEA0" w14:textId="77777777" w:rsidR="00593841" w:rsidRDefault="00593841" w:rsidP="006E1825">
            <w:r>
              <w:t>2249</w:t>
            </w:r>
          </w:p>
        </w:tc>
      </w:tr>
      <w:tr w:rsidR="00593841" w14:paraId="6E4753DE" w14:textId="77777777" w:rsidTr="006E1825">
        <w:tc>
          <w:tcPr>
            <w:tcW w:w="2245" w:type="dxa"/>
          </w:tcPr>
          <w:p w14:paraId="5E1D351A" w14:textId="77777777" w:rsidR="00593841" w:rsidRDefault="00593841" w:rsidP="006E1825">
            <w:r>
              <w:t>South Thompson</w:t>
            </w:r>
          </w:p>
        </w:tc>
        <w:tc>
          <w:tcPr>
            <w:tcW w:w="2430" w:type="dxa"/>
          </w:tcPr>
          <w:p w14:paraId="218B0EE6" w14:textId="77777777" w:rsidR="00593841" w:rsidRDefault="00593841" w:rsidP="006E1825">
            <w:r>
              <w:t>2051</w:t>
            </w:r>
          </w:p>
        </w:tc>
        <w:tc>
          <w:tcPr>
            <w:tcW w:w="2340" w:type="dxa"/>
          </w:tcPr>
          <w:p w14:paraId="6EC748F8" w14:textId="77777777" w:rsidR="00593841" w:rsidRDefault="00593841" w:rsidP="006E1825">
            <w:r>
              <w:t>2410</w:t>
            </w:r>
          </w:p>
        </w:tc>
      </w:tr>
    </w:tbl>
    <w:p w14:paraId="41695C91" w14:textId="77777777" w:rsidR="00593841" w:rsidRDefault="00593841" w:rsidP="00593841"/>
    <w:p w14:paraId="0210F654" w14:textId="77777777" w:rsidR="00593841" w:rsidRDefault="00593841" w:rsidP="00593841">
      <w:pPr>
        <w:rPr>
          <w:rFonts w:cstheme="minorHAnsi"/>
        </w:rPr>
      </w:pPr>
      <w:r>
        <w:t>As a result of the</w:t>
      </w:r>
      <w:r w:rsidR="00CB4CD0">
        <w:t xml:space="preserve"> shift</w:t>
      </w:r>
      <w:r>
        <w:t xml:space="preserve"> in </w:t>
      </w:r>
      <w:proofErr w:type="spellStart"/>
      <w:r>
        <w:t>Sgen</w:t>
      </w:r>
      <w:r w:rsidR="00CB4CD0">
        <w:t>s</w:t>
      </w:r>
      <w:proofErr w:type="spellEnd"/>
      <w:r>
        <w:t xml:space="preserve"> when the prior distribution on </w:t>
      </w:r>
      <w:r>
        <w:rPr>
          <w:rFonts w:cstheme="minorHAnsi"/>
        </w:rPr>
        <w:t>σ</w:t>
      </w:r>
      <w:r w:rsidRPr="0087089A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is relaxed to </w:t>
      </w:r>
      <w:proofErr w:type="spellStart"/>
      <w:r>
        <w:rPr>
          <w:rFonts w:cstheme="minorHAnsi"/>
        </w:rPr>
        <w:t>inv.gamma</w:t>
      </w:r>
      <w:proofErr w:type="spellEnd"/>
      <w:r>
        <w:rPr>
          <w:rFonts w:cstheme="minorHAnsi"/>
        </w:rPr>
        <w:t xml:space="preserve"> (1,1), a smaller proportion of CUs are above their </w:t>
      </w:r>
      <w:proofErr w:type="spellStart"/>
      <w:r>
        <w:rPr>
          <w:rFonts w:cstheme="minorHAnsi"/>
        </w:rPr>
        <w:t>Sgen</w:t>
      </w:r>
      <w:proofErr w:type="spellEnd"/>
      <w:r>
        <w:rPr>
          <w:rFonts w:cstheme="minorHAnsi"/>
        </w:rPr>
        <w:t xml:space="preserve"> values in the years 1999, 2005, 2014, and 2015 (see right hand side of below logistic regression fits with data).  These changes act to shift the fitted logistic curve</w:t>
      </w:r>
      <w:r w:rsidR="00CB4CD0">
        <w:rPr>
          <w:rFonts w:cstheme="minorHAnsi"/>
        </w:rPr>
        <w:t xml:space="preserve"> used to derive LRPs to the right.  Because</w:t>
      </w:r>
      <w:r>
        <w:rPr>
          <w:rFonts w:cstheme="minorHAnsi"/>
        </w:rPr>
        <w:t xml:space="preserve"> aggregate escapement levels between 19,000 and 24,000 fish are now more likely to have CUs below </w:t>
      </w:r>
      <w:proofErr w:type="spellStart"/>
      <w:r>
        <w:rPr>
          <w:rFonts w:cstheme="minorHAnsi"/>
        </w:rPr>
        <w:t>Sgen</w:t>
      </w:r>
      <w:proofErr w:type="spellEnd"/>
      <w:r w:rsidR="00CB4CD0">
        <w:rPr>
          <w:rFonts w:cstheme="minorHAnsi"/>
        </w:rPr>
        <w:t>, the estimated LRP also shifts to the right</w:t>
      </w:r>
      <w:r w:rsidR="001E1AB3">
        <w:rPr>
          <w:rFonts w:cstheme="minorHAnsi"/>
        </w:rPr>
        <w:t xml:space="preserve"> (i.e., gets higher)</w:t>
      </w:r>
      <w:r>
        <w:rPr>
          <w:rFonts w:cstheme="minorHAnsi"/>
        </w:rPr>
        <w:t>.</w:t>
      </w:r>
    </w:p>
    <w:p w14:paraId="5FC6AB36" w14:textId="77777777" w:rsidR="00192975" w:rsidRDefault="00192975" w:rsidP="00593841">
      <w:pPr>
        <w:rPr>
          <w:rFonts w:cstheme="minorHAnsi"/>
        </w:rPr>
      </w:pPr>
    </w:p>
    <w:p w14:paraId="63A32762" w14:textId="77777777" w:rsidR="00593841" w:rsidRDefault="00593841" w:rsidP="00593841">
      <w:r>
        <w:rPr>
          <w:noProof/>
        </w:rPr>
        <w:drawing>
          <wp:inline distT="0" distB="0" distL="0" distR="0" wp14:anchorId="4792B3A8" wp14:editId="6203033B">
            <wp:extent cx="6048375" cy="24966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36" cy="2504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AD99C" w14:textId="77777777" w:rsidR="00192975" w:rsidRDefault="00192975" w:rsidP="00593841"/>
    <w:p w14:paraId="57EAE493" w14:textId="77777777" w:rsidR="003446C1" w:rsidRDefault="00593841" w:rsidP="003446C1">
      <w:pPr>
        <w:pStyle w:val="ListParagraph"/>
        <w:numPr>
          <w:ilvl w:val="0"/>
          <w:numId w:val="1"/>
        </w:numPr>
        <w:rPr>
          <w:rFonts w:cstheme="minorHAnsi"/>
        </w:rPr>
      </w:pPr>
      <w:r w:rsidRPr="00593841">
        <w:rPr>
          <w:rFonts w:cstheme="minorHAnsi"/>
        </w:rPr>
        <w:t xml:space="preserve">In three of the </w:t>
      </w:r>
      <w:r w:rsidR="00955055">
        <w:rPr>
          <w:rFonts w:cstheme="minorHAnsi"/>
        </w:rPr>
        <w:t xml:space="preserve">four </w:t>
      </w:r>
      <w:r w:rsidRPr="00593841">
        <w:rPr>
          <w:rFonts w:cstheme="minorHAnsi"/>
        </w:rPr>
        <w:t xml:space="preserve">years with diverging estimates of the proportion of CUs </w:t>
      </w:r>
      <w:r w:rsidR="00955055">
        <w:rPr>
          <w:rFonts w:cstheme="minorHAnsi"/>
        </w:rPr>
        <w:t>&gt;</w:t>
      </w:r>
      <w:r w:rsidRPr="00593841">
        <w:rPr>
          <w:rFonts w:cstheme="minorHAnsi"/>
        </w:rPr>
        <w:t xml:space="preserve"> </w:t>
      </w:r>
      <w:proofErr w:type="spellStart"/>
      <w:r w:rsidRPr="00593841">
        <w:rPr>
          <w:rFonts w:cstheme="minorHAnsi"/>
        </w:rPr>
        <w:t>Sgen</w:t>
      </w:r>
      <w:proofErr w:type="spellEnd"/>
      <w:r w:rsidRPr="00593841">
        <w:rPr>
          <w:rFonts w:cstheme="minorHAnsi"/>
        </w:rPr>
        <w:t xml:space="preserve"> (2004, 2014, </w:t>
      </w:r>
      <w:r w:rsidR="00955055">
        <w:rPr>
          <w:rFonts w:cstheme="minorHAnsi"/>
        </w:rPr>
        <w:t xml:space="preserve">and </w:t>
      </w:r>
      <w:r w:rsidRPr="00593841">
        <w:rPr>
          <w:rFonts w:cstheme="minorHAnsi"/>
        </w:rPr>
        <w:t xml:space="preserve">2015), the difference is due to the higher </w:t>
      </w:r>
      <w:proofErr w:type="spellStart"/>
      <w:r w:rsidRPr="00593841">
        <w:rPr>
          <w:rFonts w:cstheme="minorHAnsi"/>
        </w:rPr>
        <w:t>Sgen</w:t>
      </w:r>
      <w:proofErr w:type="spellEnd"/>
      <w:r w:rsidRPr="00593841">
        <w:rPr>
          <w:rFonts w:cstheme="minorHAnsi"/>
        </w:rPr>
        <w:t xml:space="preserve"> value for the South Thompson CU under the σ</w:t>
      </w:r>
      <w:r w:rsidRPr="00593841">
        <w:rPr>
          <w:rFonts w:cstheme="minorHAnsi"/>
          <w:vertAlign w:val="subscript"/>
        </w:rPr>
        <w:t>α</w:t>
      </w:r>
      <w:r w:rsidRPr="00593841">
        <w:rPr>
          <w:rFonts w:cstheme="minorHAnsi"/>
        </w:rPr>
        <w:t xml:space="preserve"> ~ </w:t>
      </w:r>
      <w:proofErr w:type="spellStart"/>
      <w:r w:rsidRPr="00593841">
        <w:rPr>
          <w:rFonts w:cstheme="minorHAnsi"/>
        </w:rPr>
        <w:t>inv.gamma</w:t>
      </w:r>
      <w:proofErr w:type="spellEnd"/>
      <w:r w:rsidRPr="00593841">
        <w:rPr>
          <w:rFonts w:cstheme="minorHAnsi"/>
        </w:rPr>
        <w:t xml:space="preserve"> (1, 1) assumption.  </w:t>
      </w:r>
    </w:p>
    <w:p w14:paraId="694FD05D" w14:textId="77777777" w:rsidR="00955055" w:rsidRDefault="003446C1" w:rsidP="003446C1">
      <w:pPr>
        <w:pStyle w:val="ListParagraph"/>
        <w:ind w:left="1440"/>
        <w:rPr>
          <w:rFonts w:cstheme="minorHAnsi"/>
        </w:rPr>
      </w:pPr>
      <w:r w:rsidRPr="003446C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3446C1">
        <w:rPr>
          <w:rFonts w:cstheme="minorHAnsi"/>
        </w:rPr>
        <w:t xml:space="preserve">South Thompson </w:t>
      </w:r>
      <w:r>
        <w:rPr>
          <w:rFonts w:cstheme="minorHAnsi"/>
        </w:rPr>
        <w:t>e</w:t>
      </w:r>
      <w:r w:rsidR="00593841" w:rsidRPr="003446C1">
        <w:rPr>
          <w:rFonts w:cstheme="minorHAnsi"/>
        </w:rPr>
        <w:t xml:space="preserve">scapements in 2005, 2014, and 2015 were above </w:t>
      </w:r>
      <w:proofErr w:type="spellStart"/>
      <w:r w:rsidR="00593841" w:rsidRPr="003446C1">
        <w:rPr>
          <w:rFonts w:cstheme="minorHAnsi"/>
        </w:rPr>
        <w:t>Sgen</w:t>
      </w:r>
      <w:proofErr w:type="spellEnd"/>
      <w:r w:rsidR="00593841" w:rsidRPr="003446C1">
        <w:rPr>
          <w:rFonts w:cstheme="minorHAnsi"/>
        </w:rPr>
        <w:t xml:space="preserve"> with σ</w:t>
      </w:r>
      <w:r w:rsidR="00593841" w:rsidRPr="003446C1">
        <w:rPr>
          <w:rFonts w:cstheme="minorHAnsi"/>
          <w:vertAlign w:val="subscript"/>
        </w:rPr>
        <w:t>α</w:t>
      </w:r>
      <w:r w:rsidR="00593841" w:rsidRPr="003446C1">
        <w:rPr>
          <w:rFonts w:cstheme="minorHAnsi"/>
        </w:rPr>
        <w:t xml:space="preserve"> ~ </w:t>
      </w:r>
      <w:proofErr w:type="spellStart"/>
      <w:r w:rsidR="00593841" w:rsidRPr="003446C1">
        <w:rPr>
          <w:rFonts w:cstheme="minorHAnsi"/>
        </w:rPr>
        <w:t>inv.gamma</w:t>
      </w:r>
      <w:proofErr w:type="spellEnd"/>
      <w:r w:rsidR="00593841" w:rsidRPr="003446C1">
        <w:rPr>
          <w:rFonts w:cstheme="minorHAnsi"/>
        </w:rPr>
        <w:t xml:space="preserve"> (0.01, 0.01), but below </w:t>
      </w:r>
      <w:proofErr w:type="spellStart"/>
      <w:r w:rsidR="00593841" w:rsidRPr="003446C1">
        <w:rPr>
          <w:rFonts w:cstheme="minorHAnsi"/>
        </w:rPr>
        <w:t>Sgen</w:t>
      </w:r>
      <w:proofErr w:type="spellEnd"/>
      <w:r w:rsidR="00593841" w:rsidRPr="003446C1">
        <w:rPr>
          <w:rFonts w:cstheme="minorHAnsi"/>
        </w:rPr>
        <w:t xml:space="preserve"> when </w:t>
      </w:r>
      <w:proofErr w:type="spellStart"/>
      <w:r w:rsidR="00593841" w:rsidRPr="003446C1">
        <w:rPr>
          <w:rFonts w:cstheme="minorHAnsi"/>
        </w:rPr>
        <w:t>inv.gamma</w:t>
      </w:r>
      <w:proofErr w:type="spellEnd"/>
      <w:r w:rsidR="00593841" w:rsidRPr="003446C1">
        <w:rPr>
          <w:rFonts w:cstheme="minorHAnsi"/>
        </w:rPr>
        <w:t xml:space="preserve"> (1, 1).</w:t>
      </w:r>
    </w:p>
    <w:p w14:paraId="35F96E61" w14:textId="77777777" w:rsidR="003446C1" w:rsidRPr="00955055" w:rsidRDefault="00955055" w:rsidP="009550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one remaining year with a diverging estimate of the proportion of CUs &gt; </w:t>
      </w:r>
      <w:proofErr w:type="spellStart"/>
      <w:r>
        <w:rPr>
          <w:rFonts w:cstheme="minorHAnsi"/>
        </w:rPr>
        <w:t>Sgen</w:t>
      </w:r>
      <w:proofErr w:type="spellEnd"/>
      <w:r>
        <w:rPr>
          <w:rFonts w:cstheme="minorHAnsi"/>
        </w:rPr>
        <w:t xml:space="preserve"> was 1999.  The shift in this year was due to an increase in the Middle Fraser CU’</w:t>
      </w:r>
      <w:r w:rsidR="00192975">
        <w:rPr>
          <w:rFonts w:cstheme="minorHAnsi"/>
        </w:rPr>
        <w:t xml:space="preserve">s </w:t>
      </w:r>
      <w:proofErr w:type="spellStart"/>
      <w:r w:rsidR="00192975">
        <w:rPr>
          <w:rFonts w:cstheme="minorHAnsi"/>
        </w:rPr>
        <w:t>Sgen</w:t>
      </w:r>
      <w:proofErr w:type="spellEnd"/>
      <w:r w:rsidR="00192975">
        <w:rPr>
          <w:rFonts w:cstheme="minorHAnsi"/>
        </w:rPr>
        <w:t xml:space="preserve"> estimate with </w:t>
      </w:r>
      <w:proofErr w:type="spellStart"/>
      <w:r w:rsidR="00192975" w:rsidRPr="003446C1">
        <w:rPr>
          <w:rFonts w:cstheme="minorHAnsi"/>
        </w:rPr>
        <w:t>inv.gamma</w:t>
      </w:r>
      <w:proofErr w:type="spellEnd"/>
      <w:r w:rsidR="00192975" w:rsidRPr="003446C1">
        <w:rPr>
          <w:rFonts w:cstheme="minorHAnsi"/>
        </w:rPr>
        <w:t xml:space="preserve"> (1, 1).</w:t>
      </w:r>
      <w:r>
        <w:rPr>
          <w:rFonts w:cstheme="minorHAnsi"/>
        </w:rPr>
        <w:t xml:space="preserve">   </w:t>
      </w:r>
      <w:r w:rsidR="00593841" w:rsidRPr="00955055">
        <w:rPr>
          <w:rFonts w:cstheme="minorHAnsi"/>
        </w:rPr>
        <w:t xml:space="preserve">  </w:t>
      </w:r>
    </w:p>
    <w:p w14:paraId="3D0C5CF9" w14:textId="77777777" w:rsidR="00484FFE" w:rsidRPr="003446C1" w:rsidRDefault="003446C1" w:rsidP="003446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Sgen</w:t>
      </w:r>
      <w:proofErr w:type="spellEnd"/>
      <w:r>
        <w:rPr>
          <w:rFonts w:cstheme="minorHAnsi"/>
        </w:rPr>
        <w:t xml:space="preserve"> did not always increase with </w:t>
      </w:r>
      <w:r w:rsidRPr="003446C1">
        <w:rPr>
          <w:rFonts w:cstheme="minorHAnsi"/>
        </w:rPr>
        <w:t>σ</w:t>
      </w:r>
      <w:r w:rsidRPr="003446C1">
        <w:rPr>
          <w:rFonts w:cstheme="minorHAnsi"/>
          <w:vertAlign w:val="subscript"/>
        </w:rPr>
        <w:t>α</w:t>
      </w:r>
      <w:r w:rsidRPr="003446C1">
        <w:rPr>
          <w:rFonts w:cstheme="minorHAnsi"/>
        </w:rPr>
        <w:t xml:space="preserve"> ~ </w:t>
      </w:r>
      <w:proofErr w:type="spellStart"/>
      <w:r w:rsidRPr="003446C1">
        <w:rPr>
          <w:rFonts w:cstheme="minorHAnsi"/>
        </w:rPr>
        <w:t>inv.gamma</w:t>
      </w:r>
      <w:proofErr w:type="spellEnd"/>
      <w:r w:rsidRPr="003446C1">
        <w:rPr>
          <w:rFonts w:cstheme="minorHAnsi"/>
        </w:rPr>
        <w:t xml:space="preserve"> (1, 1) case</w:t>
      </w:r>
      <w:r>
        <w:rPr>
          <w:rFonts w:cstheme="minorHAnsi"/>
        </w:rPr>
        <w:t xml:space="preserve">. The </w:t>
      </w:r>
      <w:r w:rsidR="00593841" w:rsidRPr="003446C1">
        <w:rPr>
          <w:rFonts w:cstheme="minorHAnsi"/>
        </w:rPr>
        <w:t xml:space="preserve">North Thompson CU experienced a decrease in </w:t>
      </w:r>
      <w:proofErr w:type="spellStart"/>
      <w:r w:rsidR="00593841" w:rsidRPr="003446C1">
        <w:rPr>
          <w:rFonts w:cstheme="minorHAnsi"/>
        </w:rPr>
        <w:t>Sgen</w:t>
      </w:r>
      <w:proofErr w:type="spellEnd"/>
      <w:r w:rsidR="00593841" w:rsidRPr="003446C1">
        <w:rPr>
          <w:rFonts w:cstheme="minorHAnsi"/>
        </w:rPr>
        <w:t xml:space="preserve"> under the σ</w:t>
      </w:r>
      <w:r w:rsidR="00593841" w:rsidRPr="003446C1">
        <w:rPr>
          <w:rFonts w:cstheme="minorHAnsi"/>
          <w:vertAlign w:val="subscript"/>
        </w:rPr>
        <w:t>α</w:t>
      </w:r>
      <w:r w:rsidR="00593841" w:rsidRPr="003446C1">
        <w:rPr>
          <w:rFonts w:cstheme="minorHAnsi"/>
        </w:rPr>
        <w:t xml:space="preserve"> ~ </w:t>
      </w:r>
      <w:proofErr w:type="spellStart"/>
      <w:r w:rsidR="00593841" w:rsidRPr="003446C1">
        <w:rPr>
          <w:rFonts w:cstheme="minorHAnsi"/>
        </w:rPr>
        <w:t>inv.gamma</w:t>
      </w:r>
      <w:proofErr w:type="spellEnd"/>
      <w:r w:rsidR="00593841" w:rsidRPr="003446C1">
        <w:rPr>
          <w:rFonts w:cstheme="minorHAnsi"/>
        </w:rPr>
        <w:t xml:space="preserve"> (1, 1) case</w:t>
      </w:r>
      <w:r>
        <w:rPr>
          <w:rFonts w:cstheme="minorHAnsi"/>
        </w:rPr>
        <w:t xml:space="preserve">; however, this shift did not affect the logistic regression fit because </w:t>
      </w:r>
      <w:r w:rsidR="00593841" w:rsidRPr="003446C1">
        <w:rPr>
          <w:rFonts w:cstheme="minorHAnsi"/>
        </w:rPr>
        <w:t xml:space="preserve">escapements for this CU were always above </w:t>
      </w:r>
      <w:proofErr w:type="spellStart"/>
      <w:r w:rsidR="00593841" w:rsidRPr="003446C1">
        <w:rPr>
          <w:rFonts w:cstheme="minorHAnsi"/>
        </w:rPr>
        <w:t>Sgen</w:t>
      </w:r>
      <w:proofErr w:type="spellEnd"/>
      <w:r w:rsidR="00593841" w:rsidRPr="003446C1">
        <w:rPr>
          <w:rFonts w:cstheme="minorHAnsi"/>
        </w:rPr>
        <w:t xml:space="preserve"> in all years, regardless of the σ</w:t>
      </w:r>
      <w:r w:rsidR="00593841" w:rsidRPr="003446C1">
        <w:rPr>
          <w:rFonts w:cstheme="minorHAnsi"/>
          <w:vertAlign w:val="subscript"/>
        </w:rPr>
        <w:t xml:space="preserve">α </w:t>
      </w:r>
      <w:r w:rsidR="00593841" w:rsidRPr="003446C1">
        <w:rPr>
          <w:rFonts w:cstheme="minorHAnsi"/>
        </w:rPr>
        <w:t>prior.</w:t>
      </w:r>
      <w:r>
        <w:rPr>
          <w:rFonts w:cstheme="minorHAnsi"/>
        </w:rPr>
        <w:t xml:space="preserve">  It just happens that South Thompson </w:t>
      </w:r>
      <w:r w:rsidR="00192975">
        <w:rPr>
          <w:rFonts w:cstheme="minorHAnsi"/>
        </w:rPr>
        <w:t xml:space="preserve">and Middle Fraser </w:t>
      </w:r>
      <w:r>
        <w:rPr>
          <w:rFonts w:cstheme="minorHAnsi"/>
        </w:rPr>
        <w:t xml:space="preserve">escapements over the period we have data for where close to </w:t>
      </w:r>
      <w:proofErr w:type="spellStart"/>
      <w:r>
        <w:rPr>
          <w:rFonts w:cstheme="minorHAnsi"/>
        </w:rPr>
        <w:t>Sgen</w:t>
      </w:r>
      <w:proofErr w:type="spellEnd"/>
      <w:r>
        <w:rPr>
          <w:rFonts w:cstheme="minorHAnsi"/>
        </w:rPr>
        <w:t xml:space="preserve"> estimates </w:t>
      </w:r>
      <w:r w:rsidR="00192975">
        <w:rPr>
          <w:rFonts w:cstheme="minorHAnsi"/>
        </w:rPr>
        <w:t>than the North Thompson CU.</w:t>
      </w:r>
    </w:p>
    <w:sectPr w:rsidR="00484FFE" w:rsidRPr="0034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A69F1"/>
    <w:multiLevelType w:val="hybridMultilevel"/>
    <w:tmpl w:val="6E8A1BF0"/>
    <w:lvl w:ilvl="0" w:tplc="39D06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FE"/>
    <w:rsid w:val="0003479C"/>
    <w:rsid w:val="000A1AB7"/>
    <w:rsid w:val="000B42E6"/>
    <w:rsid w:val="000E52A6"/>
    <w:rsid w:val="001508FE"/>
    <w:rsid w:val="001864EB"/>
    <w:rsid w:val="00192975"/>
    <w:rsid w:val="001A7914"/>
    <w:rsid w:val="001E1AB3"/>
    <w:rsid w:val="003446C1"/>
    <w:rsid w:val="0041246B"/>
    <w:rsid w:val="004601EC"/>
    <w:rsid w:val="00484FFE"/>
    <w:rsid w:val="00593841"/>
    <w:rsid w:val="006A48C8"/>
    <w:rsid w:val="00762335"/>
    <w:rsid w:val="007A075F"/>
    <w:rsid w:val="007D0A6F"/>
    <w:rsid w:val="007F0833"/>
    <w:rsid w:val="0087089A"/>
    <w:rsid w:val="008E69F3"/>
    <w:rsid w:val="00955055"/>
    <w:rsid w:val="00956B51"/>
    <w:rsid w:val="00AF78E6"/>
    <w:rsid w:val="00B25CC5"/>
    <w:rsid w:val="00B803B8"/>
    <w:rsid w:val="00BD1656"/>
    <w:rsid w:val="00C95E2E"/>
    <w:rsid w:val="00CB4CD0"/>
    <w:rsid w:val="00D70575"/>
    <w:rsid w:val="00F62707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496E"/>
  <w15:chartTrackingRefBased/>
  <w15:docId w15:val="{5051EBAF-7D3D-4394-A044-67C234AD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8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46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F7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Holt, Kendra</cp:lastModifiedBy>
  <cp:revision>3</cp:revision>
  <dcterms:created xsi:type="dcterms:W3CDTF">2020-08-28T16:40:00Z</dcterms:created>
  <dcterms:modified xsi:type="dcterms:W3CDTF">2020-08-28T16:47:00Z</dcterms:modified>
</cp:coreProperties>
</file>