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94D" w:rsidRDefault="004F5021">
      <w:r>
        <w:rPr>
          <w:noProof/>
        </w:rPr>
        <w:drawing>
          <wp:inline distT="0" distB="0" distL="0" distR="0" wp14:anchorId="7A9DC38B" wp14:editId="5648D4EF">
            <wp:extent cx="5943600" cy="3709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09035"/>
                    </a:xfrm>
                    <a:prstGeom prst="rect">
                      <a:avLst/>
                    </a:prstGeom>
                  </pic:spPr>
                </pic:pic>
              </a:graphicData>
            </a:graphic>
          </wp:inline>
        </w:drawing>
      </w:r>
    </w:p>
    <w:p w:rsidR="004F5021" w:rsidRDefault="004F5021"/>
    <w:p w:rsidR="004F5021" w:rsidRDefault="004F5021">
      <w:r>
        <w:t xml:space="preserve">From </w:t>
      </w:r>
      <w:hyperlink r:id="rId5" w:history="1">
        <w:r w:rsidRPr="004F5021">
          <w:rPr>
            <w:rStyle w:val="Hyperlink"/>
          </w:rPr>
          <w:t>Gelman 2006 Paper</w:t>
        </w:r>
      </w:hyperlink>
      <w:r>
        <w:t>: Compared different “uninformative” priors including some inverse gamma (but also uniform, Cauchy):</w:t>
      </w:r>
    </w:p>
    <w:p w:rsidR="004F5021" w:rsidRDefault="004F5021"/>
    <w:p w:rsidR="004F5021" w:rsidRDefault="004F5021">
      <w:r>
        <w:rPr>
          <w:noProof/>
        </w:rPr>
        <w:drawing>
          <wp:inline distT="0" distB="0" distL="0" distR="0" wp14:anchorId="72EB30A7" wp14:editId="2DDF04BF">
            <wp:extent cx="4920758" cy="2072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1567" cy="2077193"/>
                    </a:xfrm>
                    <a:prstGeom prst="rect">
                      <a:avLst/>
                    </a:prstGeom>
                  </pic:spPr>
                </pic:pic>
              </a:graphicData>
            </a:graphic>
          </wp:inline>
        </w:drawing>
      </w:r>
    </w:p>
    <w:p w:rsidR="004F5021" w:rsidRDefault="004F5021">
      <w:r>
        <w:t>Smaller shape and scale parameters pulled the variance estimate towards 0. Which makes sense given the first plot, where we can see that as shape and rate get smaller, the peak of the distribution is closer to 0. So in a sense, the inverse gamma with smaller shape and scale could actually be more informative (despite having a shorter tail), but I think it would depend on the actual value of sigma.</w:t>
      </w:r>
    </w:p>
    <w:p w:rsidR="004F5021" w:rsidRDefault="004F5021">
      <w:r>
        <w:t>So I do think this image is misleading (plus there is an error – shape and scale should stay the same)</w:t>
      </w:r>
    </w:p>
    <w:p w:rsidR="004F5021" w:rsidRDefault="004F5021">
      <w:r>
        <w:rPr>
          <w:noProof/>
        </w:rPr>
        <w:lastRenderedPageBreak/>
        <w:drawing>
          <wp:inline distT="0" distB="0" distL="0" distR="0" wp14:anchorId="6EC4663F" wp14:editId="2307A0A0">
            <wp:extent cx="405765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2143125"/>
                    </a:xfrm>
                    <a:prstGeom prst="rect">
                      <a:avLst/>
                    </a:prstGeom>
                  </pic:spPr>
                </pic:pic>
              </a:graphicData>
            </a:graphic>
          </wp:inline>
        </w:drawing>
      </w:r>
    </w:p>
    <w:p w:rsidR="004F5021" w:rsidRDefault="004F5021"/>
    <w:p w:rsidR="004F5021" w:rsidRDefault="004F5021">
      <w:r>
        <w:t>What might be more accurate would be</w:t>
      </w:r>
    </w:p>
    <w:p w:rsidR="004F5021" w:rsidRDefault="004F5021">
      <w:r>
        <w:rPr>
          <w:noProof/>
        </w:rPr>
        <mc:AlternateContent>
          <mc:Choice Requires="wps">
            <w:drawing>
              <wp:anchor distT="0" distB="0" distL="114300" distR="114300" simplePos="0" relativeHeight="251659264" behindDoc="0" locked="0" layoutInCell="1" allowOverlap="1" wp14:anchorId="45DDEC71" wp14:editId="28250540">
                <wp:simplePos x="0" y="0"/>
                <wp:positionH relativeFrom="column">
                  <wp:posOffset>494665</wp:posOffset>
                </wp:positionH>
                <wp:positionV relativeFrom="paragraph">
                  <wp:posOffset>292735</wp:posOffset>
                </wp:positionV>
                <wp:extent cx="182880" cy="590550"/>
                <wp:effectExtent l="19050" t="0" r="26670" b="38100"/>
                <wp:wrapNone/>
                <wp:docPr id="5" name="Down Arrow 4"/>
                <wp:cNvGraphicFramePr/>
                <a:graphic xmlns:a="http://schemas.openxmlformats.org/drawingml/2006/main">
                  <a:graphicData uri="http://schemas.microsoft.com/office/word/2010/wordprocessingShape">
                    <wps:wsp>
                      <wps:cNvSpPr/>
                      <wps:spPr>
                        <a:xfrm flipH="1">
                          <a:off x="0" y="0"/>
                          <a:ext cx="182880" cy="590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A14EDA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38.95pt;margin-top:23.05pt;width:14.4pt;height:4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" adj="18255" fillcolor="#5b9bd5 [3204]" strokecolor="#1f4d78 [1604]" strokeweight="1pt"/>
            </w:pict>
          </mc:Fallback>
        </mc:AlternateContent>
      </w:r>
      <w:r>
        <w:t xml:space="preserve">Variance pulled towards 0 </w:t>
      </w:r>
      <w:r>
        <w:sym w:font="Wingdings" w:char="F0E0"/>
      </w:r>
      <w:r>
        <w:t xml:space="preserve"> stock-specific alphas pulled closer to eachother</w:t>
      </w:r>
      <w:r w:rsidRPr="004F5021">
        <w:rPr>
          <w:noProof/>
        </w:rPr>
        <w:t xml:space="preserve"> </w:t>
      </w:r>
    </w:p>
    <w:p w:rsidR="004F5021" w:rsidRPr="004F5021" w:rsidRDefault="004F5021">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α</m:t>
              </m:r>
            </m:sub>
          </m:sSub>
          <m:r>
            <w:rPr>
              <w:rFonts w:ascii="Cambria Math" w:hAnsi="Cambria Math"/>
            </w:rPr>
            <m:t>~gamma</m:t>
          </m:r>
          <m:d>
            <m:dPr>
              <m:ctrlPr>
                <w:rPr>
                  <w:rFonts w:ascii="Cambria Math" w:hAnsi="Cambria Math"/>
                  <w:i/>
                </w:rPr>
              </m:ctrlPr>
            </m:dPr>
            <m:e>
              <m:r>
                <w:rPr>
                  <w:rFonts w:ascii="Cambria Math" w:hAnsi="Cambria Math"/>
                </w:rPr>
                <m:t>0.01, 0.01</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α</m:t>
              </m:r>
            </m:sub>
          </m:sSub>
          <m:r>
            <w:rPr>
              <w:rFonts w:ascii="Cambria Math" w:hAnsi="Cambria Math"/>
            </w:rPr>
            <m:t>~inv.gamma(0.01, 0.01)</m:t>
          </m:r>
        </m:oMath>
      </m:oMathPara>
    </w:p>
    <w:p w:rsidR="004F5021" w:rsidRPr="004F5021" w:rsidRDefault="004F5021" w:rsidP="004F5021">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α</m:t>
              </m:r>
            </m:sub>
          </m:sSub>
          <m:r>
            <w:rPr>
              <w:rFonts w:ascii="Cambria Math" w:hAnsi="Cambria Math"/>
            </w:rPr>
            <m:t>~gamma</m:t>
          </m:r>
          <m:d>
            <m:dPr>
              <m:ctrlPr>
                <w:rPr>
                  <w:rFonts w:ascii="Cambria Math" w:hAnsi="Cambria Math"/>
                  <w:i/>
                </w:rPr>
              </m:ctrlPr>
            </m:dPr>
            <m:e>
              <m:r>
                <w:rPr>
                  <w:rFonts w:ascii="Cambria Math" w:hAnsi="Cambria Math"/>
                </w:rPr>
                <m:t>0.</m:t>
              </m:r>
              <m:r>
                <w:rPr>
                  <w:rFonts w:ascii="Cambria Math" w:hAnsi="Cambria Math"/>
                </w:rPr>
                <m:t>1, 0.01</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α</m:t>
              </m:r>
            </m:sub>
          </m:sSub>
          <m:r>
            <w:rPr>
              <w:rFonts w:ascii="Cambria Math" w:hAnsi="Cambria Math"/>
            </w:rPr>
            <m:t>~inv.gamma</m:t>
          </m:r>
          <m:r>
            <w:rPr>
              <w:rFonts w:ascii="Cambria Math" w:hAnsi="Cambria Math"/>
            </w:rPr>
            <m:t>(0.</m:t>
          </m:r>
          <m:r>
            <w:rPr>
              <w:rFonts w:ascii="Cambria Math" w:hAnsi="Cambria Math"/>
            </w:rPr>
            <m:t>1, 0.01)</m:t>
          </m:r>
        </m:oMath>
      </m:oMathPara>
    </w:p>
    <w:p w:rsidR="004F5021" w:rsidRDefault="004F5021" w:rsidP="004F5021">
      <m:oMathPara>
        <m:oMath>
          <m:sSub>
            <m:sSubPr>
              <m:ctrlPr>
                <w:rPr>
                  <w:rFonts w:ascii="Cambria Math" w:hAnsi="Cambria Math"/>
                  <w:i/>
                </w:rPr>
              </m:ctrlPr>
            </m:sSubPr>
            <m:e>
              <m:r>
                <w:rPr>
                  <w:rFonts w:ascii="Cambria Math" w:hAnsi="Cambria Math"/>
                </w:rPr>
                <m:t>τ</m:t>
              </m:r>
            </m:e>
            <m:sub>
              <m:r>
                <w:rPr>
                  <w:rFonts w:ascii="Cambria Math" w:hAnsi="Cambria Math"/>
                </w:rPr>
                <m:t>α</m:t>
              </m:r>
            </m:sub>
          </m:sSub>
          <m:r>
            <w:rPr>
              <w:rFonts w:ascii="Cambria Math" w:hAnsi="Cambria Math"/>
            </w:rPr>
            <m:t>~gamma</m:t>
          </m:r>
          <m:d>
            <m:dPr>
              <m:ctrlPr>
                <w:rPr>
                  <w:rFonts w:ascii="Cambria Math" w:hAnsi="Cambria Math"/>
                  <w:i/>
                </w:rPr>
              </m:ctrlPr>
            </m:dPr>
            <m:e>
              <m:r>
                <w:rPr>
                  <w:rFonts w:ascii="Cambria Math" w:hAnsi="Cambria Math"/>
                </w:rPr>
                <m:t xml:space="preserve">1, </m:t>
              </m:r>
              <m:r>
                <w:rPr>
                  <w:rFonts w:ascii="Cambria Math" w:hAnsi="Cambria Math"/>
                </w:rPr>
                <m:t>1</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α</m:t>
              </m:r>
            </m:sub>
          </m:sSub>
          <m:r>
            <w:rPr>
              <w:rFonts w:ascii="Cambria Math" w:hAnsi="Cambria Math"/>
            </w:rPr>
            <m:t>~inv.gamma</m:t>
          </m:r>
          <m:r>
            <w:rPr>
              <w:rFonts w:ascii="Cambria Math" w:hAnsi="Cambria Math"/>
            </w:rPr>
            <m:t xml:space="preserve">(1, </m:t>
          </m:r>
          <m:r>
            <w:rPr>
              <w:rFonts w:ascii="Cambria Math" w:hAnsi="Cambria Math"/>
            </w:rPr>
            <m:t>1)</m:t>
          </m:r>
        </m:oMath>
      </m:oMathPara>
    </w:p>
    <w:p w:rsidR="004F5021" w:rsidRDefault="004F5021" w:rsidP="004F5021">
      <w:r>
        <w:t xml:space="preserve">Variance allowed to be farther from 0 </w:t>
      </w:r>
      <w:r w:rsidR="009A082B">
        <w:sym w:font="Wingdings" w:char="F0E0"/>
      </w:r>
      <w:r>
        <w:t xml:space="preserve"> stock-specific alphas allowed to vary more </w:t>
      </w:r>
      <w:r w:rsidR="009A082B">
        <w:t>from eachother</w:t>
      </w:r>
      <w:bookmarkStart w:id="0" w:name="_GoBack"/>
      <w:bookmarkEnd w:id="0"/>
    </w:p>
    <w:p w:rsidR="004F5021" w:rsidRDefault="004F5021"/>
    <w:sectPr w:rsidR="004F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021"/>
    <w:rsid w:val="001E6208"/>
    <w:rsid w:val="004F5021"/>
    <w:rsid w:val="009A082B"/>
    <w:rsid w:val="00C9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E611"/>
  <w15:chartTrackingRefBased/>
  <w15:docId w15:val="{8B16820F-1585-4C65-99C8-2D5C8A17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021"/>
    <w:rPr>
      <w:color w:val="0563C1" w:themeColor="hyperlink"/>
      <w:u w:val="single"/>
    </w:rPr>
  </w:style>
  <w:style w:type="paragraph" w:styleId="NormalWeb">
    <w:name w:val="Normal (Web)"/>
    <w:basedOn w:val="Normal"/>
    <w:uiPriority w:val="99"/>
    <w:semiHidden/>
    <w:unhideWhenUsed/>
    <w:rsid w:val="004F5021"/>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4F50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01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stat.columbia.edu/~gelman/research/published/taumain.pd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Brooke</dc:creator>
  <cp:keywords/>
  <dc:description/>
  <cp:lastModifiedBy>Davis, Brooke</cp:lastModifiedBy>
  <cp:revision>1</cp:revision>
  <dcterms:created xsi:type="dcterms:W3CDTF">2020-06-24T21:59:00Z</dcterms:created>
  <dcterms:modified xsi:type="dcterms:W3CDTF">2020-06-24T22:11:00Z</dcterms:modified>
</cp:coreProperties>
</file>