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FDBFC1" w14:textId="77777777" w:rsidR="003245B0" w:rsidRPr="0037273F" w:rsidRDefault="0037273F" w:rsidP="0037273F">
      <w:pPr>
        <w:rPr>
          <w:b/>
          <w:sz w:val="24"/>
          <w:szCs w:val="24"/>
        </w:rPr>
      </w:pPr>
      <w:r w:rsidRPr="0037273F">
        <w:rPr>
          <w:b/>
          <w:sz w:val="24"/>
          <w:szCs w:val="24"/>
        </w:rPr>
        <w:t xml:space="preserve">Understanding the effect of prior distributions for hierarchical variance parameters in the Ricker </w:t>
      </w:r>
      <w:proofErr w:type="spellStart"/>
      <w:r w:rsidRPr="0037273F">
        <w:rPr>
          <w:b/>
          <w:sz w:val="24"/>
          <w:szCs w:val="24"/>
        </w:rPr>
        <w:t>spawner</w:t>
      </w:r>
      <w:proofErr w:type="spellEnd"/>
      <w:r w:rsidRPr="0037273F">
        <w:rPr>
          <w:b/>
          <w:sz w:val="24"/>
          <w:szCs w:val="24"/>
        </w:rPr>
        <w:t>-recruit model</w:t>
      </w:r>
    </w:p>
    <w:p w14:paraId="17B236BE" w14:textId="77777777" w:rsidR="003D41CD" w:rsidRDefault="003D41CD">
      <w:r>
        <w:t>Prepared for the Limit Reference Point Technical Working Group</w:t>
      </w:r>
      <w:r w:rsidR="000334D9">
        <w:t xml:space="preserve"> (</w:t>
      </w:r>
      <w:r w:rsidR="00987AF5">
        <w:t>June 29, 2020</w:t>
      </w:r>
      <w:r w:rsidR="00A16BA7">
        <w:t>)</w:t>
      </w:r>
    </w:p>
    <w:p w14:paraId="2AEAD298" w14:textId="77777777" w:rsidR="00987AF5" w:rsidRDefault="00987AF5">
      <w:pPr>
        <w:rPr>
          <w:u w:val="single"/>
        </w:rPr>
      </w:pPr>
      <w:r>
        <w:rPr>
          <w:u w:val="single"/>
        </w:rPr>
        <w:t>Purpose:</w:t>
      </w:r>
    </w:p>
    <w:p w14:paraId="0D9DD435" w14:textId="77777777" w:rsidR="000F6DD0" w:rsidRDefault="00987AF5">
      <w:r>
        <w:t xml:space="preserve">This note has been prepared to clarify the </w:t>
      </w:r>
      <w:r w:rsidR="000F6DD0">
        <w:t>shape of the “</w:t>
      </w:r>
      <w:proofErr w:type="spellStart"/>
      <w:r w:rsidR="000F6DD0">
        <w:t>noninformative</w:t>
      </w:r>
      <w:proofErr w:type="spellEnd"/>
      <w:r w:rsidR="000F6DD0">
        <w:t xml:space="preserve">” variance prior distributions being considered for our LRP analysis of Interior Fraser Coho, as well as the impact of these distributions on estimates of CU-level Ricker productivity parameters, </w:t>
      </w:r>
      <w:proofErr w:type="spellStart"/>
      <w:r w:rsidR="000F6DD0">
        <w:t>Sgen</w:t>
      </w:r>
      <w:proofErr w:type="spellEnd"/>
      <w:r w:rsidR="000F6DD0">
        <w:t xml:space="preserve">, and aggregate Limit Reference Points (LRPs) in our integrated LRP modelling framework.  It has been written to address confusion </w:t>
      </w:r>
      <w:r w:rsidR="003A7686">
        <w:t>that emerged</w:t>
      </w:r>
      <w:r w:rsidR="000F6DD0">
        <w:t xml:space="preserve"> at the TWG meeting #5 on June 24, 2020. </w:t>
      </w:r>
    </w:p>
    <w:p w14:paraId="7AE2B790" w14:textId="77777777" w:rsidR="008D6E99" w:rsidRPr="00D8503D" w:rsidRDefault="00EC0B53">
      <w:pPr>
        <w:rPr>
          <w:u w:val="single"/>
        </w:rPr>
      </w:pPr>
      <w:r w:rsidRPr="00D8503D">
        <w:rPr>
          <w:u w:val="single"/>
        </w:rPr>
        <w:t>Model Formulation:</w:t>
      </w:r>
    </w:p>
    <w:p w14:paraId="66A905FF" w14:textId="77777777" w:rsidR="00EC0B53" w:rsidRDefault="00EC0B53" w:rsidP="00EC0B53">
      <w:r>
        <w:t xml:space="preserve">The Ricker model </w:t>
      </w:r>
      <w:r w:rsidR="0037273F">
        <w:t xml:space="preserve">being considered </w:t>
      </w:r>
      <w:r w:rsidR="009D3843">
        <w:t xml:space="preserve">as part of the Integrated LRP estimation framework </w:t>
      </w:r>
      <w:r w:rsidR="0037273F">
        <w:t xml:space="preserve">for Interior Fraser Coho </w:t>
      </w:r>
      <w:r>
        <w:t>has the following form:</w:t>
      </w:r>
    </w:p>
    <w:p w14:paraId="7D57FD0C" w14:textId="77777777" w:rsidR="00EC0B53" w:rsidRPr="0037273F" w:rsidRDefault="001A3687" w:rsidP="00EC0B53">
      <w:pPr>
        <w:pStyle w:val="NormalWeb"/>
        <w:spacing w:before="0" w:beforeAutospacing="0" w:after="0" w:afterAutospacing="0"/>
        <w:rPr>
          <w:bCs/>
          <w:iCs/>
          <w:color w:val="000000"/>
          <w:kern w:val="24"/>
        </w:rPr>
      </w:pPr>
      <m:oMathPara>
        <m:oMathParaPr>
          <m:jc m:val="center"/>
        </m:oMathParaPr>
        <m:oMath>
          <m:sSub>
            <m:sSubPr>
              <m:ctrlPr>
                <w:rPr>
                  <w:rFonts w:ascii="Cambria Math" w:eastAsia="+mn-ea" w:hAnsi="Cambria Math" w:cs="+mn-cs"/>
                  <w:bCs/>
                  <w:i/>
                  <w:iCs/>
                  <w:color w:val="000000"/>
                  <w:kern w:val="24"/>
                </w:rPr>
              </m:ctrlPr>
            </m:sSubPr>
            <m:e>
              <m:acc>
                <m:accPr>
                  <m:ctrlPr>
                    <w:rPr>
                      <w:rFonts w:ascii="Cambria Math" w:eastAsia="+mn-ea" w:hAnsi="Cambria Math" w:cs="+mn-cs"/>
                      <w:bCs/>
                      <w:i/>
                      <w:iCs/>
                      <w:color w:val="000000"/>
                      <w:kern w:val="24"/>
                    </w:rPr>
                  </m:ctrlPr>
                </m:accPr>
                <m:e>
                  <m:r>
                    <w:rPr>
                      <w:rFonts w:ascii="Cambria Math" w:eastAsia="+mn-ea" w:hAnsi="Cambria Math" w:cs="+mn-cs"/>
                      <w:color w:val="000000"/>
                      <w:kern w:val="24"/>
                      <w:lang w:val="en-US"/>
                    </w:rPr>
                    <m:t>R</m:t>
                  </m:r>
                </m:e>
              </m:acc>
            </m:e>
            <m:sub>
              <m:r>
                <w:rPr>
                  <w:rFonts w:ascii="Cambria Math" w:eastAsia="+mn-ea" w:hAnsi="Cambria Math" w:cs="+mn-cs"/>
                  <w:color w:val="000000"/>
                  <w:kern w:val="24"/>
                  <w:lang w:val="en-US"/>
                </w:rPr>
                <m:t>i, a, t</m:t>
              </m:r>
            </m:sub>
          </m:sSub>
          <m:r>
            <w:rPr>
              <w:rFonts w:ascii="Cambria Math" w:eastAsia="+mn-ea" w:hAnsi="Cambria Math" w:cs="+mn-cs"/>
              <w:color w:val="000000"/>
              <w:kern w:val="24"/>
              <w:lang w:val="en-US"/>
            </w:rPr>
            <m:t>=</m:t>
          </m:r>
          <m:sSub>
            <m:sSubPr>
              <m:ctrlPr>
                <w:rPr>
                  <w:rFonts w:ascii="Cambria Math" w:eastAsia="+mn-ea" w:hAnsi="Cambria Math" w:cs="+mn-cs"/>
                  <w:bCs/>
                  <w:i/>
                  <w:iCs/>
                  <w:color w:val="000000"/>
                  <w:kern w:val="24"/>
                </w:rPr>
              </m:ctrlPr>
            </m:sSubPr>
            <m:e>
              <m:r>
                <w:rPr>
                  <w:rFonts w:ascii="Cambria Math" w:eastAsia="+mn-ea" w:hAnsi="Cambria Math" w:cs="+mn-cs"/>
                  <w:color w:val="000000"/>
                  <w:kern w:val="24"/>
                  <w:lang w:val="en-US"/>
                </w:rPr>
                <m:t>P</m:t>
              </m:r>
            </m:e>
            <m:sub>
              <m:r>
                <w:rPr>
                  <w:rFonts w:ascii="Cambria Math" w:eastAsia="+mn-ea" w:hAnsi="Cambria Math" w:cs="+mn-cs"/>
                  <w:color w:val="000000"/>
                  <w:kern w:val="24"/>
                  <w:lang w:val="en-US"/>
                </w:rPr>
                <m:t>i, a, t-a</m:t>
              </m:r>
            </m:sub>
          </m:sSub>
          <m:sSub>
            <m:sSubPr>
              <m:ctrlPr>
                <w:rPr>
                  <w:rFonts w:ascii="Cambria Math" w:eastAsia="+mn-ea" w:hAnsi="Cambria Math" w:cs="+mn-cs"/>
                  <w:bCs/>
                  <w:i/>
                  <w:iCs/>
                  <w:color w:val="000000"/>
                  <w:kern w:val="24"/>
                </w:rPr>
              </m:ctrlPr>
            </m:sSubPr>
            <m:e>
              <m:r>
                <w:rPr>
                  <w:rFonts w:ascii="Cambria Math" w:eastAsia="+mn-ea" w:hAnsi="Cambria Math" w:cs="+mn-cs"/>
                  <w:color w:val="000000"/>
                  <w:kern w:val="24"/>
                </w:rPr>
                <m:t> </m:t>
              </m:r>
              <m:r>
                <w:rPr>
                  <w:rFonts w:ascii="Cambria Math" w:eastAsia="+mn-ea" w:hAnsi="Cambria Math" w:cs="+mn-cs"/>
                  <w:color w:val="000000"/>
                  <w:kern w:val="24"/>
                  <w:lang w:val="en-US"/>
                </w:rPr>
                <m:t>S</m:t>
              </m:r>
            </m:e>
            <m:sub>
              <m:r>
                <w:rPr>
                  <w:rFonts w:ascii="Cambria Math" w:eastAsia="+mn-ea" w:hAnsi="Cambria Math" w:cs="+mn-cs"/>
                  <w:color w:val="000000"/>
                  <w:kern w:val="24"/>
                  <w:lang w:val="en-US"/>
                </w:rPr>
                <m:t>i, t-a</m:t>
              </m:r>
            </m:sub>
          </m:sSub>
          <m:sSup>
            <m:sSupPr>
              <m:ctrlPr>
                <w:rPr>
                  <w:rFonts w:ascii="Cambria Math" w:eastAsia="+mn-ea" w:hAnsi="Cambria Math" w:cs="+mn-cs"/>
                  <w:bCs/>
                  <w:i/>
                  <w:iCs/>
                  <w:color w:val="000000"/>
                  <w:kern w:val="24"/>
                </w:rPr>
              </m:ctrlPr>
            </m:sSupPr>
            <m:e>
              <m:r>
                <w:rPr>
                  <w:rFonts w:ascii="Cambria Math" w:eastAsia="+mn-ea" w:hAnsi="Cambria Math" w:cs="+mn-cs"/>
                  <w:color w:val="000000"/>
                  <w:kern w:val="24"/>
                </w:rPr>
                <m:t> </m:t>
              </m:r>
              <m:r>
                <w:rPr>
                  <w:rFonts w:ascii="Cambria Math" w:eastAsia="+mn-ea" w:hAnsi="Cambria Math" w:cs="+mn-cs"/>
                  <w:color w:val="000000"/>
                  <w:kern w:val="24"/>
                  <w:lang w:val="en-US"/>
                </w:rPr>
                <m:t>e</m:t>
              </m:r>
            </m:e>
            <m:sup>
              <m:sSub>
                <m:sSubPr>
                  <m:ctrlPr>
                    <w:rPr>
                      <w:rFonts w:ascii="Cambria Math" w:eastAsia="+mn-ea" w:hAnsi="Cambria Math" w:cs="+mn-cs"/>
                      <w:bCs/>
                      <w:i/>
                      <w:iCs/>
                      <w:color w:val="000000"/>
                      <w:kern w:val="24"/>
                    </w:rPr>
                  </m:ctrlPr>
                </m:sSubPr>
                <m:e>
                  <m:r>
                    <w:rPr>
                      <w:rFonts w:ascii="Cambria Math" w:eastAsia="+mn-ea" w:hAnsi="Cambria Math" w:cs="+mn-cs"/>
                      <w:color w:val="000000"/>
                      <w:kern w:val="24"/>
                    </w:rPr>
                    <m:t>α</m:t>
                  </m:r>
                </m:e>
                <m:sub>
                  <m:r>
                    <w:rPr>
                      <w:rFonts w:ascii="Cambria Math" w:eastAsia="+mn-ea" w:hAnsi="Cambria Math" w:cs="+mn-cs"/>
                      <w:color w:val="000000"/>
                      <w:kern w:val="24"/>
                      <w:lang w:val="en-US"/>
                    </w:rPr>
                    <m:t>i</m:t>
                  </m:r>
                </m:sub>
              </m:sSub>
              <m:r>
                <w:rPr>
                  <w:rFonts w:ascii="Cambria Math" w:eastAsia="+mn-ea" w:hAnsi="Cambria Math" w:cs="+mn-cs"/>
                  <w:color w:val="000000"/>
                  <w:kern w:val="24"/>
                  <w:lang w:val="en-US"/>
                </w:rPr>
                <m:t>+ γ</m:t>
              </m:r>
              <m:func>
                <m:funcPr>
                  <m:ctrlPr>
                    <w:rPr>
                      <w:rFonts w:ascii="Cambria Math" w:eastAsia="+mn-ea" w:hAnsi="Cambria Math" w:cs="+mn-cs"/>
                      <w:bCs/>
                      <w:i/>
                      <w:iCs/>
                      <w:color w:val="000000"/>
                      <w:kern w:val="24"/>
                    </w:rPr>
                  </m:ctrlPr>
                </m:funcPr>
                <m:fName>
                  <m:r>
                    <w:rPr>
                      <w:rFonts w:ascii="Cambria Math" w:eastAsia="+mn-ea" w:hAnsi="Cambria Math" w:cs="+mn-cs"/>
                      <w:color w:val="000000"/>
                      <w:kern w:val="24"/>
                      <w:lang w:val="en-US"/>
                    </w:rPr>
                    <m:t>Ln</m:t>
                  </m:r>
                </m:fName>
                <m:e>
                  <m:d>
                    <m:dPr>
                      <m:ctrlPr>
                        <w:rPr>
                          <w:rFonts w:ascii="Cambria Math" w:eastAsia="+mn-ea" w:hAnsi="Cambria Math" w:cs="+mn-cs"/>
                          <w:bCs/>
                          <w:i/>
                          <w:iCs/>
                          <w:color w:val="000000"/>
                          <w:kern w:val="24"/>
                        </w:rPr>
                      </m:ctrlPr>
                    </m:dPr>
                    <m:e>
                      <m:sSub>
                        <m:sSubPr>
                          <m:ctrlPr>
                            <w:rPr>
                              <w:rFonts w:ascii="Cambria Math" w:eastAsia="+mn-ea" w:hAnsi="Cambria Math" w:cs="+mn-cs"/>
                              <w:bCs/>
                              <w:i/>
                              <w:iCs/>
                              <w:color w:val="000000"/>
                              <w:kern w:val="24"/>
                            </w:rPr>
                          </m:ctrlPr>
                        </m:sSubPr>
                        <m:e>
                          <m:r>
                            <w:rPr>
                              <w:rFonts w:ascii="Cambria Math" w:eastAsia="+mn-ea" w:hAnsi="Cambria Math" w:cs="+mn-cs"/>
                              <w:color w:val="000000"/>
                              <w:kern w:val="24"/>
                              <w:lang w:val="en-US"/>
                            </w:rPr>
                            <m:t>M</m:t>
                          </m:r>
                        </m:e>
                        <m:sub>
                          <m:r>
                            <w:rPr>
                              <w:rFonts w:ascii="Cambria Math" w:eastAsia="+mn-ea" w:hAnsi="Cambria Math" w:cs="+mn-cs"/>
                              <w:color w:val="000000"/>
                              <w:kern w:val="24"/>
                              <w:lang w:val="en-US"/>
                            </w:rPr>
                            <m:t>t-1</m:t>
                          </m:r>
                        </m:sub>
                      </m:sSub>
                    </m:e>
                  </m:d>
                </m:e>
              </m:func>
              <m:r>
                <w:rPr>
                  <w:rFonts w:ascii="Cambria Math" w:eastAsia="+mn-ea" w:hAnsi="Cambria Math" w:cs="+mn-cs"/>
                  <w:color w:val="000000"/>
                  <w:kern w:val="24"/>
                  <w:lang w:val="en-US"/>
                </w:rPr>
                <m:t>-</m:t>
              </m:r>
              <m:sSub>
                <m:sSubPr>
                  <m:ctrlPr>
                    <w:rPr>
                      <w:rFonts w:ascii="Cambria Math" w:eastAsia="+mn-ea" w:hAnsi="Cambria Math" w:cs="+mn-cs"/>
                      <w:bCs/>
                      <w:i/>
                      <w:iCs/>
                      <w:color w:val="000000"/>
                      <w:kern w:val="24"/>
                    </w:rPr>
                  </m:ctrlPr>
                </m:sSubPr>
                <m:e>
                  <m:r>
                    <w:rPr>
                      <w:rFonts w:ascii="Cambria Math" w:eastAsia="+mn-ea" w:hAnsi="Cambria Math" w:cs="+mn-cs"/>
                      <w:color w:val="000000"/>
                      <w:kern w:val="24"/>
                      <w:lang w:val="en-US"/>
                    </w:rPr>
                    <m:t>β</m:t>
                  </m:r>
                </m:e>
                <m:sub>
                  <m:r>
                    <w:rPr>
                      <w:rFonts w:ascii="Cambria Math" w:eastAsia="+mn-ea" w:hAnsi="Cambria Math" w:cs="+mn-cs"/>
                      <w:color w:val="000000"/>
                      <w:kern w:val="24"/>
                      <w:lang w:val="en-US"/>
                    </w:rPr>
                    <m:t>i</m:t>
                  </m:r>
                </m:sub>
              </m:sSub>
              <m:sSub>
                <m:sSubPr>
                  <m:ctrlPr>
                    <w:rPr>
                      <w:rFonts w:ascii="Cambria Math" w:eastAsia="+mn-ea" w:hAnsi="Cambria Math" w:cs="+mn-cs"/>
                      <w:bCs/>
                      <w:i/>
                      <w:iCs/>
                      <w:color w:val="000000"/>
                      <w:kern w:val="24"/>
                    </w:rPr>
                  </m:ctrlPr>
                </m:sSubPr>
                <m:e>
                  <m:r>
                    <w:rPr>
                      <w:rFonts w:ascii="Cambria Math" w:eastAsia="+mn-ea" w:hAnsi="Cambria Math" w:cs="+mn-cs"/>
                      <w:color w:val="000000"/>
                      <w:kern w:val="24"/>
                      <w:lang w:val="en-US"/>
                    </w:rPr>
                    <m:t>S</m:t>
                  </m:r>
                </m:e>
                <m:sub>
                  <m:r>
                    <w:rPr>
                      <w:rFonts w:ascii="Cambria Math" w:eastAsia="+mn-ea" w:hAnsi="Cambria Math" w:cs="+mn-cs"/>
                      <w:color w:val="000000"/>
                      <w:kern w:val="24"/>
                      <w:lang w:val="en-US"/>
                    </w:rPr>
                    <m:t>i, t-a</m:t>
                  </m:r>
                </m:sub>
              </m:sSub>
            </m:sup>
          </m:sSup>
        </m:oMath>
      </m:oMathPara>
    </w:p>
    <w:p w14:paraId="3393A767" w14:textId="77777777" w:rsidR="00EC0B53" w:rsidRDefault="00EC0B53" w:rsidP="00EC0B53">
      <w:pPr>
        <w:pStyle w:val="NormalWeb"/>
        <w:spacing w:before="0" w:beforeAutospacing="0" w:after="0" w:afterAutospacing="0"/>
        <w:rPr>
          <w:bCs/>
          <w:iCs/>
          <w:color w:val="000000"/>
          <w:kern w:val="24"/>
        </w:rPr>
      </w:pPr>
    </w:p>
    <w:p w14:paraId="4289DF94" w14:textId="77777777" w:rsidR="00EC0B53" w:rsidRPr="0037273F" w:rsidRDefault="00EC0B53" w:rsidP="00EC0B53">
      <w:pPr>
        <w:pStyle w:val="NormalWeb"/>
        <w:spacing w:before="0" w:beforeAutospacing="0" w:after="0" w:afterAutospacing="0"/>
        <w:rPr>
          <w:rFonts w:asciiTheme="minorHAnsi" w:hAnsiTheme="minorHAnsi" w:cstheme="minorHAnsi"/>
          <w:sz w:val="22"/>
          <w:szCs w:val="22"/>
        </w:rPr>
      </w:pPr>
      <w:r w:rsidRPr="0037273F">
        <w:rPr>
          <w:rFonts w:asciiTheme="minorHAnsi" w:hAnsiTheme="minorHAnsi" w:cstheme="minorHAnsi"/>
          <w:bCs/>
          <w:iCs/>
          <w:color w:val="000000"/>
          <w:kern w:val="24"/>
          <w:sz w:val="22"/>
          <w:szCs w:val="22"/>
        </w:rPr>
        <w:t>where:</w:t>
      </w:r>
    </w:p>
    <w:p w14:paraId="3E52FD58" w14:textId="77777777" w:rsidR="00EC0B53" w:rsidRDefault="00EC0B53" w:rsidP="00EC0B53">
      <w:pPr>
        <w:pStyle w:val="NormalWeb"/>
        <w:spacing w:before="0" w:beforeAutospacing="0" w:after="0" w:afterAutospacing="0"/>
        <w:rPr>
          <w:iCs/>
          <w:color w:val="000000"/>
          <w:kern w:val="24"/>
        </w:rPr>
      </w:pPr>
    </w:p>
    <w:p w14:paraId="10CDE4E0" w14:textId="77777777" w:rsidR="00EC0B53" w:rsidRPr="00123AE9" w:rsidRDefault="001A3687" w:rsidP="00EC0B53">
      <w:pPr>
        <w:pStyle w:val="NormalWeb"/>
        <w:spacing w:before="0" w:beforeAutospacing="0" w:after="0" w:afterAutospacing="0"/>
        <w:rPr>
          <w:iCs/>
          <w:color w:val="000000"/>
          <w:kern w:val="24"/>
        </w:rPr>
      </w:pPr>
      <m:oMath>
        <m:sSub>
          <m:sSubPr>
            <m:ctrlPr>
              <w:rPr>
                <w:rFonts w:ascii="Cambria Math" w:eastAsia="+mn-ea" w:hAnsi="Cambria Math" w:cs="+mn-cs"/>
                <w:i/>
                <w:iCs/>
                <w:color w:val="000000"/>
                <w:kern w:val="24"/>
              </w:rPr>
            </m:ctrlPr>
          </m:sSubPr>
          <m:e>
            <m:acc>
              <m:accPr>
                <m:ctrlPr>
                  <w:rPr>
                    <w:rFonts w:ascii="Cambria Math" w:eastAsia="+mn-ea" w:hAnsi="Cambria Math" w:cs="+mn-cs"/>
                    <w:i/>
                    <w:color w:val="000000"/>
                    <w:kern w:val="24"/>
                    <w:lang w:val="en-US"/>
                  </w:rPr>
                </m:ctrlPr>
              </m:accPr>
              <m:e>
                <m:r>
                  <w:rPr>
                    <w:rFonts w:ascii="Cambria Math" w:eastAsia="+mn-ea" w:hAnsi="Cambria Math" w:cs="+mn-cs"/>
                    <w:color w:val="000000"/>
                    <w:kern w:val="24"/>
                    <w:lang w:val="en-US"/>
                  </w:rPr>
                  <m:t>R</m:t>
                </m:r>
              </m:e>
            </m:acc>
          </m:e>
          <m:sub>
            <m:r>
              <w:rPr>
                <w:rFonts w:ascii="Cambria Math" w:eastAsia="+mn-ea" w:hAnsi="Cambria Math" w:cs="+mn-cs"/>
                <w:color w:val="000000"/>
                <w:kern w:val="24"/>
                <w:lang w:val="en-US"/>
              </w:rPr>
              <m:t>i, a, t</m:t>
            </m:r>
          </m:sub>
        </m:sSub>
      </m:oMath>
      <w:r w:rsidR="00EC0B53">
        <w:rPr>
          <w:color w:val="000000"/>
          <w:kern w:val="24"/>
        </w:rPr>
        <w:t xml:space="preserve"> </w:t>
      </w:r>
      <w:r w:rsidR="00EC0B53" w:rsidRPr="0037273F">
        <w:rPr>
          <w:rFonts w:asciiTheme="minorHAnsi" w:hAnsiTheme="minorHAnsi" w:cstheme="minorHAnsi"/>
          <w:color w:val="000000"/>
          <w:kern w:val="24"/>
          <w:sz w:val="22"/>
          <w:szCs w:val="22"/>
        </w:rPr>
        <w:t>= the predicted number of natural origin recruits returning in year t of age a produced by escapement in brood year t-a</w:t>
      </w:r>
    </w:p>
    <w:p w14:paraId="45D218ED" w14:textId="77777777" w:rsidR="00EC0B53" w:rsidRDefault="001A3687" w:rsidP="00EC0B53">
      <w:pPr>
        <w:pStyle w:val="NormalWeb"/>
        <w:spacing w:before="0" w:beforeAutospacing="0" w:after="0" w:afterAutospacing="0"/>
        <w:rPr>
          <w:iCs/>
          <w:color w:val="000000"/>
          <w:kern w:val="24"/>
        </w:rPr>
      </w:pPr>
      <m:oMath>
        <m:sSub>
          <m:sSubPr>
            <m:ctrlPr>
              <w:rPr>
                <w:rFonts w:ascii="Cambria Math" w:eastAsia="+mn-ea" w:hAnsi="Cambria Math" w:cs="+mn-cs"/>
                <w:i/>
                <w:iCs/>
                <w:color w:val="000000"/>
                <w:kern w:val="24"/>
              </w:rPr>
            </m:ctrlPr>
          </m:sSubPr>
          <m:e>
            <m:r>
              <w:rPr>
                <w:rFonts w:ascii="Cambria Math" w:eastAsia="+mn-ea" w:hAnsi="Cambria Math" w:cs="+mn-cs"/>
                <w:color w:val="000000"/>
                <w:kern w:val="24"/>
                <w:lang w:val="en-US"/>
              </w:rPr>
              <m:t>P</m:t>
            </m:r>
          </m:e>
          <m:sub>
            <m:r>
              <w:rPr>
                <w:rFonts w:ascii="Cambria Math" w:eastAsia="+mn-ea" w:hAnsi="Cambria Math" w:cs="+mn-cs"/>
                <w:color w:val="000000"/>
                <w:kern w:val="24"/>
                <w:lang w:val="en-US"/>
              </w:rPr>
              <m:t>i, a, t-a</m:t>
            </m:r>
          </m:sub>
        </m:sSub>
      </m:oMath>
      <w:r w:rsidR="00EC0B53">
        <w:rPr>
          <w:iCs/>
          <w:color w:val="000000"/>
          <w:kern w:val="24"/>
        </w:rPr>
        <w:t xml:space="preserve"> </w:t>
      </w:r>
      <w:r w:rsidR="00EC0B53" w:rsidRPr="0037273F">
        <w:rPr>
          <w:rFonts w:asciiTheme="minorHAnsi" w:hAnsiTheme="minorHAnsi" w:cstheme="minorHAnsi"/>
          <w:iCs/>
          <w:color w:val="000000"/>
          <w:kern w:val="24"/>
          <w:sz w:val="22"/>
          <w:szCs w:val="22"/>
        </w:rPr>
        <w:t xml:space="preserve">= the proportion of recruitment from CU </w:t>
      </w:r>
      <w:proofErr w:type="spellStart"/>
      <w:r w:rsidR="00EC0B53" w:rsidRPr="0037273F">
        <w:rPr>
          <w:rFonts w:asciiTheme="minorHAnsi" w:hAnsiTheme="minorHAnsi" w:cstheme="minorHAnsi"/>
          <w:iCs/>
          <w:color w:val="000000"/>
          <w:kern w:val="24"/>
          <w:sz w:val="22"/>
          <w:szCs w:val="22"/>
        </w:rPr>
        <w:t>i</w:t>
      </w:r>
      <w:proofErr w:type="spellEnd"/>
      <w:r w:rsidR="00EC0B53" w:rsidRPr="0037273F">
        <w:rPr>
          <w:rFonts w:asciiTheme="minorHAnsi" w:hAnsiTheme="minorHAnsi" w:cstheme="minorHAnsi"/>
          <w:iCs/>
          <w:color w:val="000000"/>
          <w:kern w:val="24"/>
          <w:sz w:val="22"/>
          <w:szCs w:val="22"/>
        </w:rPr>
        <w:t xml:space="preserve"> returning at age a from brood year t-a</w:t>
      </w:r>
    </w:p>
    <w:p w14:paraId="281314BD" w14:textId="77777777" w:rsidR="00EC0B53" w:rsidRDefault="001A3687" w:rsidP="00EC0B53">
      <w:pPr>
        <w:pStyle w:val="NormalWeb"/>
        <w:spacing w:before="0" w:beforeAutospacing="0" w:after="0" w:afterAutospacing="0"/>
        <w:rPr>
          <w:iCs/>
          <w:color w:val="000000"/>
          <w:kern w:val="24"/>
        </w:rPr>
      </w:pPr>
      <m:oMath>
        <m:sSub>
          <m:sSubPr>
            <m:ctrlPr>
              <w:rPr>
                <w:rFonts w:ascii="Cambria Math" w:eastAsia="+mn-ea" w:hAnsi="Cambria Math" w:cs="+mn-cs"/>
                <w:i/>
                <w:iCs/>
                <w:color w:val="000000"/>
                <w:kern w:val="24"/>
              </w:rPr>
            </m:ctrlPr>
          </m:sSubPr>
          <m:e>
            <m:r>
              <w:rPr>
                <w:rFonts w:ascii="Cambria Math" w:eastAsia="+mn-ea" w:hAnsi="Cambria Math" w:cs="+mn-cs"/>
                <w:color w:val="000000"/>
                <w:kern w:val="24"/>
                <w:lang w:val="en-US"/>
              </w:rPr>
              <m:t>S</m:t>
            </m:r>
          </m:e>
          <m:sub>
            <m:r>
              <w:rPr>
                <w:rFonts w:ascii="Cambria Math" w:eastAsia="+mn-ea" w:hAnsi="Cambria Math" w:cs="+mn-cs"/>
                <w:color w:val="000000"/>
                <w:kern w:val="24"/>
                <w:lang w:val="en-US"/>
              </w:rPr>
              <m:t>i, t-a</m:t>
            </m:r>
          </m:sub>
        </m:sSub>
      </m:oMath>
      <w:r w:rsidR="00EC0B53">
        <w:rPr>
          <w:iCs/>
          <w:color w:val="000000"/>
          <w:kern w:val="24"/>
        </w:rPr>
        <w:t xml:space="preserve"> </w:t>
      </w:r>
      <w:r w:rsidR="00EC0B53" w:rsidRPr="0037273F">
        <w:rPr>
          <w:rFonts w:asciiTheme="minorHAnsi" w:hAnsiTheme="minorHAnsi" w:cstheme="minorHAnsi"/>
          <w:iCs/>
          <w:color w:val="000000"/>
          <w:kern w:val="24"/>
          <w:sz w:val="22"/>
          <w:szCs w:val="22"/>
        </w:rPr>
        <w:t xml:space="preserve">= </w:t>
      </w:r>
      <w:proofErr w:type="spellStart"/>
      <w:r w:rsidR="00EC0B53" w:rsidRPr="0037273F">
        <w:rPr>
          <w:rFonts w:asciiTheme="minorHAnsi" w:hAnsiTheme="minorHAnsi" w:cstheme="minorHAnsi"/>
          <w:iCs/>
          <w:color w:val="000000"/>
          <w:kern w:val="24"/>
          <w:sz w:val="22"/>
          <w:szCs w:val="22"/>
        </w:rPr>
        <w:t>spawners</w:t>
      </w:r>
      <w:proofErr w:type="spellEnd"/>
      <w:r w:rsidR="00EC0B53" w:rsidRPr="0037273F">
        <w:rPr>
          <w:rFonts w:asciiTheme="minorHAnsi" w:hAnsiTheme="minorHAnsi" w:cstheme="minorHAnsi"/>
          <w:iCs/>
          <w:color w:val="000000"/>
          <w:kern w:val="24"/>
          <w:sz w:val="22"/>
          <w:szCs w:val="22"/>
        </w:rPr>
        <w:t xml:space="preserve"> from CU </w:t>
      </w:r>
      <w:proofErr w:type="spellStart"/>
      <w:r w:rsidR="0037273F">
        <w:rPr>
          <w:rFonts w:asciiTheme="minorHAnsi" w:hAnsiTheme="minorHAnsi" w:cstheme="minorHAnsi"/>
          <w:iCs/>
          <w:color w:val="000000"/>
          <w:kern w:val="24"/>
          <w:sz w:val="22"/>
          <w:szCs w:val="22"/>
        </w:rPr>
        <w:t>i</w:t>
      </w:r>
      <w:proofErr w:type="spellEnd"/>
      <w:r w:rsidR="00EC0B53" w:rsidRPr="0037273F">
        <w:rPr>
          <w:rFonts w:asciiTheme="minorHAnsi" w:hAnsiTheme="minorHAnsi" w:cstheme="minorHAnsi"/>
          <w:iCs/>
          <w:color w:val="000000"/>
          <w:kern w:val="24"/>
          <w:sz w:val="22"/>
          <w:szCs w:val="22"/>
        </w:rPr>
        <w:t xml:space="preserve"> in brood year t – a</w:t>
      </w:r>
    </w:p>
    <w:p w14:paraId="7F0F6BED" w14:textId="77777777" w:rsidR="00EC0B53" w:rsidRPr="0037273F" w:rsidRDefault="001A3687" w:rsidP="00EC0B53">
      <w:pPr>
        <w:pStyle w:val="NormalWeb"/>
        <w:spacing w:before="0" w:beforeAutospacing="0" w:after="0" w:afterAutospacing="0"/>
        <w:rPr>
          <w:rFonts w:asciiTheme="minorHAnsi" w:hAnsiTheme="minorHAnsi" w:cstheme="minorHAnsi"/>
          <w:iCs/>
          <w:color w:val="000000"/>
          <w:kern w:val="24"/>
          <w:sz w:val="22"/>
          <w:szCs w:val="22"/>
        </w:rPr>
      </w:pPr>
      <m:oMath>
        <m:sSub>
          <m:sSubPr>
            <m:ctrlPr>
              <w:rPr>
                <w:rFonts w:ascii="Cambria Math" w:eastAsia="+mn-ea" w:hAnsi="Cambria Math" w:cs="+mn-cs"/>
                <w:i/>
                <w:iCs/>
                <w:color w:val="000000"/>
                <w:kern w:val="24"/>
              </w:rPr>
            </m:ctrlPr>
          </m:sSubPr>
          <m:e>
            <m:r>
              <w:rPr>
                <w:rFonts w:ascii="Cambria Math" w:eastAsia="+mn-ea" w:hAnsi="Cambria Math" w:cs="+mn-cs"/>
                <w:color w:val="000000"/>
                <w:kern w:val="24"/>
              </w:rPr>
              <m:t>α</m:t>
            </m:r>
          </m:e>
          <m:sub>
            <m:r>
              <w:rPr>
                <w:rFonts w:ascii="Cambria Math" w:eastAsia="+mn-ea" w:hAnsi="Cambria Math" w:cs="+mn-cs"/>
                <w:color w:val="000000"/>
                <w:kern w:val="24"/>
                <w:lang w:val="en-US"/>
              </w:rPr>
              <m:t>i</m:t>
            </m:r>
          </m:sub>
        </m:sSub>
      </m:oMath>
      <w:r w:rsidR="00EC0B53">
        <w:rPr>
          <w:iCs/>
          <w:color w:val="000000"/>
          <w:kern w:val="24"/>
        </w:rPr>
        <w:t xml:space="preserve"> </w:t>
      </w:r>
      <w:r w:rsidR="00EC0B53" w:rsidRPr="0037273F">
        <w:rPr>
          <w:rFonts w:asciiTheme="minorHAnsi" w:hAnsiTheme="minorHAnsi" w:cstheme="minorHAnsi"/>
          <w:iCs/>
          <w:color w:val="000000"/>
          <w:kern w:val="24"/>
          <w:sz w:val="22"/>
          <w:szCs w:val="22"/>
        </w:rPr>
        <w:t xml:space="preserve">= productivity parameter from CU </w:t>
      </w:r>
      <w:proofErr w:type="spellStart"/>
      <w:r w:rsidR="00EC0B53" w:rsidRPr="0037273F">
        <w:rPr>
          <w:rFonts w:asciiTheme="minorHAnsi" w:hAnsiTheme="minorHAnsi" w:cstheme="minorHAnsi"/>
          <w:iCs/>
          <w:color w:val="000000"/>
          <w:kern w:val="24"/>
          <w:sz w:val="22"/>
          <w:szCs w:val="22"/>
        </w:rPr>
        <w:t>i</w:t>
      </w:r>
      <w:proofErr w:type="spellEnd"/>
    </w:p>
    <w:p w14:paraId="0DAC5810" w14:textId="77777777" w:rsidR="00EC0B53" w:rsidRPr="0037273F" w:rsidRDefault="00EC0B53" w:rsidP="00EC0B53">
      <w:pPr>
        <w:pStyle w:val="NormalWeb"/>
        <w:spacing w:before="0" w:beforeAutospacing="0" w:after="0" w:afterAutospacing="0"/>
        <w:rPr>
          <w:rFonts w:asciiTheme="minorHAnsi" w:hAnsiTheme="minorHAnsi" w:cstheme="minorHAnsi"/>
          <w:color w:val="000000"/>
          <w:kern w:val="24"/>
          <w:sz w:val="22"/>
          <w:szCs w:val="22"/>
        </w:rPr>
      </w:pPr>
      <m:oMath>
        <m:r>
          <w:rPr>
            <w:rFonts w:ascii="Cambria Math" w:eastAsia="+mn-ea" w:hAnsi="Cambria Math" w:cs="+mn-cs"/>
            <w:color w:val="000000"/>
            <w:kern w:val="24"/>
            <w:lang w:val="en-US"/>
          </w:rPr>
          <m:t>γ</m:t>
        </m:r>
      </m:oMath>
      <w:r>
        <w:rPr>
          <w:iCs/>
          <w:color w:val="000000"/>
          <w:kern w:val="24"/>
        </w:rPr>
        <w:t xml:space="preserve"> </w:t>
      </w:r>
      <w:r w:rsidRPr="0037273F">
        <w:rPr>
          <w:rFonts w:asciiTheme="minorHAnsi" w:hAnsiTheme="minorHAnsi" w:cstheme="minorHAnsi"/>
          <w:color w:val="000000"/>
          <w:kern w:val="24"/>
          <w:sz w:val="22"/>
          <w:szCs w:val="22"/>
        </w:rPr>
        <w:t>= marine survival co-efficient</w:t>
      </w:r>
      <w:r w:rsidR="002B7EF2">
        <w:rPr>
          <w:rFonts w:asciiTheme="minorHAnsi" w:hAnsiTheme="minorHAnsi" w:cstheme="minorHAnsi"/>
          <w:color w:val="000000"/>
          <w:kern w:val="24"/>
          <w:sz w:val="22"/>
          <w:szCs w:val="22"/>
        </w:rPr>
        <w:t xml:space="preserve"> shared among CUs</w:t>
      </w:r>
    </w:p>
    <w:p w14:paraId="27BB261F" w14:textId="77777777" w:rsidR="00EC0B53" w:rsidRPr="0037273F" w:rsidRDefault="001A3687" w:rsidP="00EC0B53">
      <w:pPr>
        <w:pStyle w:val="NormalWeb"/>
        <w:spacing w:before="0" w:beforeAutospacing="0" w:after="0" w:afterAutospacing="0"/>
        <w:rPr>
          <w:rFonts w:asciiTheme="minorHAnsi" w:hAnsiTheme="minorHAnsi" w:cstheme="minorHAnsi"/>
          <w:iCs/>
          <w:color w:val="000000"/>
          <w:kern w:val="24"/>
          <w:sz w:val="22"/>
          <w:szCs w:val="22"/>
        </w:rPr>
      </w:pPr>
      <m:oMath>
        <m:sSub>
          <m:sSubPr>
            <m:ctrlPr>
              <w:rPr>
                <w:rFonts w:ascii="Cambria Math" w:eastAsia="+mn-ea" w:hAnsi="Cambria Math" w:cs="+mn-cs"/>
                <w:i/>
                <w:iCs/>
                <w:color w:val="000000"/>
                <w:kern w:val="24"/>
              </w:rPr>
            </m:ctrlPr>
          </m:sSubPr>
          <m:e>
            <m:r>
              <w:rPr>
                <w:rFonts w:ascii="Cambria Math" w:eastAsia="+mn-ea" w:hAnsi="Cambria Math" w:cs="+mn-cs"/>
                <w:color w:val="000000"/>
                <w:kern w:val="24"/>
                <w:lang w:val="en-US"/>
              </w:rPr>
              <m:t>M</m:t>
            </m:r>
          </m:e>
          <m:sub>
            <m:r>
              <w:rPr>
                <w:rFonts w:ascii="Cambria Math" w:eastAsia="+mn-ea" w:hAnsi="Cambria Math" w:cs="+mn-cs"/>
                <w:color w:val="000000"/>
                <w:kern w:val="24"/>
                <w:lang w:val="en-US"/>
              </w:rPr>
              <m:t>t-1</m:t>
            </m:r>
          </m:sub>
        </m:sSub>
      </m:oMath>
      <w:r w:rsidR="00EC0B53">
        <w:rPr>
          <w:iCs/>
          <w:color w:val="000000"/>
          <w:kern w:val="24"/>
        </w:rPr>
        <w:t xml:space="preserve"> </w:t>
      </w:r>
      <w:r w:rsidR="00EC0B53" w:rsidRPr="0037273F">
        <w:rPr>
          <w:rFonts w:asciiTheme="minorHAnsi" w:hAnsiTheme="minorHAnsi" w:cstheme="minorHAnsi"/>
          <w:iCs/>
          <w:color w:val="000000"/>
          <w:kern w:val="24"/>
          <w:sz w:val="22"/>
          <w:szCs w:val="22"/>
        </w:rPr>
        <w:t>= marine survival for sea entry in year t – 1</w:t>
      </w:r>
    </w:p>
    <w:p w14:paraId="51B2319A" w14:textId="77777777" w:rsidR="00EC0B53" w:rsidRPr="0037273F" w:rsidRDefault="001A3687" w:rsidP="00EC0B53">
      <w:pPr>
        <w:pStyle w:val="NormalWeb"/>
        <w:spacing w:before="0" w:beforeAutospacing="0" w:after="0" w:afterAutospacing="0"/>
        <w:rPr>
          <w:rFonts w:asciiTheme="minorHAnsi" w:hAnsiTheme="minorHAnsi" w:cstheme="minorHAnsi"/>
          <w:color w:val="000000"/>
          <w:kern w:val="24"/>
          <w:sz w:val="22"/>
          <w:szCs w:val="22"/>
        </w:rPr>
      </w:pPr>
      <m:oMath>
        <m:sSub>
          <m:sSubPr>
            <m:ctrlPr>
              <w:rPr>
                <w:rFonts w:ascii="Cambria Math" w:eastAsia="+mn-ea" w:hAnsi="Cambria Math" w:cs="+mn-cs"/>
                <w:i/>
                <w:iCs/>
                <w:color w:val="000000"/>
                <w:kern w:val="24"/>
              </w:rPr>
            </m:ctrlPr>
          </m:sSubPr>
          <m:e>
            <m:r>
              <w:rPr>
                <w:rFonts w:ascii="Cambria Math" w:eastAsia="+mn-ea" w:hAnsi="Cambria Math" w:cs="+mn-cs"/>
                <w:color w:val="000000"/>
                <w:kern w:val="24"/>
                <w:lang w:val="en-US"/>
              </w:rPr>
              <m:t>β</m:t>
            </m:r>
          </m:e>
          <m:sub>
            <m:r>
              <w:rPr>
                <w:rFonts w:ascii="Cambria Math" w:eastAsia="+mn-ea" w:hAnsi="Cambria Math" w:cs="+mn-cs"/>
                <w:color w:val="000000"/>
                <w:kern w:val="24"/>
                <w:lang w:val="en-US"/>
              </w:rPr>
              <m:t>i</m:t>
            </m:r>
          </m:sub>
        </m:sSub>
      </m:oMath>
      <w:r w:rsidR="00EC0B53">
        <w:rPr>
          <w:iCs/>
          <w:color w:val="000000"/>
          <w:kern w:val="24"/>
        </w:rPr>
        <w:t xml:space="preserve"> </w:t>
      </w:r>
      <w:r w:rsidR="00EC0B53" w:rsidRPr="0037273F">
        <w:rPr>
          <w:rFonts w:asciiTheme="minorHAnsi" w:hAnsiTheme="minorHAnsi" w:cstheme="minorHAnsi"/>
          <w:iCs/>
          <w:color w:val="000000"/>
          <w:kern w:val="24"/>
          <w:sz w:val="22"/>
          <w:szCs w:val="22"/>
        </w:rPr>
        <w:t xml:space="preserve">= density dependence parameter for CU </w:t>
      </w:r>
      <w:proofErr w:type="spellStart"/>
      <w:r w:rsidR="00EC0B53" w:rsidRPr="0037273F">
        <w:rPr>
          <w:rFonts w:asciiTheme="minorHAnsi" w:hAnsiTheme="minorHAnsi" w:cstheme="minorHAnsi"/>
          <w:iCs/>
          <w:color w:val="000000"/>
          <w:kern w:val="24"/>
          <w:sz w:val="22"/>
          <w:szCs w:val="22"/>
        </w:rPr>
        <w:t>i</w:t>
      </w:r>
      <w:proofErr w:type="spellEnd"/>
    </w:p>
    <w:p w14:paraId="3C25BF95" w14:textId="77777777" w:rsidR="00EC0B53" w:rsidRPr="00EC0B53" w:rsidRDefault="00EC0B53" w:rsidP="00EC0B53">
      <w:pPr>
        <w:pStyle w:val="NormalWeb"/>
        <w:spacing w:before="0" w:beforeAutospacing="0" w:after="0" w:afterAutospacing="0"/>
        <w:rPr>
          <w:iCs/>
          <w:color w:val="000000"/>
          <w:kern w:val="24"/>
        </w:rPr>
      </w:pPr>
    </w:p>
    <w:p w14:paraId="0F337A6B" w14:textId="77777777" w:rsidR="00EC0B53" w:rsidRPr="0037273F" w:rsidRDefault="00EC0B53" w:rsidP="00EC0B53">
      <w:pPr>
        <w:pStyle w:val="NormalWeb"/>
        <w:spacing w:before="0" w:beforeAutospacing="0" w:after="0" w:afterAutospacing="0"/>
        <w:rPr>
          <w:rFonts w:asciiTheme="minorHAnsi" w:hAnsiTheme="minorHAnsi" w:cstheme="minorHAnsi"/>
          <w:color w:val="000000"/>
          <w:kern w:val="24"/>
          <w:sz w:val="22"/>
          <w:szCs w:val="22"/>
        </w:rPr>
      </w:pPr>
      <w:r w:rsidRPr="0037273F">
        <w:rPr>
          <w:rFonts w:asciiTheme="minorHAnsi" w:hAnsiTheme="minorHAnsi" w:cstheme="minorHAnsi"/>
          <w:color w:val="000000"/>
          <w:kern w:val="24"/>
          <w:sz w:val="22"/>
          <w:szCs w:val="22"/>
        </w:rPr>
        <w:t xml:space="preserve">The model </w:t>
      </w:r>
      <w:r w:rsidR="009D3843">
        <w:rPr>
          <w:rFonts w:asciiTheme="minorHAnsi" w:hAnsiTheme="minorHAnsi" w:cstheme="minorHAnsi"/>
          <w:color w:val="000000"/>
          <w:kern w:val="24"/>
          <w:sz w:val="22"/>
          <w:szCs w:val="22"/>
        </w:rPr>
        <w:t>assumes</w:t>
      </w:r>
      <w:r w:rsidRPr="0037273F">
        <w:rPr>
          <w:rFonts w:asciiTheme="minorHAnsi" w:hAnsiTheme="minorHAnsi" w:cstheme="minorHAnsi"/>
          <w:color w:val="000000"/>
          <w:kern w:val="24"/>
          <w:sz w:val="22"/>
          <w:szCs w:val="22"/>
        </w:rPr>
        <w:t xml:space="preserve"> lognormal proce</w:t>
      </w:r>
      <w:r w:rsidR="00DA0B39">
        <w:rPr>
          <w:rFonts w:asciiTheme="minorHAnsi" w:hAnsiTheme="minorHAnsi" w:cstheme="minorHAnsi"/>
          <w:color w:val="000000"/>
          <w:kern w:val="24"/>
          <w:sz w:val="22"/>
          <w:szCs w:val="22"/>
        </w:rPr>
        <w:t>ss error on</w:t>
      </w:r>
      <w:r w:rsidRPr="0037273F">
        <w:rPr>
          <w:rFonts w:asciiTheme="minorHAnsi" w:hAnsiTheme="minorHAnsi" w:cstheme="minorHAnsi"/>
          <w:color w:val="000000"/>
          <w:kern w:val="24"/>
          <w:sz w:val="22"/>
          <w:szCs w:val="22"/>
        </w:rPr>
        <w:t xml:space="preserve"> recruits-per-</w:t>
      </w:r>
      <w:proofErr w:type="spellStart"/>
      <w:r w:rsidRPr="0037273F">
        <w:rPr>
          <w:rFonts w:asciiTheme="minorHAnsi" w:hAnsiTheme="minorHAnsi" w:cstheme="minorHAnsi"/>
          <w:color w:val="000000"/>
          <w:kern w:val="24"/>
          <w:sz w:val="22"/>
          <w:szCs w:val="22"/>
        </w:rPr>
        <w:t>spawner</w:t>
      </w:r>
      <w:r w:rsidR="00DA0B39">
        <w:rPr>
          <w:rFonts w:asciiTheme="minorHAnsi" w:hAnsiTheme="minorHAnsi" w:cstheme="minorHAnsi"/>
          <w:color w:val="000000"/>
          <w:kern w:val="24"/>
          <w:sz w:val="22"/>
          <w:szCs w:val="22"/>
        </w:rPr>
        <w:t>s</w:t>
      </w:r>
      <w:proofErr w:type="spellEnd"/>
      <w:r w:rsidRPr="0037273F">
        <w:rPr>
          <w:rFonts w:asciiTheme="minorHAnsi" w:hAnsiTheme="minorHAnsi" w:cstheme="minorHAnsi"/>
          <w:color w:val="000000"/>
          <w:kern w:val="24"/>
          <w:sz w:val="22"/>
          <w:szCs w:val="22"/>
        </w:rPr>
        <w:t xml:space="preserve">, </w:t>
      </w:r>
    </w:p>
    <w:p w14:paraId="44EC12B1" w14:textId="77777777" w:rsidR="00EC0B53" w:rsidRPr="0037273F" w:rsidRDefault="00EC0B53" w:rsidP="00EC0B53">
      <w:pPr>
        <w:pStyle w:val="NormalWeb"/>
        <w:spacing w:before="0" w:beforeAutospacing="0" w:after="0" w:afterAutospacing="0"/>
        <w:rPr>
          <w:rFonts w:asciiTheme="minorHAnsi" w:hAnsiTheme="minorHAnsi" w:cstheme="minorHAnsi"/>
          <w:color w:val="000000"/>
          <w:kern w:val="24"/>
          <w:sz w:val="22"/>
          <w:szCs w:val="22"/>
        </w:rPr>
      </w:pPr>
    </w:p>
    <w:p w14:paraId="2F95F681" w14:textId="77777777" w:rsidR="00EC0B53" w:rsidRPr="0062776D" w:rsidRDefault="001A3687" w:rsidP="00EC0B53">
      <w:pPr>
        <w:pStyle w:val="NormalWeb"/>
        <w:spacing w:before="0" w:beforeAutospacing="0" w:after="0" w:afterAutospacing="0"/>
        <w:rPr>
          <w:rFonts w:asciiTheme="minorHAnsi" w:hAnsiTheme="minorHAnsi" w:cstheme="minorHAnsi"/>
          <w:color w:val="000000"/>
          <w:kern w:val="24"/>
        </w:rPr>
      </w:pPr>
      <m:oMathPara>
        <m:oMath>
          <m:func>
            <m:funcPr>
              <m:ctrlPr>
                <w:rPr>
                  <w:rFonts w:ascii="Cambria Math" w:hAnsi="Cambria Math"/>
                </w:rPr>
              </m:ctrlPr>
            </m:funcPr>
            <m:fName>
              <m:r>
                <w:rPr>
                  <w:rFonts w:ascii="Cambria Math" w:hAnsi="Cambria Math"/>
                </w:rPr>
                <m:t>Ln</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i,by</m:t>
                          </m:r>
                        </m:sub>
                      </m:sSub>
                    </m:num>
                    <m:den>
                      <m:sSub>
                        <m:sSubPr>
                          <m:ctrlPr>
                            <w:rPr>
                              <w:rFonts w:ascii="Cambria Math" w:hAnsi="Cambria Math"/>
                              <w:i/>
                            </w:rPr>
                          </m:ctrlPr>
                        </m:sSubPr>
                        <m:e>
                          <m:r>
                            <w:rPr>
                              <w:rFonts w:ascii="Cambria Math" w:hAnsi="Cambria Math"/>
                            </w:rPr>
                            <m:t>S</m:t>
                          </m:r>
                        </m:e>
                        <m:sub>
                          <m:r>
                            <w:rPr>
                              <w:rFonts w:ascii="Cambria Math" w:hAnsi="Cambria Math"/>
                            </w:rPr>
                            <m:t>i,by</m:t>
                          </m:r>
                        </m:sub>
                      </m:sSub>
                    </m:den>
                  </m:f>
                </m:e>
              </m:d>
            </m:e>
          </m:func>
          <m:r>
            <w:rPr>
              <w:rFonts w:ascii="Cambria Math" w:hAnsi="Cambria Math"/>
            </w:rPr>
            <m:t>~Normal(</m:t>
          </m:r>
          <m:func>
            <m:funcPr>
              <m:ctrlPr>
                <w:rPr>
                  <w:rFonts w:ascii="Cambria Math" w:hAnsi="Cambria Math"/>
                </w:rPr>
              </m:ctrlPr>
            </m:funcPr>
            <m:fName>
              <m:r>
                <w:rPr>
                  <w:rFonts w:ascii="Cambria Math" w:hAnsi="Cambria Math"/>
                </w:rPr>
                <m:t>Ln</m:t>
              </m:r>
              <m:ctrlPr>
                <w:rPr>
                  <w:rFonts w:ascii="Cambria Math" w:hAnsi="Cambria Math"/>
                  <w:i/>
                </w:rPr>
              </m:ctrlP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i,by</m:t>
                          </m:r>
                        </m:sub>
                      </m:sSub>
                    </m:num>
                    <m:den>
                      <m:sSub>
                        <m:sSubPr>
                          <m:ctrlPr>
                            <w:rPr>
                              <w:rFonts w:ascii="Cambria Math" w:hAnsi="Cambria Math"/>
                              <w:i/>
                            </w:rPr>
                          </m:ctrlPr>
                        </m:sSubPr>
                        <m:e>
                          <m:r>
                            <w:rPr>
                              <w:rFonts w:ascii="Cambria Math" w:hAnsi="Cambria Math"/>
                            </w:rPr>
                            <m:t>S</m:t>
                          </m:r>
                        </m:e>
                        <m:sub>
                          <m:r>
                            <w:rPr>
                              <w:rFonts w:ascii="Cambria Math" w:hAnsi="Cambria Math"/>
                            </w:rPr>
                            <m:t>i,by</m:t>
                          </m:r>
                        </m:sub>
                      </m:sSub>
                    </m:den>
                  </m:f>
                </m:e>
              </m:d>
            </m:e>
          </m:func>
          <m:r>
            <w:rPr>
              <w:rFonts w:ascii="Cambria Math" w:hAnsi="Cambria Math"/>
            </w:rPr>
            <m:t xml:space="preserve">, </m:t>
          </m:r>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m:t>
          </m:r>
        </m:oMath>
      </m:oMathPara>
    </w:p>
    <w:p w14:paraId="271E836A" w14:textId="77777777" w:rsidR="00DA0B39" w:rsidRDefault="00DA0B39" w:rsidP="00EC0B53">
      <w:pPr>
        <w:pStyle w:val="NormalWeb"/>
        <w:spacing w:before="0" w:beforeAutospacing="0" w:after="0" w:afterAutospacing="0"/>
        <w:rPr>
          <w:rFonts w:asciiTheme="minorHAnsi" w:hAnsiTheme="minorHAnsi" w:cstheme="minorHAnsi"/>
          <w:color w:val="000000"/>
          <w:kern w:val="24"/>
          <w:sz w:val="22"/>
          <w:szCs w:val="22"/>
        </w:rPr>
      </w:pPr>
    </w:p>
    <w:p w14:paraId="58A43719" w14:textId="77777777" w:rsidR="00D03E84" w:rsidRDefault="00D03E84" w:rsidP="00EC0B53">
      <w:pPr>
        <w:pStyle w:val="NormalWeb"/>
        <w:spacing w:before="0" w:beforeAutospacing="0" w:after="0" w:afterAutospacing="0"/>
        <w:rPr>
          <w:rFonts w:asciiTheme="minorHAnsi" w:hAnsiTheme="minorHAnsi" w:cstheme="minorHAnsi"/>
          <w:color w:val="000000"/>
          <w:kern w:val="24"/>
          <w:sz w:val="22"/>
          <w:szCs w:val="22"/>
        </w:rPr>
      </w:pPr>
    </w:p>
    <w:p w14:paraId="2EE29FC3" w14:textId="15CA63C8" w:rsidR="00DA0B39" w:rsidRDefault="0062776D" w:rsidP="00EC0B53">
      <w:pPr>
        <w:pStyle w:val="NormalWeb"/>
        <w:spacing w:before="0" w:beforeAutospacing="0" w:after="0" w:afterAutospacing="0"/>
        <w:rPr>
          <w:rFonts w:asciiTheme="minorHAnsi" w:hAnsiTheme="minorHAnsi" w:cstheme="minorHAnsi"/>
          <w:color w:val="000000"/>
          <w:kern w:val="24"/>
          <w:sz w:val="22"/>
          <w:szCs w:val="22"/>
        </w:rPr>
      </w:pPr>
      <w:r>
        <w:rPr>
          <w:rFonts w:asciiTheme="minorHAnsi" w:hAnsiTheme="minorHAnsi" w:cstheme="minorHAnsi"/>
          <w:color w:val="000000"/>
          <w:kern w:val="24"/>
          <w:sz w:val="22"/>
          <w:szCs w:val="22"/>
        </w:rPr>
        <w:t>w</w:t>
      </w:r>
      <w:r w:rsidR="00DA0B39">
        <w:rPr>
          <w:rFonts w:asciiTheme="minorHAnsi" w:hAnsiTheme="minorHAnsi" w:cstheme="minorHAnsi"/>
          <w:color w:val="000000"/>
          <w:kern w:val="24"/>
          <w:sz w:val="22"/>
          <w:szCs w:val="22"/>
        </w:rPr>
        <w:t xml:space="preserve">here, </w:t>
      </w:r>
      <m:oMath>
        <m:sSub>
          <m:sSubPr>
            <m:ctrlPr>
              <w:rPr>
                <w:rFonts w:ascii="Cambria Math" w:hAnsi="Cambria Math"/>
                <w:i/>
                <w:sz w:val="22"/>
                <w:szCs w:val="20"/>
              </w:rPr>
            </m:ctrlPr>
          </m:sSubPr>
          <m:e>
            <m:r>
              <w:rPr>
                <w:rFonts w:ascii="Cambria Math" w:hAnsi="Cambria Math"/>
              </w:rPr>
              <m:t>τ</m:t>
            </m:r>
          </m:e>
          <m:sub>
            <m:r>
              <w:rPr>
                <w:rFonts w:ascii="Cambria Math" w:hAnsi="Cambria Math"/>
              </w:rPr>
              <m:t>i</m:t>
            </m:r>
          </m:sub>
        </m:sSub>
      </m:oMath>
      <w:r w:rsidR="00DA0B39">
        <w:rPr>
          <w:rFonts w:asciiTheme="minorHAnsi" w:hAnsiTheme="minorHAnsi" w:cstheme="minorHAnsi"/>
          <w:sz w:val="22"/>
          <w:szCs w:val="20"/>
        </w:rPr>
        <w:t xml:space="preserve"> is the estimated precision, which is the inverse of variance (</w:t>
      </w:r>
      <m:oMath>
        <m:r>
          <w:rPr>
            <w:rFonts w:ascii="Cambria Math" w:hAnsi="Cambria Math"/>
            <w:sz w:val="22"/>
            <w:szCs w:val="20"/>
          </w:rPr>
          <m:t>τ=1/</m:t>
        </m:r>
        <m:sSup>
          <m:sSupPr>
            <m:ctrlPr>
              <w:rPr>
                <w:rFonts w:ascii="Cambria Math" w:hAnsi="Cambria Math"/>
                <w:i/>
                <w:sz w:val="22"/>
                <w:szCs w:val="20"/>
              </w:rPr>
            </m:ctrlPr>
          </m:sSupPr>
          <m:e>
            <m:r>
              <w:rPr>
                <w:rFonts w:ascii="Cambria Math" w:hAnsi="Cambria Math"/>
                <w:sz w:val="22"/>
                <w:szCs w:val="20"/>
              </w:rPr>
              <m:t>σ</m:t>
            </m:r>
          </m:e>
          <m:sup>
            <m:r>
              <w:rPr>
                <w:rFonts w:ascii="Cambria Math" w:hAnsi="Cambria Math"/>
                <w:sz w:val="22"/>
                <w:szCs w:val="20"/>
              </w:rPr>
              <m:t>2</m:t>
            </m:r>
          </m:sup>
        </m:sSup>
      </m:oMath>
      <w:r w:rsidR="00DA0B39">
        <w:rPr>
          <w:rFonts w:asciiTheme="minorHAnsi" w:hAnsiTheme="minorHAnsi" w:cstheme="minorHAnsi"/>
          <w:sz w:val="22"/>
          <w:szCs w:val="20"/>
        </w:rPr>
        <w:t>).</w:t>
      </w:r>
      <w:r w:rsidR="00810A9E">
        <w:rPr>
          <w:rFonts w:asciiTheme="minorHAnsi" w:hAnsiTheme="minorHAnsi" w:cstheme="minorHAnsi"/>
          <w:sz w:val="22"/>
          <w:szCs w:val="20"/>
        </w:rPr>
        <w:t xml:space="preserve">  </w:t>
      </w:r>
      <w:r w:rsidR="00307170">
        <w:rPr>
          <w:rFonts w:asciiTheme="minorHAnsi" w:hAnsiTheme="minorHAnsi" w:cstheme="minorHAnsi"/>
          <w:sz w:val="22"/>
          <w:szCs w:val="20"/>
        </w:rPr>
        <w:t xml:space="preserve">A gamma distribution </w:t>
      </w:r>
      <w:r w:rsidR="00810A9E">
        <w:rPr>
          <w:rFonts w:asciiTheme="minorHAnsi" w:hAnsiTheme="minorHAnsi" w:cstheme="minorHAnsi"/>
          <w:sz w:val="22"/>
          <w:szCs w:val="20"/>
        </w:rPr>
        <w:t xml:space="preserve">is used to create a </w:t>
      </w:r>
      <w:proofErr w:type="spellStart"/>
      <w:r w:rsidR="00810A9E">
        <w:rPr>
          <w:rFonts w:asciiTheme="minorHAnsi" w:hAnsiTheme="minorHAnsi" w:cstheme="minorHAnsi"/>
          <w:sz w:val="22"/>
          <w:szCs w:val="20"/>
        </w:rPr>
        <w:t>noninformative</w:t>
      </w:r>
      <w:proofErr w:type="spellEnd"/>
      <w:r w:rsidR="00810A9E">
        <w:rPr>
          <w:rFonts w:asciiTheme="minorHAnsi" w:hAnsiTheme="minorHAnsi" w:cstheme="minorHAnsi"/>
          <w:sz w:val="22"/>
          <w:szCs w:val="20"/>
        </w:rPr>
        <w:t xml:space="preserve"> prior distribution on  </w:t>
      </w:r>
      <m:oMath>
        <m:sSub>
          <m:sSubPr>
            <m:ctrlPr>
              <w:rPr>
                <w:rFonts w:ascii="Cambria Math" w:hAnsi="Cambria Math"/>
                <w:i/>
                <w:sz w:val="22"/>
                <w:szCs w:val="20"/>
              </w:rPr>
            </m:ctrlPr>
          </m:sSubPr>
          <m:e>
            <m:r>
              <w:rPr>
                <w:rFonts w:ascii="Cambria Math" w:hAnsi="Cambria Math"/>
              </w:rPr>
              <m:t>τ</m:t>
            </m:r>
          </m:e>
          <m:sub>
            <m:r>
              <w:rPr>
                <w:rFonts w:ascii="Cambria Math" w:hAnsi="Cambria Math"/>
              </w:rPr>
              <m:t>i</m:t>
            </m:r>
          </m:sub>
        </m:sSub>
      </m:oMath>
      <w:r w:rsidR="00307170">
        <w:rPr>
          <w:rFonts w:asciiTheme="minorHAnsi" w:hAnsiTheme="minorHAnsi" w:cstheme="minorHAnsi"/>
          <w:sz w:val="22"/>
          <w:szCs w:val="20"/>
        </w:rPr>
        <w:t xml:space="preserve">, </w:t>
      </w:r>
      <w:r>
        <w:rPr>
          <w:rFonts w:asciiTheme="minorHAnsi" w:hAnsiTheme="minorHAnsi" w:cstheme="minorHAnsi"/>
          <w:sz w:val="22"/>
          <w:szCs w:val="20"/>
        </w:rPr>
        <w:t xml:space="preserve">which is analogous to an inverse gamma prior on variance </w:t>
      </w:r>
      <m:oMath>
        <m:sSup>
          <m:sSupPr>
            <m:ctrlPr>
              <w:rPr>
                <w:rFonts w:ascii="Cambria Math" w:hAnsi="Cambria Math"/>
                <w:i/>
                <w:sz w:val="22"/>
                <w:szCs w:val="20"/>
              </w:rPr>
            </m:ctrlPr>
          </m:sSupPr>
          <m:e>
            <m:r>
              <w:rPr>
                <w:rFonts w:ascii="Cambria Math" w:hAnsi="Cambria Math"/>
                <w:sz w:val="22"/>
                <w:szCs w:val="20"/>
              </w:rPr>
              <m:t>σ</m:t>
            </m:r>
          </m:e>
          <m:sup>
            <m:r>
              <w:rPr>
                <w:rFonts w:ascii="Cambria Math" w:hAnsi="Cambria Math"/>
                <w:sz w:val="22"/>
                <w:szCs w:val="20"/>
              </w:rPr>
              <m:t>2</m:t>
            </m:r>
          </m:sup>
        </m:sSup>
      </m:oMath>
      <w:r>
        <w:rPr>
          <w:rFonts w:asciiTheme="minorHAnsi" w:hAnsiTheme="minorHAnsi" w:cstheme="minorHAnsi"/>
          <w:sz w:val="22"/>
          <w:szCs w:val="20"/>
        </w:rPr>
        <w:t>. (Details on the parameterization of the gamma prior are in the next section).</w:t>
      </w:r>
    </w:p>
    <w:p w14:paraId="4717C1F9" w14:textId="77777777" w:rsidR="00DA0B39" w:rsidRPr="0037273F" w:rsidRDefault="00DA0B39" w:rsidP="00EC0B53">
      <w:pPr>
        <w:pStyle w:val="NormalWeb"/>
        <w:spacing w:before="0" w:beforeAutospacing="0" w:after="0" w:afterAutospacing="0"/>
        <w:rPr>
          <w:rFonts w:asciiTheme="minorHAnsi" w:hAnsiTheme="minorHAnsi" w:cstheme="minorHAnsi"/>
          <w:color w:val="000000"/>
          <w:kern w:val="24"/>
          <w:sz w:val="22"/>
          <w:szCs w:val="22"/>
        </w:rPr>
      </w:pPr>
    </w:p>
    <w:p w14:paraId="757947E4" w14:textId="77777777" w:rsidR="00EC0B53" w:rsidRPr="0062776D" w:rsidRDefault="00EC0B53" w:rsidP="00EC0B53">
      <w:pPr>
        <w:pStyle w:val="NormalWeb"/>
        <w:spacing w:before="0" w:beforeAutospacing="0" w:after="0" w:afterAutospacing="0"/>
        <w:rPr>
          <w:rFonts w:asciiTheme="minorHAnsi" w:hAnsiTheme="minorHAnsi" w:cstheme="minorHAnsi"/>
          <w:color w:val="000000"/>
          <w:kern w:val="24"/>
          <w:sz w:val="22"/>
          <w:szCs w:val="22"/>
        </w:rPr>
      </w:pPr>
      <w:r w:rsidRPr="0037273F">
        <w:rPr>
          <w:rFonts w:asciiTheme="minorHAnsi" w:hAnsiTheme="minorHAnsi" w:cstheme="minorHAnsi"/>
          <w:color w:val="000000"/>
          <w:kern w:val="24"/>
          <w:sz w:val="22"/>
          <w:szCs w:val="22"/>
        </w:rPr>
        <w:t xml:space="preserve">The </w:t>
      </w:r>
      <w:r w:rsidR="009D3843">
        <w:rPr>
          <w:rFonts w:asciiTheme="minorHAnsi" w:hAnsiTheme="minorHAnsi" w:cstheme="minorHAnsi"/>
          <w:color w:val="000000"/>
          <w:kern w:val="24"/>
          <w:sz w:val="22"/>
          <w:szCs w:val="22"/>
        </w:rPr>
        <w:t>model</w:t>
      </w:r>
      <w:r w:rsidR="0062776D">
        <w:rPr>
          <w:rFonts w:asciiTheme="minorHAnsi" w:hAnsiTheme="minorHAnsi" w:cstheme="minorHAnsi"/>
          <w:color w:val="000000"/>
          <w:kern w:val="24"/>
          <w:sz w:val="22"/>
          <w:szCs w:val="22"/>
        </w:rPr>
        <w:t xml:space="preserve"> </w:t>
      </w:r>
      <w:r w:rsidRPr="0037273F">
        <w:rPr>
          <w:rFonts w:asciiTheme="minorHAnsi" w:hAnsiTheme="minorHAnsi" w:cstheme="minorHAnsi"/>
          <w:color w:val="000000"/>
          <w:kern w:val="24"/>
          <w:sz w:val="22"/>
          <w:szCs w:val="22"/>
        </w:rPr>
        <w:t xml:space="preserve">has a hierarchical structure on </w:t>
      </w:r>
      <w:r w:rsidR="0062776D">
        <w:rPr>
          <w:rFonts w:asciiTheme="minorHAnsi" w:hAnsiTheme="minorHAnsi" w:cstheme="minorHAnsi"/>
          <w:color w:val="000000"/>
          <w:kern w:val="24"/>
          <w:sz w:val="22"/>
          <w:szCs w:val="22"/>
        </w:rPr>
        <w:t>CU-specific</w:t>
      </w:r>
      <w:r w:rsidRPr="0037273F">
        <w:rPr>
          <w:rFonts w:asciiTheme="minorHAnsi" w:hAnsiTheme="minorHAnsi" w:cstheme="minorHAnsi"/>
          <w:color w:val="000000"/>
          <w:kern w:val="24"/>
          <w:sz w:val="22"/>
          <w:szCs w:val="22"/>
        </w:rPr>
        <w:t xml:space="preserve"> productivity parameter</w:t>
      </w:r>
      <w:r w:rsidR="0062776D">
        <w:rPr>
          <w:rFonts w:asciiTheme="minorHAnsi" w:hAnsiTheme="minorHAnsi" w:cstheme="minorHAnsi"/>
          <w:color w:val="000000"/>
          <w:kern w:val="24"/>
          <w:sz w:val="22"/>
          <w:szCs w:val="22"/>
        </w:rPr>
        <w:t>s</w:t>
      </w:r>
      <w:r w:rsidRPr="0037273F">
        <w:rPr>
          <w:rFonts w:asciiTheme="minorHAnsi" w:hAnsiTheme="minorHAnsi" w:cstheme="minorHAnsi"/>
          <w:color w:val="000000"/>
          <w:kern w:val="24"/>
          <w:sz w:val="22"/>
          <w:szCs w:val="22"/>
        </w:rPr>
        <w:t>,</w:t>
      </w:r>
      <w:r w:rsidRPr="0037273F">
        <w:rPr>
          <w:rFonts w:asciiTheme="minorHAnsi" w:hAnsiTheme="minorHAnsi" w:cstheme="minorHAnsi"/>
          <w:color w:val="000000"/>
          <w:kern w:val="24"/>
        </w:rPr>
        <w:t xml:space="preserve"> </w:t>
      </w:r>
      <m:oMath>
        <m:sSub>
          <m:sSubPr>
            <m:ctrlPr>
              <w:rPr>
                <w:rFonts w:ascii="Cambria Math" w:hAnsi="Cambria Math" w:cstheme="minorHAnsi"/>
                <w:i/>
                <w:color w:val="000000"/>
                <w:kern w:val="24"/>
              </w:rPr>
            </m:ctrlPr>
          </m:sSubPr>
          <m:e>
            <m:r>
              <w:rPr>
                <w:rFonts w:ascii="Cambria Math" w:hAnsi="Cambria Math" w:cstheme="minorHAnsi"/>
                <w:color w:val="000000"/>
                <w:kern w:val="24"/>
              </w:rPr>
              <m:t>α</m:t>
            </m:r>
          </m:e>
          <m:sub>
            <m:r>
              <w:rPr>
                <w:rFonts w:ascii="Cambria Math" w:hAnsi="Cambria Math" w:cstheme="minorHAnsi"/>
                <w:color w:val="000000"/>
                <w:kern w:val="24"/>
              </w:rPr>
              <m:t>i</m:t>
            </m:r>
          </m:sub>
        </m:sSub>
      </m:oMath>
      <w:r w:rsidR="0062776D">
        <w:rPr>
          <w:rFonts w:asciiTheme="minorHAnsi" w:hAnsiTheme="minorHAnsi" w:cstheme="minorHAnsi"/>
          <w:color w:val="000000"/>
          <w:kern w:val="24"/>
        </w:rPr>
        <w:t xml:space="preserve">, </w:t>
      </w:r>
      <w:r w:rsidR="0062776D" w:rsidRPr="0062776D">
        <w:rPr>
          <w:rFonts w:asciiTheme="minorHAnsi" w:hAnsiTheme="minorHAnsi" w:cstheme="minorHAnsi"/>
          <w:color w:val="000000"/>
          <w:kern w:val="24"/>
          <w:sz w:val="22"/>
          <w:szCs w:val="22"/>
        </w:rPr>
        <w:t>such that:</w:t>
      </w:r>
    </w:p>
    <w:p w14:paraId="48C7FF3F" w14:textId="77777777" w:rsidR="00EC0B53" w:rsidRPr="0013499D" w:rsidRDefault="00EC0B53" w:rsidP="00EC0B53">
      <w:pPr>
        <w:pStyle w:val="NormalWeb"/>
        <w:spacing w:before="0" w:beforeAutospacing="0" w:after="0" w:afterAutospacing="0"/>
        <w:rPr>
          <w:iCs/>
          <w:color w:val="000000"/>
          <w:kern w:val="24"/>
        </w:rPr>
      </w:pPr>
    </w:p>
    <w:p w14:paraId="3B97F2D2" w14:textId="77777777" w:rsidR="00EC0B53" w:rsidRDefault="001A3687" w:rsidP="00D03E84">
      <w:pPr>
        <w:pStyle w:val="NormalWeb"/>
        <w:spacing w:before="0" w:beforeAutospacing="0" w:after="0" w:afterAutospacing="0"/>
        <w:jc w:val="center"/>
        <w:rPr>
          <w:bCs/>
          <w:iCs/>
          <w:color w:val="000000"/>
          <w:kern w:val="24"/>
        </w:rPr>
      </w:pPr>
      <m:oMath>
        <m:sSub>
          <m:sSubPr>
            <m:ctrlPr>
              <w:rPr>
                <w:rFonts w:ascii="Cambria Math" w:eastAsia="+mn-ea" w:hAnsi="Cambria Math" w:cs="+mn-cs"/>
                <w:bCs/>
                <w:i/>
                <w:iCs/>
                <w:color w:val="000000"/>
                <w:kern w:val="24"/>
              </w:rPr>
            </m:ctrlPr>
          </m:sSubPr>
          <m:e>
            <m:r>
              <w:rPr>
                <w:rFonts w:ascii="Cambria Math" w:eastAsia="+mn-ea" w:hAnsi="Cambria Math" w:cs="+mn-cs"/>
                <w:color w:val="000000"/>
                <w:kern w:val="24"/>
              </w:rPr>
              <m:t>α</m:t>
            </m:r>
          </m:e>
          <m:sub>
            <m:r>
              <w:rPr>
                <w:rFonts w:ascii="Cambria Math" w:eastAsia="+mn-ea" w:hAnsi="Cambria Math" w:cs="+mn-cs"/>
                <w:color w:val="000000"/>
                <w:kern w:val="24"/>
              </w:rPr>
              <m:t>i</m:t>
            </m:r>
          </m:sub>
        </m:sSub>
        <m:r>
          <w:rPr>
            <w:rFonts w:ascii="Cambria Math" w:eastAsia="+mn-ea" w:hAnsi="Cambria Math" w:cs="+mn-cs"/>
            <w:color w:val="000000"/>
            <w:kern w:val="24"/>
          </w:rPr>
          <m:t> ~ Normal</m:t>
        </m:r>
        <m:d>
          <m:dPr>
            <m:ctrlPr>
              <w:rPr>
                <w:rFonts w:ascii="Cambria Math" w:eastAsia="+mn-ea" w:hAnsi="Cambria Math" w:cs="+mn-cs"/>
                <w:bCs/>
                <w:i/>
                <w:iCs/>
                <w:color w:val="000000"/>
                <w:kern w:val="24"/>
              </w:rPr>
            </m:ctrlPr>
          </m:dPr>
          <m:e>
            <m:sSub>
              <m:sSubPr>
                <m:ctrlPr>
                  <w:rPr>
                    <w:rFonts w:ascii="Cambria Math" w:eastAsia="+mn-ea" w:hAnsi="Cambria Math" w:cs="+mn-cs"/>
                    <w:bCs/>
                    <w:i/>
                    <w:iCs/>
                    <w:color w:val="000000"/>
                    <w:kern w:val="24"/>
                  </w:rPr>
                </m:ctrlPr>
              </m:sSubPr>
              <m:e>
                <m:r>
                  <w:rPr>
                    <w:rFonts w:ascii="Cambria Math" w:eastAsia="+mn-ea" w:hAnsi="Cambria Math" w:cs="+mn-cs"/>
                    <w:color w:val="000000"/>
                    <w:kern w:val="24"/>
                  </w:rPr>
                  <m:t>μ</m:t>
                </m:r>
              </m:e>
              <m:sub>
                <m:r>
                  <w:rPr>
                    <w:rFonts w:ascii="Cambria Math" w:eastAsia="+mn-ea" w:hAnsi="Cambria Math" w:cs="+mn-cs"/>
                    <w:color w:val="000000"/>
                    <w:kern w:val="24"/>
                  </w:rPr>
                  <m:t>α</m:t>
                </m:r>
              </m:sub>
            </m:sSub>
            <m:r>
              <w:rPr>
                <w:rFonts w:ascii="Cambria Math" w:eastAsia="+mn-ea" w:hAnsi="Cambria Math" w:cs="+mn-cs"/>
                <w:color w:val="000000"/>
                <w:kern w:val="24"/>
              </w:rPr>
              <m:t>, </m:t>
            </m:r>
            <m:sSub>
              <m:sSubPr>
                <m:ctrlPr>
                  <w:rPr>
                    <w:rFonts w:ascii="Cambria Math" w:eastAsia="+mn-ea" w:hAnsi="Cambria Math" w:cs="+mn-cs"/>
                    <w:bCs/>
                    <w:i/>
                    <w:iCs/>
                    <w:color w:val="000000"/>
                    <w:kern w:val="24"/>
                  </w:rPr>
                </m:ctrlPr>
              </m:sSubPr>
              <m:e>
                <m:r>
                  <w:rPr>
                    <w:rFonts w:ascii="Cambria Math" w:eastAsia="+mn-ea" w:hAnsi="Cambria Math" w:cs="+mn-cs"/>
                    <w:color w:val="000000"/>
                    <w:kern w:val="24"/>
                  </w:rPr>
                  <m:t>τ</m:t>
                </m:r>
              </m:e>
              <m:sub>
                <m:r>
                  <w:rPr>
                    <w:rFonts w:ascii="Cambria Math" w:eastAsia="+mn-ea" w:hAnsi="Cambria Math" w:cs="+mn-cs"/>
                    <w:color w:val="000000"/>
                    <w:kern w:val="24"/>
                  </w:rPr>
                  <m:t>α</m:t>
                </m:r>
              </m:sub>
            </m:sSub>
          </m:e>
        </m:d>
      </m:oMath>
      <w:r w:rsidR="0062776D">
        <w:rPr>
          <w:bCs/>
          <w:iCs/>
          <w:color w:val="000000"/>
          <w:kern w:val="24"/>
        </w:rPr>
        <w:t>,</w:t>
      </w:r>
    </w:p>
    <w:p w14:paraId="4F4B4173" w14:textId="77777777" w:rsidR="0062776D" w:rsidRPr="0062776D" w:rsidRDefault="0062776D" w:rsidP="00EC0B53">
      <w:pPr>
        <w:pStyle w:val="NormalWeb"/>
        <w:spacing w:before="0" w:beforeAutospacing="0" w:after="0" w:afterAutospacing="0"/>
        <w:rPr>
          <w:rFonts w:asciiTheme="minorHAnsi" w:hAnsiTheme="minorHAnsi" w:cstheme="minorHAnsi"/>
          <w:bCs/>
          <w:iCs/>
          <w:color w:val="000000"/>
          <w:kern w:val="24"/>
          <w:sz w:val="22"/>
          <w:szCs w:val="22"/>
        </w:rPr>
      </w:pPr>
    </w:p>
    <w:p w14:paraId="151AA67B" w14:textId="0FC6F633" w:rsidR="00EC0B53" w:rsidRDefault="00D03E84" w:rsidP="00EC0B53">
      <w:pPr>
        <w:pStyle w:val="NormalWeb"/>
        <w:spacing w:before="0" w:beforeAutospacing="0" w:after="0" w:afterAutospacing="0"/>
        <w:rPr>
          <w:rFonts w:asciiTheme="minorHAnsi" w:hAnsiTheme="minorHAnsi" w:cstheme="minorHAnsi"/>
          <w:bCs/>
          <w:iCs/>
          <w:color w:val="000000"/>
          <w:kern w:val="24"/>
          <w:sz w:val="22"/>
          <w:szCs w:val="22"/>
        </w:rPr>
      </w:pPr>
      <w:r>
        <w:rPr>
          <w:rFonts w:asciiTheme="minorHAnsi" w:hAnsiTheme="minorHAnsi" w:cstheme="minorHAnsi"/>
          <w:bCs/>
          <w:iCs/>
          <w:color w:val="000000"/>
          <w:kern w:val="24"/>
          <w:sz w:val="22"/>
          <w:szCs w:val="22"/>
        </w:rPr>
        <w:t xml:space="preserve">where, </w:t>
      </w:r>
      <m:oMath>
        <m:sSub>
          <m:sSubPr>
            <m:ctrlPr>
              <w:rPr>
                <w:rFonts w:ascii="Cambria Math" w:eastAsia="+mn-ea" w:hAnsi="Cambria Math" w:cs="+mn-cs"/>
                <w:bCs/>
                <w:i/>
                <w:iCs/>
                <w:color w:val="000000"/>
                <w:kern w:val="24"/>
              </w:rPr>
            </m:ctrlPr>
          </m:sSubPr>
          <m:e>
            <m:r>
              <w:rPr>
                <w:rFonts w:ascii="Cambria Math" w:eastAsia="+mn-ea" w:hAnsi="Cambria Math" w:cs="+mn-cs"/>
                <w:color w:val="000000"/>
                <w:kern w:val="24"/>
              </w:rPr>
              <m:t>μ</m:t>
            </m:r>
          </m:e>
          <m:sub>
            <m:r>
              <w:rPr>
                <w:rFonts w:ascii="Cambria Math" w:eastAsia="+mn-ea" w:hAnsi="Cambria Math" w:cs="+mn-cs"/>
                <w:color w:val="000000"/>
                <w:kern w:val="24"/>
              </w:rPr>
              <m:t>α</m:t>
            </m:r>
          </m:sub>
        </m:sSub>
      </m:oMath>
      <w:r>
        <w:rPr>
          <w:rFonts w:asciiTheme="minorHAnsi" w:hAnsiTheme="minorHAnsi" w:cstheme="minorHAnsi"/>
          <w:bCs/>
          <w:iCs/>
          <w:color w:val="000000"/>
          <w:kern w:val="24"/>
          <w:sz w:val="22"/>
          <w:szCs w:val="22"/>
        </w:rPr>
        <w:t xml:space="preserve"> </w:t>
      </w:r>
      <w:r w:rsidR="007B356A">
        <w:rPr>
          <w:rFonts w:asciiTheme="minorHAnsi" w:hAnsiTheme="minorHAnsi" w:cstheme="minorHAnsi"/>
          <w:bCs/>
          <w:iCs/>
          <w:color w:val="000000"/>
          <w:kern w:val="24"/>
          <w:sz w:val="22"/>
          <w:szCs w:val="22"/>
        </w:rPr>
        <w:t xml:space="preserve">and </w:t>
      </w:r>
      <m:oMath>
        <m:sSub>
          <m:sSubPr>
            <m:ctrlPr>
              <w:rPr>
                <w:rFonts w:ascii="Cambria Math" w:eastAsia="+mn-ea" w:hAnsi="Cambria Math" w:cs="+mn-cs"/>
                <w:bCs/>
                <w:i/>
                <w:iCs/>
                <w:color w:val="000000"/>
                <w:kern w:val="24"/>
              </w:rPr>
            </m:ctrlPr>
          </m:sSubPr>
          <m:e>
            <m:r>
              <w:rPr>
                <w:rFonts w:ascii="Cambria Math" w:eastAsia="+mn-ea" w:hAnsi="Cambria Math" w:cs="+mn-cs"/>
                <w:color w:val="000000"/>
                <w:kern w:val="24"/>
              </w:rPr>
              <m:t>τ</m:t>
            </m:r>
          </m:e>
          <m:sub>
            <m:r>
              <w:rPr>
                <w:rFonts w:ascii="Cambria Math" w:eastAsia="+mn-ea" w:hAnsi="Cambria Math" w:cs="+mn-cs"/>
                <w:color w:val="000000"/>
                <w:kern w:val="24"/>
              </w:rPr>
              <m:t>α</m:t>
            </m:r>
          </m:sub>
        </m:sSub>
      </m:oMath>
      <w:r w:rsidR="007B356A">
        <w:rPr>
          <w:rFonts w:asciiTheme="minorHAnsi" w:hAnsiTheme="minorHAnsi" w:cstheme="minorHAnsi"/>
          <w:bCs/>
          <w:iCs/>
          <w:color w:val="000000"/>
          <w:kern w:val="24"/>
        </w:rPr>
        <w:t xml:space="preserve"> </w:t>
      </w:r>
      <w:r w:rsidR="007B356A" w:rsidRPr="003E5903">
        <w:rPr>
          <w:rFonts w:asciiTheme="minorHAnsi" w:hAnsiTheme="minorHAnsi" w:cstheme="minorHAnsi"/>
          <w:bCs/>
          <w:iCs/>
          <w:color w:val="000000"/>
          <w:kern w:val="24"/>
          <w:sz w:val="22"/>
          <w:szCs w:val="22"/>
        </w:rPr>
        <w:t>represent the mean and precision of</w:t>
      </w:r>
      <w:r w:rsidR="00810A9E">
        <w:rPr>
          <w:rFonts w:asciiTheme="minorHAnsi" w:hAnsiTheme="minorHAnsi" w:cstheme="minorHAnsi"/>
          <w:bCs/>
          <w:iCs/>
          <w:color w:val="000000"/>
          <w:kern w:val="24"/>
          <w:sz w:val="22"/>
          <w:szCs w:val="22"/>
        </w:rPr>
        <w:t xml:space="preserve"> a</w:t>
      </w:r>
      <w:r w:rsidR="007B356A" w:rsidRPr="003E5903">
        <w:rPr>
          <w:rFonts w:asciiTheme="minorHAnsi" w:hAnsiTheme="minorHAnsi" w:cstheme="minorHAnsi"/>
          <w:bCs/>
          <w:iCs/>
          <w:color w:val="000000"/>
          <w:kern w:val="24"/>
          <w:sz w:val="22"/>
          <w:szCs w:val="22"/>
        </w:rPr>
        <w:t xml:space="preserve"> </w:t>
      </w:r>
      <w:proofErr w:type="spellStart"/>
      <w:r w:rsidR="007B356A" w:rsidRPr="003E5903">
        <w:rPr>
          <w:rFonts w:asciiTheme="minorHAnsi" w:hAnsiTheme="minorHAnsi" w:cstheme="minorHAnsi"/>
          <w:bCs/>
          <w:iCs/>
          <w:color w:val="000000"/>
          <w:kern w:val="24"/>
          <w:sz w:val="22"/>
          <w:szCs w:val="22"/>
        </w:rPr>
        <w:t>hyperprior</w:t>
      </w:r>
      <w:proofErr w:type="spellEnd"/>
      <w:r w:rsidR="007B356A" w:rsidRPr="003E5903">
        <w:rPr>
          <w:rFonts w:asciiTheme="minorHAnsi" w:hAnsiTheme="minorHAnsi" w:cstheme="minorHAnsi"/>
          <w:bCs/>
          <w:iCs/>
          <w:color w:val="000000"/>
          <w:kern w:val="24"/>
          <w:sz w:val="22"/>
          <w:szCs w:val="22"/>
        </w:rPr>
        <w:t xml:space="preserve"> distribution describing the variation in natural-log-productivity among CUs.</w:t>
      </w:r>
      <w:r w:rsidR="00810A9E">
        <w:rPr>
          <w:rFonts w:asciiTheme="minorHAnsi" w:hAnsiTheme="minorHAnsi" w:cstheme="minorHAnsi"/>
          <w:bCs/>
          <w:iCs/>
          <w:color w:val="000000"/>
          <w:kern w:val="24"/>
          <w:sz w:val="22"/>
          <w:szCs w:val="22"/>
        </w:rPr>
        <w:t xml:space="preserve">  </w:t>
      </w:r>
      <w:r w:rsidR="00810A9E" w:rsidRPr="00810A9E">
        <w:rPr>
          <w:rFonts w:asciiTheme="minorHAnsi" w:hAnsiTheme="minorHAnsi" w:cstheme="minorHAnsi"/>
          <w:bCs/>
          <w:iCs/>
          <w:color w:val="000000"/>
          <w:kern w:val="24"/>
          <w:sz w:val="22"/>
          <w:szCs w:val="22"/>
        </w:rPr>
        <w:t xml:space="preserve">Prior distributions on </w:t>
      </w:r>
      <m:oMath>
        <m:sSub>
          <m:sSubPr>
            <m:ctrlPr>
              <w:rPr>
                <w:rFonts w:ascii="Cambria Math" w:eastAsia="+mn-ea" w:hAnsi="Cambria Math" w:cs="+mn-cs"/>
                <w:bCs/>
                <w:i/>
                <w:iCs/>
                <w:color w:val="000000"/>
                <w:kern w:val="24"/>
                <w:sz w:val="22"/>
                <w:szCs w:val="22"/>
              </w:rPr>
            </m:ctrlPr>
          </m:sSubPr>
          <m:e>
            <m:r>
              <w:rPr>
                <w:rFonts w:ascii="Cambria Math" w:eastAsia="+mn-ea" w:hAnsi="Cambria Math" w:cs="+mn-cs"/>
                <w:color w:val="000000"/>
                <w:kern w:val="24"/>
                <w:sz w:val="22"/>
                <w:szCs w:val="22"/>
              </w:rPr>
              <m:t>μ</m:t>
            </m:r>
          </m:e>
          <m:sub>
            <m:r>
              <w:rPr>
                <w:rFonts w:ascii="Cambria Math" w:eastAsia="+mn-ea" w:hAnsi="Cambria Math" w:cs="+mn-cs"/>
                <w:color w:val="000000"/>
                <w:kern w:val="24"/>
                <w:sz w:val="22"/>
                <w:szCs w:val="22"/>
              </w:rPr>
              <m:t>α</m:t>
            </m:r>
          </m:sub>
        </m:sSub>
      </m:oMath>
      <w:r w:rsidR="00810A9E" w:rsidRPr="00810A9E">
        <w:rPr>
          <w:rFonts w:asciiTheme="minorHAnsi" w:hAnsiTheme="minorHAnsi" w:cstheme="minorHAnsi"/>
          <w:bCs/>
          <w:iCs/>
          <w:color w:val="000000"/>
          <w:kern w:val="24"/>
          <w:sz w:val="22"/>
          <w:szCs w:val="22"/>
        </w:rPr>
        <w:t xml:space="preserve"> and </w:t>
      </w:r>
      <m:oMath>
        <m:sSub>
          <m:sSubPr>
            <m:ctrlPr>
              <w:rPr>
                <w:rFonts w:ascii="Cambria Math" w:eastAsia="+mn-ea" w:hAnsi="Cambria Math" w:cs="+mn-cs"/>
                <w:bCs/>
                <w:i/>
                <w:iCs/>
                <w:color w:val="000000"/>
                <w:kern w:val="24"/>
                <w:sz w:val="22"/>
                <w:szCs w:val="22"/>
              </w:rPr>
            </m:ctrlPr>
          </m:sSubPr>
          <m:e>
            <m:r>
              <w:rPr>
                <w:rFonts w:ascii="Cambria Math" w:eastAsia="+mn-ea" w:hAnsi="Cambria Math" w:cs="+mn-cs"/>
                <w:color w:val="000000"/>
                <w:kern w:val="24"/>
                <w:sz w:val="22"/>
                <w:szCs w:val="22"/>
              </w:rPr>
              <m:t>τ</m:t>
            </m:r>
          </m:e>
          <m:sub>
            <m:r>
              <w:rPr>
                <w:rFonts w:ascii="Cambria Math" w:eastAsia="+mn-ea" w:hAnsi="Cambria Math" w:cs="+mn-cs"/>
                <w:color w:val="000000"/>
                <w:kern w:val="24"/>
                <w:sz w:val="22"/>
                <w:szCs w:val="22"/>
              </w:rPr>
              <m:t>α</m:t>
            </m:r>
          </m:sub>
        </m:sSub>
      </m:oMath>
      <w:r w:rsidR="00810A9E" w:rsidRPr="00810A9E">
        <w:rPr>
          <w:rFonts w:asciiTheme="minorHAnsi" w:hAnsiTheme="minorHAnsi" w:cstheme="minorHAnsi"/>
          <w:bCs/>
          <w:iCs/>
          <w:color w:val="000000"/>
          <w:kern w:val="24"/>
          <w:sz w:val="22"/>
          <w:szCs w:val="22"/>
        </w:rPr>
        <w:t xml:space="preserve"> are also assumed.</w:t>
      </w:r>
    </w:p>
    <w:p w14:paraId="32D62945" w14:textId="77777777" w:rsidR="00307170" w:rsidRPr="0062776D" w:rsidRDefault="00307170" w:rsidP="00EC0B53">
      <w:pPr>
        <w:pStyle w:val="NormalWeb"/>
        <w:spacing w:before="0" w:beforeAutospacing="0" w:after="0" w:afterAutospacing="0"/>
        <w:rPr>
          <w:rFonts w:asciiTheme="minorHAnsi" w:hAnsiTheme="minorHAnsi" w:cstheme="minorHAnsi"/>
          <w:bCs/>
          <w:iCs/>
          <w:color w:val="000000"/>
          <w:kern w:val="24"/>
          <w:sz w:val="22"/>
          <w:szCs w:val="22"/>
        </w:rPr>
      </w:pPr>
    </w:p>
    <w:p w14:paraId="3A717E06" w14:textId="77777777" w:rsidR="003245B0" w:rsidRPr="00991B01" w:rsidRDefault="00991B01">
      <w:pPr>
        <w:rPr>
          <w:u w:val="single"/>
        </w:rPr>
      </w:pPr>
      <w:r>
        <w:rPr>
          <w:u w:val="single"/>
        </w:rPr>
        <w:t>Prior S</w:t>
      </w:r>
      <w:r w:rsidR="0037273F" w:rsidRPr="00991B01">
        <w:rPr>
          <w:u w:val="single"/>
        </w:rPr>
        <w:t>pecification:</w:t>
      </w:r>
    </w:p>
    <w:p w14:paraId="2EFC6EA4" w14:textId="77777777" w:rsidR="007B356A" w:rsidRDefault="007B356A" w:rsidP="007B356A">
      <w:r>
        <w:t xml:space="preserve">The following priors were used in the Bayesian </w:t>
      </w:r>
      <w:proofErr w:type="spellStart"/>
      <w:r>
        <w:t>WinBUGS</w:t>
      </w:r>
      <w:proofErr w:type="spellEnd"/>
      <w:r>
        <w:t xml:space="preserve"> model used by Arbeider et al. </w:t>
      </w:r>
    </w:p>
    <w:p w14:paraId="252D67D7" w14:textId="77777777" w:rsidR="007B356A" w:rsidRPr="002629B4" w:rsidRDefault="007B356A" w:rsidP="007B356A">
      <w:pPr>
        <w:rPr>
          <w:rFonts w:eastAsiaTheme="minorEastAsia"/>
        </w:rPr>
      </w:pPr>
      <m:oMathPara>
        <m:oMath>
          <m:r>
            <w:rPr>
              <w:rFonts w:ascii="Cambria Math" w:hAnsi="Cambria Math"/>
            </w:rPr>
            <m:t>τ~gamma(0.01, 0.01)</m:t>
          </m:r>
        </m:oMath>
      </m:oMathPara>
    </w:p>
    <w:p w14:paraId="59F569E9" w14:textId="77777777" w:rsidR="007B356A" w:rsidRPr="00786413" w:rsidRDefault="001A3687" w:rsidP="007B356A">
      <w:pPr>
        <w:rPr>
          <w:rFonts w:eastAsiaTheme="minorEastAsia"/>
        </w:rPr>
      </w:pPr>
      <m:oMathPara>
        <m:oMath>
          <m:sSub>
            <m:sSubPr>
              <m:ctrlPr>
                <w:rPr>
                  <w:rFonts w:ascii="Cambria Math" w:hAnsi="Cambria Math"/>
                  <w:i/>
                </w:rPr>
              </m:ctrlPr>
            </m:sSubPr>
            <m:e>
              <m:r>
                <w:rPr>
                  <w:rFonts w:ascii="Cambria Math" w:hAnsi="Cambria Math"/>
                </w:rPr>
                <m:t>μ</m:t>
              </m:r>
            </m:e>
            <m:sub>
              <m:r>
                <w:rPr>
                  <w:rFonts w:ascii="Cambria Math" w:hAnsi="Cambria Math"/>
                </w:rPr>
                <m:t>α</m:t>
              </m:r>
            </m:sub>
          </m:sSub>
          <m:r>
            <w:rPr>
              <w:rFonts w:ascii="Cambria Math" w:hAnsi="Cambria Math"/>
            </w:rPr>
            <m:t>~normal(</m:t>
          </m:r>
          <m:sSub>
            <m:sSubPr>
              <m:ctrlPr>
                <w:rPr>
                  <w:rFonts w:ascii="Cambria Math" w:hAnsi="Cambria Math"/>
                  <w:i/>
                </w:rPr>
              </m:ctrlPr>
            </m:sSubPr>
            <m:e>
              <m:r>
                <w:rPr>
                  <w:rFonts w:ascii="Cambria Math" w:hAnsi="Cambria Math"/>
                </w:rPr>
                <m:t>μ</m:t>
              </m:r>
            </m:e>
            <m:sub>
              <m:r>
                <w:rPr>
                  <w:rFonts w:ascii="Cambria Math" w:hAnsi="Cambria Math"/>
                </w:rPr>
                <m:t>∝</m:t>
              </m:r>
            </m:sub>
          </m:sSub>
          <m:r>
            <w:rPr>
              <w:rFonts w:ascii="Cambria Math" w:hAnsi="Cambria Math"/>
            </w:rPr>
            <m:t xml:space="preserve">= 1, </m:t>
          </m:r>
          <m:sSub>
            <m:sSubPr>
              <m:ctrlPr>
                <w:rPr>
                  <w:rFonts w:ascii="Cambria Math" w:hAnsi="Cambria Math"/>
                  <w:i/>
                </w:rPr>
              </m:ctrlPr>
            </m:sSubPr>
            <m:e>
              <m:r>
                <w:rPr>
                  <w:rFonts w:ascii="Cambria Math" w:hAnsi="Cambria Math"/>
                </w:rPr>
                <m:t xml:space="preserve"> τ</m:t>
              </m:r>
            </m:e>
            <m:sub>
              <m:r>
                <w:rPr>
                  <w:rFonts w:ascii="Cambria Math" w:hAnsi="Cambria Math"/>
                </w:rPr>
                <m:t>α</m:t>
              </m:r>
            </m:sub>
          </m:sSub>
          <m:r>
            <w:rPr>
              <w:rFonts w:ascii="Cambria Math" w:hAnsi="Cambria Math"/>
            </w:rPr>
            <m:t>= 0.5)</m:t>
          </m:r>
        </m:oMath>
      </m:oMathPara>
    </w:p>
    <w:p w14:paraId="36ED0270" w14:textId="77777777" w:rsidR="00786413" w:rsidRPr="002629B4" w:rsidRDefault="001A3687" w:rsidP="007B356A">
      <w:pPr>
        <w:rPr>
          <w:rFonts w:eastAsiaTheme="minorEastAsia"/>
        </w:rPr>
      </w:pPr>
      <m:oMathPara>
        <m:oMath>
          <m:sSub>
            <m:sSubPr>
              <m:ctrlPr>
                <w:rPr>
                  <w:rFonts w:ascii="Cambria Math" w:hAnsi="Cambria Math"/>
                  <w:i/>
                </w:rPr>
              </m:ctrlPr>
            </m:sSubPr>
            <m:e>
              <m:r>
                <w:rPr>
                  <w:rFonts w:ascii="Cambria Math" w:hAnsi="Cambria Math"/>
                </w:rPr>
                <m:t>τ</m:t>
              </m:r>
            </m:e>
            <m:sub>
              <m:r>
                <w:rPr>
                  <w:rFonts w:ascii="Cambria Math" w:hAnsi="Cambria Math"/>
                </w:rPr>
                <m:t>α</m:t>
              </m:r>
            </m:sub>
          </m:sSub>
          <m:r>
            <w:rPr>
              <w:rFonts w:ascii="Cambria Math" w:hAnsi="Cambria Math"/>
            </w:rPr>
            <m:t>~gamma</m:t>
          </m:r>
          <m:d>
            <m:dPr>
              <m:ctrlPr>
                <w:rPr>
                  <w:rFonts w:ascii="Cambria Math" w:hAnsi="Cambria Math"/>
                </w:rPr>
              </m:ctrlPr>
            </m:dPr>
            <m:e>
              <m:r>
                <m:rPr>
                  <m:sty m:val="p"/>
                </m:rPr>
                <w:rPr>
                  <w:rFonts w:ascii="Cambria Math" w:hAnsi="Cambria Math"/>
                </w:rPr>
                <m:t>0.1,0.1</m:t>
              </m:r>
            </m:e>
          </m:d>
        </m:oMath>
      </m:oMathPara>
    </w:p>
    <w:p w14:paraId="3D8340A7" w14:textId="77777777" w:rsidR="007B356A" w:rsidRPr="002629B4" w:rsidRDefault="007B356A" w:rsidP="007B356A">
      <w:pPr>
        <w:rPr>
          <w:rFonts w:eastAsiaTheme="minorEastAsia"/>
          <w:vertAlign w:val="subscript"/>
        </w:rPr>
      </w:pPr>
      <m:oMathPara>
        <m:oMath>
          <m:r>
            <w:rPr>
              <w:rFonts w:ascii="Cambria Math" w:hAnsi="Cambria Math"/>
              <w:vertAlign w:val="subscript"/>
            </w:rPr>
            <m:t xml:space="preserve">γ~normal(μ= 0, </m:t>
          </m:r>
          <m:sSub>
            <m:sSubPr>
              <m:ctrlPr>
                <w:rPr>
                  <w:rFonts w:ascii="Cambria Math" w:hAnsi="Cambria Math"/>
                  <w:i/>
                  <w:vertAlign w:val="subscript"/>
                </w:rPr>
              </m:ctrlPr>
            </m:sSubPr>
            <m:e>
              <m:r>
                <w:rPr>
                  <w:rFonts w:ascii="Cambria Math" w:hAnsi="Cambria Math"/>
                  <w:vertAlign w:val="subscript"/>
                </w:rPr>
                <m:t xml:space="preserve"> τ</m:t>
              </m:r>
            </m:e>
            <m:sub>
              <m:r>
                <w:rPr>
                  <w:rFonts w:ascii="Cambria Math" w:hAnsi="Cambria Math"/>
                  <w:vertAlign w:val="subscript"/>
                </w:rPr>
                <m:t>γ</m:t>
              </m:r>
            </m:sub>
          </m:sSub>
          <m:r>
            <w:rPr>
              <w:rFonts w:ascii="Cambria Math" w:hAnsi="Cambria Math"/>
              <w:vertAlign w:val="subscript"/>
            </w:rPr>
            <m:t>= 0.01)</m:t>
          </m:r>
        </m:oMath>
      </m:oMathPara>
    </w:p>
    <w:p w14:paraId="6F5428D2" w14:textId="7FDF2852" w:rsidR="00A326F8" w:rsidRPr="00395341" w:rsidRDefault="009D3843" w:rsidP="007B356A">
      <w:pPr>
        <w:rPr>
          <w:rFonts w:eastAsiaTheme="minorEastAsia"/>
        </w:rPr>
      </w:pPr>
      <w:r>
        <w:t>Note that</w:t>
      </w:r>
      <w:r w:rsidR="007B356A">
        <w:t xml:space="preserve"> in </w:t>
      </w:r>
      <w:proofErr w:type="spellStart"/>
      <w:r w:rsidR="007B356A">
        <w:t>WinBUGS</w:t>
      </w:r>
      <w:proofErr w:type="spellEnd"/>
      <w:r w:rsidR="007B356A">
        <w:t>, normal distributions are parameterized using precision</w:t>
      </w:r>
      <w:r>
        <w:t xml:space="preserve"> (</w:t>
      </w:r>
      <m:oMath>
        <m:r>
          <w:rPr>
            <w:rFonts w:ascii="Cambria Math" w:hAnsi="Cambria Math"/>
          </w:rPr>
          <m:t>τ</m:t>
        </m:r>
      </m:oMath>
      <w:r>
        <w:rPr>
          <w:rFonts w:eastAsiaTheme="minorEastAsia"/>
        </w:rPr>
        <w:t xml:space="preserve">) </w:t>
      </w:r>
      <w:r>
        <w:t>instead of variance, where precision is the inverse of variance:</w:t>
      </w:r>
      <w:r w:rsidR="007B356A">
        <w:t xml:space="preserve"> </w:t>
      </w:r>
      <m:oMath>
        <m:r>
          <w:rPr>
            <w:rFonts w:ascii="Cambria Math" w:hAnsi="Cambria Math"/>
          </w:rPr>
          <m:t>τ=1/</m:t>
        </m:r>
        <m:sSup>
          <m:sSupPr>
            <m:ctrlPr>
              <w:rPr>
                <w:rFonts w:ascii="Cambria Math" w:hAnsi="Cambria Math"/>
                <w:i/>
              </w:rPr>
            </m:ctrlPr>
          </m:sSupPr>
          <m:e>
            <m:r>
              <w:rPr>
                <w:rFonts w:ascii="Cambria Math" w:hAnsi="Cambria Math"/>
              </w:rPr>
              <m:t>σ</m:t>
            </m:r>
          </m:e>
          <m:sup>
            <m:r>
              <w:rPr>
                <w:rFonts w:ascii="Cambria Math" w:hAnsi="Cambria Math"/>
              </w:rPr>
              <m:t>2</m:t>
            </m:r>
          </m:sup>
        </m:sSup>
      </m:oMath>
      <w:r w:rsidR="007B356A">
        <w:rPr>
          <w:rFonts w:eastAsiaTheme="minorEastAsia"/>
        </w:rPr>
        <w:t>. Therefore a gamma distribution on precision is the same as an inverse gamma distribution on variance.</w:t>
      </w:r>
      <w:r w:rsidR="00395341">
        <w:rPr>
          <w:rFonts w:eastAsiaTheme="minorEastAsia"/>
        </w:rPr>
        <w:t xml:space="preserve">  The relationship between three levels of gamma prior on </w:t>
      </w:r>
      <m:oMath>
        <m:r>
          <w:rPr>
            <w:rFonts w:ascii="Cambria Math" w:hAnsi="Cambria Math"/>
          </w:rPr>
          <m:t>τ</m:t>
        </m:r>
      </m:oMath>
      <w:r w:rsidR="00395341">
        <w:rPr>
          <w:rFonts w:eastAsiaTheme="minorEastAsia"/>
        </w:rPr>
        <w:t xml:space="preserve"> and the associated inverse gamma prior on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rsidR="00395341">
        <w:rPr>
          <w:rFonts w:eastAsiaTheme="minorEastAsia"/>
        </w:rPr>
        <w:t xml:space="preserve"> is as follows:</w:t>
      </w:r>
    </w:p>
    <w:tbl>
      <w:tblPr>
        <w:tblStyle w:val="TableGrid"/>
        <w:tblW w:w="0" w:type="auto"/>
        <w:tblLook w:val="04A0" w:firstRow="1" w:lastRow="0" w:firstColumn="1" w:lastColumn="0" w:noHBand="0" w:noVBand="1"/>
      </w:tblPr>
      <w:tblGrid>
        <w:gridCol w:w="2695"/>
        <w:gridCol w:w="2790"/>
      </w:tblGrid>
      <w:tr w:rsidR="008D6E99" w14:paraId="381CD82D" w14:textId="77777777" w:rsidTr="00B51632">
        <w:tc>
          <w:tcPr>
            <w:tcW w:w="2695" w:type="dxa"/>
          </w:tcPr>
          <w:p w14:paraId="0AAEFE8C" w14:textId="77777777" w:rsidR="008D6E99" w:rsidRPr="007B356A" w:rsidRDefault="008D6E99" w:rsidP="00B51632">
            <w:pPr>
              <w:rPr>
                <w:b/>
              </w:rPr>
            </w:pPr>
            <w:r w:rsidRPr="00E65B38">
              <w:rPr>
                <w:b/>
              </w:rPr>
              <w:t xml:space="preserve">Gamma prior on </w:t>
            </w:r>
            <w:r w:rsidR="007B356A">
              <w:rPr>
                <w:rFonts w:cstheme="minorHAnsi"/>
                <w:b/>
              </w:rPr>
              <w:t>τ</w:t>
            </w:r>
            <w:r w:rsidR="00395341">
              <w:rPr>
                <w:b/>
              </w:rPr>
              <w:t xml:space="preserve"> (or </w:t>
            </w:r>
            <w:r w:rsidRPr="00E65B38">
              <w:rPr>
                <w:b/>
              </w:rPr>
              <w:t>1/</w:t>
            </w:r>
            <w:r w:rsidRPr="00E65B38">
              <w:rPr>
                <w:rFonts w:cstheme="minorHAnsi"/>
                <w:b/>
              </w:rPr>
              <w:t>σ</w:t>
            </w:r>
            <w:r w:rsidRPr="00E65B38">
              <w:rPr>
                <w:b/>
                <w:vertAlign w:val="superscript"/>
              </w:rPr>
              <w:t>2</w:t>
            </w:r>
            <w:r w:rsidR="007B356A">
              <w:rPr>
                <w:b/>
              </w:rPr>
              <w:t>)</w:t>
            </w:r>
          </w:p>
          <w:p w14:paraId="7667F6E1" w14:textId="637EF1DC" w:rsidR="008D6E99" w:rsidRPr="00E65B38" w:rsidRDefault="008D6E99" w:rsidP="00A90763">
            <w:r w:rsidRPr="00E65B38">
              <w:t>(</w:t>
            </w:r>
            <w:r w:rsidRPr="00E65B38">
              <w:rPr>
                <w:rFonts w:cstheme="minorHAnsi"/>
              </w:rPr>
              <w:t>α</w:t>
            </w:r>
            <w:r w:rsidRPr="00E65B38">
              <w:t xml:space="preserve">= shape, </w:t>
            </w:r>
            <w:r w:rsidRPr="00E65B38">
              <w:rPr>
                <w:rFonts w:cstheme="minorHAnsi"/>
              </w:rPr>
              <w:t>β</w:t>
            </w:r>
            <w:r w:rsidRPr="00E65B38">
              <w:t xml:space="preserve">  = rate)</w:t>
            </w:r>
          </w:p>
        </w:tc>
        <w:tc>
          <w:tcPr>
            <w:tcW w:w="2790" w:type="dxa"/>
          </w:tcPr>
          <w:p w14:paraId="0D771485" w14:textId="77777777" w:rsidR="008D6E99" w:rsidRDefault="008D6E99" w:rsidP="00B51632">
            <w:pPr>
              <w:rPr>
                <w:b/>
              </w:rPr>
            </w:pPr>
            <w:r w:rsidRPr="00E65B38">
              <w:rPr>
                <w:b/>
              </w:rPr>
              <w:t xml:space="preserve">Inverse gamma prior on </w:t>
            </w:r>
            <w:r w:rsidRPr="00E65B38">
              <w:rPr>
                <w:rFonts w:cstheme="minorHAnsi"/>
                <w:b/>
              </w:rPr>
              <w:t>σ</w:t>
            </w:r>
            <w:r w:rsidRPr="00E65B38">
              <w:rPr>
                <w:b/>
                <w:vertAlign w:val="superscript"/>
              </w:rPr>
              <w:t>2</w:t>
            </w:r>
          </w:p>
          <w:p w14:paraId="2C5AF2AE" w14:textId="0F2397B0" w:rsidR="008D6E99" w:rsidRPr="00E65B38" w:rsidRDefault="008D6E99" w:rsidP="00A90763">
            <w:pPr>
              <w:rPr>
                <w:rFonts w:cstheme="minorHAnsi"/>
                <w:b/>
              </w:rPr>
            </w:pPr>
            <w:r>
              <w:rPr>
                <w:b/>
              </w:rPr>
              <w:t>(</w:t>
            </w:r>
            <w:r w:rsidRPr="00E65B38">
              <w:rPr>
                <w:rFonts w:cstheme="minorHAnsi"/>
              </w:rPr>
              <w:t>α</w:t>
            </w:r>
            <w:r w:rsidRPr="00E65B38">
              <w:t xml:space="preserve">= shape, </w:t>
            </w:r>
            <w:r w:rsidRPr="00E65B38">
              <w:rPr>
                <w:rFonts w:cstheme="minorHAnsi"/>
              </w:rPr>
              <w:t>β</w:t>
            </w:r>
            <w:r>
              <w:t xml:space="preserve">  = scale</w:t>
            </w:r>
            <w:r w:rsidRPr="00E65B38">
              <w:t>)</w:t>
            </w:r>
          </w:p>
        </w:tc>
      </w:tr>
      <w:tr w:rsidR="008D6E99" w14:paraId="03EF49E6" w14:textId="77777777" w:rsidTr="00B51632">
        <w:tc>
          <w:tcPr>
            <w:tcW w:w="2695" w:type="dxa"/>
          </w:tcPr>
          <w:p w14:paraId="459DFD74" w14:textId="77777777" w:rsidR="008D6E99" w:rsidRDefault="008D6E99" w:rsidP="00B51632">
            <w:r>
              <w:t>Gamma (0.01, 0.01)</w:t>
            </w:r>
          </w:p>
        </w:tc>
        <w:tc>
          <w:tcPr>
            <w:tcW w:w="2790" w:type="dxa"/>
          </w:tcPr>
          <w:p w14:paraId="59113371" w14:textId="77777777" w:rsidR="008D6E99" w:rsidRDefault="008D6E99" w:rsidP="00B51632">
            <w:proofErr w:type="spellStart"/>
            <w:r>
              <w:t>Inv.Gamma</w:t>
            </w:r>
            <w:proofErr w:type="spellEnd"/>
            <w:r>
              <w:t xml:space="preserve"> (0.01, 0.01)</w:t>
            </w:r>
          </w:p>
        </w:tc>
      </w:tr>
      <w:tr w:rsidR="008D6E99" w14:paraId="6156DAD5" w14:textId="77777777" w:rsidTr="00B51632">
        <w:tc>
          <w:tcPr>
            <w:tcW w:w="2695" w:type="dxa"/>
          </w:tcPr>
          <w:p w14:paraId="0DF2B9D9" w14:textId="77777777" w:rsidR="008D6E99" w:rsidRDefault="008D6E99" w:rsidP="00B51632">
            <w:r>
              <w:t>Gamma (0.1, 0.1)</w:t>
            </w:r>
          </w:p>
        </w:tc>
        <w:tc>
          <w:tcPr>
            <w:tcW w:w="2790" w:type="dxa"/>
          </w:tcPr>
          <w:p w14:paraId="33D083A3" w14:textId="77777777" w:rsidR="008D6E99" w:rsidRDefault="008D6E99" w:rsidP="00B51632">
            <w:proofErr w:type="spellStart"/>
            <w:r>
              <w:t>Inv.Gamma</w:t>
            </w:r>
            <w:proofErr w:type="spellEnd"/>
            <w:r>
              <w:t xml:space="preserve"> (0.1, 0.1)</w:t>
            </w:r>
          </w:p>
        </w:tc>
      </w:tr>
      <w:tr w:rsidR="008D6E99" w14:paraId="3A130928" w14:textId="77777777" w:rsidTr="00B51632">
        <w:tc>
          <w:tcPr>
            <w:tcW w:w="2695" w:type="dxa"/>
          </w:tcPr>
          <w:p w14:paraId="5C15F651" w14:textId="77777777" w:rsidR="008D6E99" w:rsidRDefault="008D6E99" w:rsidP="00B51632">
            <w:r>
              <w:t>Gamma (1, 1)</w:t>
            </w:r>
          </w:p>
        </w:tc>
        <w:tc>
          <w:tcPr>
            <w:tcW w:w="2790" w:type="dxa"/>
          </w:tcPr>
          <w:p w14:paraId="51977291" w14:textId="77777777" w:rsidR="008D6E99" w:rsidRDefault="008D6E99" w:rsidP="00B51632">
            <w:proofErr w:type="spellStart"/>
            <w:r>
              <w:t>Inv.Gamma</w:t>
            </w:r>
            <w:proofErr w:type="spellEnd"/>
            <w:r>
              <w:t xml:space="preserve"> (1, 1)</w:t>
            </w:r>
          </w:p>
        </w:tc>
      </w:tr>
    </w:tbl>
    <w:p w14:paraId="6E3F0712" w14:textId="77777777" w:rsidR="00A90763" w:rsidRDefault="00A90763"/>
    <w:p w14:paraId="183092FE" w14:textId="5C6EB5C4" w:rsidR="00395341" w:rsidRDefault="009D3843">
      <w:pPr>
        <w:rPr>
          <w:rFonts w:eastAsiaTheme="minorEastAsia"/>
        </w:rPr>
      </w:pPr>
      <w:r>
        <w:t>T</w:t>
      </w:r>
      <w:r w:rsidR="00395341">
        <w:t xml:space="preserve">he shape of the prior distribution on the variance </w:t>
      </w:r>
      <w:r>
        <w:rPr>
          <w:rFonts w:eastAsiaTheme="minorEastAsia"/>
        </w:rPr>
        <w:t>(</w:t>
      </w:r>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oMath>
      <w:r w:rsidR="00395341">
        <w:rPr>
          <w:rFonts w:eastAsiaTheme="minorEastAsia"/>
        </w:rPr>
        <w:t xml:space="preserve"> associated with each of these three </w:t>
      </w:r>
      <w:r>
        <w:rPr>
          <w:rFonts w:eastAsiaTheme="minorEastAsia"/>
        </w:rPr>
        <w:t xml:space="preserve">parameterizations </w:t>
      </w:r>
      <w:r w:rsidR="00395341">
        <w:rPr>
          <w:rFonts w:eastAsiaTheme="minorEastAsia"/>
        </w:rPr>
        <w:t>is shown here</w:t>
      </w:r>
      <w:r w:rsidR="00A90763">
        <w:rPr>
          <w:rFonts w:eastAsiaTheme="minorEastAsia"/>
        </w:rPr>
        <w:t xml:space="preserve"> (with the code used to produce this plot below)</w:t>
      </w:r>
      <w:r w:rsidR="00395341">
        <w:rPr>
          <w:rFonts w:eastAsiaTheme="minorEastAsia"/>
        </w:rPr>
        <w:t>:</w:t>
      </w:r>
    </w:p>
    <w:p w14:paraId="1E40091B" w14:textId="39FAFF42" w:rsidR="00810A9E" w:rsidRDefault="00810A9E">
      <w:pPr>
        <w:rPr>
          <w:rFonts w:eastAsiaTheme="minorEastAsia"/>
        </w:rPr>
      </w:pPr>
      <w:r w:rsidRPr="00810A9E">
        <w:rPr>
          <w:rFonts w:eastAsiaTheme="minorEastAsia"/>
          <w:noProof/>
        </w:rPr>
        <w:drawing>
          <wp:inline distT="0" distB="0" distL="0" distR="0" wp14:anchorId="7511530F" wp14:editId="48196164">
            <wp:extent cx="3852863" cy="238766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5">
                      <a:extLst>
                        <a:ext uri="{28A0092B-C50C-407E-A947-70E740481C1C}">
                          <a14:useLocalDpi xmlns:a14="http://schemas.microsoft.com/office/drawing/2010/main" val="0"/>
                        </a:ext>
                      </a:extLst>
                    </a:blip>
                    <a:srcRect t="14799" b="3217"/>
                    <a:stretch/>
                  </pic:blipFill>
                  <pic:spPr bwMode="auto">
                    <a:xfrm>
                      <a:off x="0" y="0"/>
                      <a:ext cx="3856708" cy="2390049"/>
                    </a:xfrm>
                    <a:prstGeom prst="rect">
                      <a:avLst/>
                    </a:prstGeom>
                    <a:noFill/>
                    <a:ln>
                      <a:noFill/>
                    </a:ln>
                    <a:extLst>
                      <a:ext uri="{53640926-AAD7-44D8-BBD7-CCE9431645EC}">
                        <a14:shadowObscured xmlns:a14="http://schemas.microsoft.com/office/drawing/2010/main"/>
                      </a:ext>
                    </a:extLst>
                  </pic:spPr>
                </pic:pic>
              </a:graphicData>
            </a:graphic>
          </wp:inline>
        </w:drawing>
      </w:r>
    </w:p>
    <w:p w14:paraId="11C3673A" w14:textId="77777777" w:rsidR="00501F75" w:rsidRDefault="00501F75" w:rsidP="00501F75">
      <w:pPr>
        <w:pStyle w:val="HTMLPreformatted"/>
        <w:shd w:val="clear" w:color="auto" w:fill="FFFFFF"/>
        <w:wordWrap w:val="0"/>
        <w:spacing w:line="173"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library(</w:t>
      </w:r>
      <w:proofErr w:type="spellStart"/>
      <w:r>
        <w:rPr>
          <w:rStyle w:val="gnkrckgcmrb"/>
          <w:rFonts w:ascii="Lucida Console" w:hAnsi="Lucida Console"/>
          <w:color w:val="0000FF"/>
        </w:rPr>
        <w:t>invgamma</w:t>
      </w:r>
      <w:proofErr w:type="spellEnd"/>
      <w:r>
        <w:rPr>
          <w:rStyle w:val="gnkrckgcmrb"/>
          <w:rFonts w:ascii="Lucida Console" w:hAnsi="Lucida Console"/>
          <w:color w:val="0000FF"/>
        </w:rPr>
        <w:t>)</w:t>
      </w:r>
    </w:p>
    <w:p w14:paraId="105BD206" w14:textId="77777777" w:rsidR="00501F75" w:rsidRDefault="00501F75" w:rsidP="00501F75">
      <w:pPr>
        <w:pStyle w:val="HTMLPreformatted"/>
        <w:shd w:val="clear" w:color="auto" w:fill="FFFFFF"/>
        <w:wordWrap w:val="0"/>
        <w:spacing w:line="173"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x&lt;-</w:t>
      </w:r>
      <w:proofErr w:type="spellStart"/>
      <w:r>
        <w:rPr>
          <w:rStyle w:val="gnkrckgcmrb"/>
          <w:rFonts w:ascii="Lucida Console" w:hAnsi="Lucida Console"/>
          <w:color w:val="0000FF"/>
        </w:rPr>
        <w:t>seq</w:t>
      </w:r>
      <w:proofErr w:type="spellEnd"/>
      <w:r>
        <w:rPr>
          <w:rStyle w:val="gnkrckgcmrb"/>
          <w:rFonts w:ascii="Lucida Console" w:hAnsi="Lucida Console"/>
          <w:color w:val="0000FF"/>
        </w:rPr>
        <w:t>(0,6,by=0.001)</w:t>
      </w:r>
    </w:p>
    <w:p w14:paraId="4DE2BAFA" w14:textId="77777777" w:rsidR="00A52566" w:rsidRDefault="00501F75" w:rsidP="00501F75">
      <w:pPr>
        <w:pStyle w:val="HTMLPreformatted"/>
        <w:shd w:val="clear" w:color="auto" w:fill="FFFFFF"/>
        <w:wordWrap w:val="0"/>
        <w:spacing w:line="173"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plot(x,</w:t>
      </w:r>
      <w:r w:rsidR="00A52566" w:rsidRPr="00A52566">
        <w:rPr>
          <w:rStyle w:val="gnkrckgcmrb"/>
          <w:rFonts w:ascii="Lucida Console" w:hAnsi="Lucida Console"/>
          <w:color w:val="0000FF"/>
        </w:rPr>
        <w:t xml:space="preserve"> </w:t>
      </w:r>
      <w:proofErr w:type="spellStart"/>
      <w:r w:rsidR="00A52566">
        <w:rPr>
          <w:rStyle w:val="gnkrckgcmrb"/>
          <w:rFonts w:ascii="Lucida Console" w:hAnsi="Lucida Console"/>
          <w:color w:val="0000FF"/>
        </w:rPr>
        <w:t>dinvgamma</w:t>
      </w:r>
      <w:proofErr w:type="spellEnd"/>
      <w:r w:rsidR="00A52566">
        <w:rPr>
          <w:rStyle w:val="gnkrckgcmrb"/>
          <w:rFonts w:ascii="Lucida Console" w:hAnsi="Lucida Console"/>
          <w:color w:val="0000FF"/>
        </w:rPr>
        <w:t>(x,0.01,0.01)</w:t>
      </w:r>
      <w:r>
        <w:rPr>
          <w:rStyle w:val="gnkrckgcmrb"/>
          <w:rFonts w:ascii="Lucida Console" w:hAnsi="Lucida Console"/>
          <w:color w:val="0000FF"/>
        </w:rPr>
        <w:t xml:space="preserve">, </w:t>
      </w:r>
      <w:proofErr w:type="spellStart"/>
      <w:r>
        <w:rPr>
          <w:rStyle w:val="gnkrckgcmrb"/>
          <w:rFonts w:ascii="Lucida Console" w:hAnsi="Lucida Console"/>
          <w:color w:val="0000FF"/>
        </w:rPr>
        <w:t>typ</w:t>
      </w:r>
      <w:proofErr w:type="spellEnd"/>
      <w:r>
        <w:rPr>
          <w:rStyle w:val="gnkrckgcmrb"/>
          <w:rFonts w:ascii="Lucida Console" w:hAnsi="Lucida Console"/>
          <w:color w:val="0000FF"/>
        </w:rPr>
        <w:t xml:space="preserve">="l", col="red", </w:t>
      </w:r>
      <w:proofErr w:type="spellStart"/>
      <w:r>
        <w:rPr>
          <w:rStyle w:val="gnkrckgcmrb"/>
          <w:rFonts w:ascii="Lucida Console" w:hAnsi="Lucida Console"/>
          <w:color w:val="0000FF"/>
        </w:rPr>
        <w:t>ylim</w:t>
      </w:r>
      <w:proofErr w:type="spellEnd"/>
      <w:r>
        <w:rPr>
          <w:rStyle w:val="gnkrckgcmrb"/>
          <w:rFonts w:ascii="Lucida Console" w:hAnsi="Lucida Console"/>
          <w:color w:val="0000FF"/>
        </w:rPr>
        <w:t xml:space="preserve">=c(0,0.6), </w:t>
      </w:r>
    </w:p>
    <w:p w14:paraId="611C8986" w14:textId="068EFBAE" w:rsidR="00501F75" w:rsidRDefault="00501F75" w:rsidP="00501F75">
      <w:pPr>
        <w:pStyle w:val="HTMLPreformatted"/>
        <w:shd w:val="clear" w:color="auto" w:fill="FFFFFF"/>
        <w:wordWrap w:val="0"/>
        <w:spacing w:line="173"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w:t>
      </w:r>
      <w:proofErr w:type="spellStart"/>
      <w:r w:rsidR="00A52566">
        <w:rPr>
          <w:rStyle w:val="gnkrckgcmrb"/>
          <w:rFonts w:ascii="Lucida Console" w:hAnsi="Lucida Console"/>
          <w:color w:val="0000FF"/>
        </w:rPr>
        <w:t>xlim</w:t>
      </w:r>
      <w:proofErr w:type="spellEnd"/>
      <w:r w:rsidR="00A52566">
        <w:rPr>
          <w:rStyle w:val="gnkrckgcmrb"/>
          <w:rFonts w:ascii="Lucida Console" w:hAnsi="Lucida Console"/>
          <w:color w:val="0000FF"/>
        </w:rPr>
        <w:t xml:space="preserve">=c(0,6), </w:t>
      </w:r>
      <w:proofErr w:type="spellStart"/>
      <w:r>
        <w:rPr>
          <w:rStyle w:val="gnkrckgcmrb"/>
          <w:rFonts w:ascii="Lucida Console" w:hAnsi="Lucida Console"/>
          <w:color w:val="0000FF"/>
        </w:rPr>
        <w:t>ylab</w:t>
      </w:r>
      <w:proofErr w:type="spellEnd"/>
      <w:r>
        <w:rPr>
          <w:rStyle w:val="gnkrckgcmrb"/>
          <w:rFonts w:ascii="Lucida Console" w:hAnsi="Lucida Console"/>
          <w:color w:val="0000FF"/>
        </w:rPr>
        <w:t>="Density",</w:t>
      </w:r>
      <w:proofErr w:type="spellStart"/>
      <w:r>
        <w:rPr>
          <w:rStyle w:val="gnkrckgcmrb"/>
          <w:rFonts w:ascii="Lucida Console" w:hAnsi="Lucida Console"/>
          <w:color w:val="0000FF"/>
        </w:rPr>
        <w:t>xlab</w:t>
      </w:r>
      <w:proofErr w:type="spellEnd"/>
      <w:r>
        <w:rPr>
          <w:rStyle w:val="gnkrckgcmrb"/>
          <w:rFonts w:ascii="Lucida Console" w:hAnsi="Lucida Console"/>
          <w:color w:val="0000FF"/>
        </w:rPr>
        <w:t xml:space="preserve">=expression(sigma^2), </w:t>
      </w:r>
      <w:proofErr w:type="spellStart"/>
      <w:r>
        <w:rPr>
          <w:rStyle w:val="gnkrckgcmrb"/>
          <w:rFonts w:ascii="Lucida Console" w:hAnsi="Lucida Console"/>
          <w:color w:val="0000FF"/>
        </w:rPr>
        <w:t>lwd</w:t>
      </w:r>
      <w:proofErr w:type="spellEnd"/>
      <w:r>
        <w:rPr>
          <w:rStyle w:val="gnkrckgcmrb"/>
          <w:rFonts w:ascii="Lucida Console" w:hAnsi="Lucida Console"/>
          <w:color w:val="0000FF"/>
        </w:rPr>
        <w:t>=2)</w:t>
      </w:r>
    </w:p>
    <w:p w14:paraId="1ED4D204" w14:textId="74004B29" w:rsidR="00501F75" w:rsidRDefault="00501F75" w:rsidP="00501F75">
      <w:pPr>
        <w:pStyle w:val="HTMLPreformatted"/>
        <w:shd w:val="clear" w:color="auto" w:fill="FFFFFF"/>
        <w:wordWrap w:val="0"/>
        <w:spacing w:line="173"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lines(x,</w:t>
      </w:r>
      <w:r w:rsidR="00A52566">
        <w:rPr>
          <w:rStyle w:val="gnkrckgcmrb"/>
          <w:rFonts w:ascii="Lucida Console" w:hAnsi="Lucida Console"/>
          <w:color w:val="0000FF"/>
        </w:rPr>
        <w:t xml:space="preserve"> </w:t>
      </w:r>
      <w:proofErr w:type="spellStart"/>
      <w:r w:rsidR="00A52566">
        <w:rPr>
          <w:rStyle w:val="gnkrckgcmrb"/>
          <w:rFonts w:ascii="Lucida Console" w:hAnsi="Lucida Console"/>
          <w:color w:val="0000FF"/>
        </w:rPr>
        <w:t>dinvgamma</w:t>
      </w:r>
      <w:proofErr w:type="spellEnd"/>
      <w:r w:rsidR="00A52566">
        <w:rPr>
          <w:rStyle w:val="gnkrckgcmrb"/>
          <w:rFonts w:ascii="Lucida Console" w:hAnsi="Lucida Console"/>
          <w:color w:val="0000FF"/>
        </w:rPr>
        <w:t>(x,0.1,0.1)</w:t>
      </w:r>
      <w:r>
        <w:rPr>
          <w:rStyle w:val="gnkrckgcmrb"/>
          <w:rFonts w:ascii="Lucida Console" w:hAnsi="Lucida Console"/>
          <w:color w:val="0000FF"/>
        </w:rPr>
        <w:t>, col="blue",</w:t>
      </w:r>
      <w:proofErr w:type="spellStart"/>
      <w:r>
        <w:rPr>
          <w:rStyle w:val="gnkrckgcmrb"/>
          <w:rFonts w:ascii="Lucida Console" w:hAnsi="Lucida Console"/>
          <w:color w:val="0000FF"/>
        </w:rPr>
        <w:t>lty</w:t>
      </w:r>
      <w:proofErr w:type="spellEnd"/>
      <w:r>
        <w:rPr>
          <w:rStyle w:val="gnkrckgcmrb"/>
          <w:rFonts w:ascii="Lucida Console" w:hAnsi="Lucida Console"/>
          <w:color w:val="0000FF"/>
        </w:rPr>
        <w:t>=1,lwd=2)</w:t>
      </w:r>
    </w:p>
    <w:p w14:paraId="6589B25A" w14:textId="4A505962" w:rsidR="00501F75" w:rsidRDefault="00501F75" w:rsidP="00501F75">
      <w:pPr>
        <w:pStyle w:val="HTMLPreformatted"/>
        <w:shd w:val="clear" w:color="auto" w:fill="FFFFFF"/>
        <w:wordWrap w:val="0"/>
        <w:spacing w:line="173" w:lineRule="atLeast"/>
        <w:rPr>
          <w:rFonts w:ascii="Lucida Console" w:hAnsi="Lucida Console"/>
          <w:color w:val="000000"/>
        </w:rPr>
      </w:pPr>
      <w:r>
        <w:rPr>
          <w:rStyle w:val="gnkrckgcmsb"/>
          <w:rFonts w:ascii="Lucida Console" w:hAnsi="Lucida Console"/>
          <w:color w:val="0000FF"/>
        </w:rPr>
        <w:t xml:space="preserve">&gt; </w:t>
      </w:r>
      <w:r>
        <w:rPr>
          <w:rStyle w:val="gnkrckgcmrb"/>
          <w:rFonts w:ascii="Lucida Console" w:hAnsi="Lucida Console"/>
          <w:color w:val="0000FF"/>
        </w:rPr>
        <w:t>lines(x,</w:t>
      </w:r>
      <w:r w:rsidR="00A52566">
        <w:rPr>
          <w:rStyle w:val="gnkrckgcmrb"/>
          <w:rFonts w:ascii="Lucida Console" w:hAnsi="Lucida Console"/>
          <w:color w:val="0000FF"/>
        </w:rPr>
        <w:t xml:space="preserve"> </w:t>
      </w:r>
      <w:proofErr w:type="spellStart"/>
      <w:r w:rsidR="00A52566">
        <w:rPr>
          <w:rStyle w:val="gnkrckgcmrb"/>
          <w:rFonts w:ascii="Lucida Console" w:hAnsi="Lucida Console"/>
          <w:color w:val="0000FF"/>
        </w:rPr>
        <w:t>dinvgamma</w:t>
      </w:r>
      <w:proofErr w:type="spellEnd"/>
      <w:r w:rsidR="00A52566">
        <w:rPr>
          <w:rStyle w:val="gnkrckgcmrb"/>
          <w:rFonts w:ascii="Lucida Console" w:hAnsi="Lucida Console"/>
          <w:color w:val="0000FF"/>
        </w:rPr>
        <w:t>(x,1,1)</w:t>
      </w:r>
      <w:r>
        <w:rPr>
          <w:rStyle w:val="gnkrckgcmrb"/>
          <w:rFonts w:ascii="Lucida Console" w:hAnsi="Lucida Console"/>
          <w:color w:val="0000FF"/>
        </w:rPr>
        <w:t xml:space="preserve">, col="steelblue2", </w:t>
      </w:r>
      <w:proofErr w:type="spellStart"/>
      <w:r>
        <w:rPr>
          <w:rStyle w:val="gnkrckgcmrb"/>
          <w:rFonts w:ascii="Lucida Console" w:hAnsi="Lucida Console"/>
          <w:color w:val="0000FF"/>
        </w:rPr>
        <w:t>lty</w:t>
      </w:r>
      <w:proofErr w:type="spellEnd"/>
      <w:r>
        <w:rPr>
          <w:rStyle w:val="gnkrckgcmrb"/>
          <w:rFonts w:ascii="Lucida Console" w:hAnsi="Lucida Console"/>
          <w:color w:val="0000FF"/>
        </w:rPr>
        <w:t>=1,lwd=2)</w:t>
      </w:r>
    </w:p>
    <w:p w14:paraId="1352F7D9" w14:textId="77777777" w:rsidR="00810A9E" w:rsidRDefault="00810A9E"/>
    <w:p w14:paraId="4DF4AADC" w14:textId="0866A295" w:rsidR="00AE17DB" w:rsidRPr="00A52566" w:rsidRDefault="00FC4ED5" w:rsidP="00395341">
      <w:r>
        <w:lastRenderedPageBreak/>
        <w:t>All three distributions have the same expected value due to the increasingly longer tails as the shape and scale parameters decrease.  G</w:t>
      </w:r>
      <w:r w:rsidR="00A52566">
        <w:t>amma</w:t>
      </w:r>
      <w:r>
        <w:t xml:space="preserve"> </w:t>
      </w:r>
      <w:r w:rsidR="00A52566">
        <w:t xml:space="preserve">(0.01, 0.01) </w:t>
      </w:r>
      <w:r>
        <w:t xml:space="preserve">is sometimes characterized as </w:t>
      </w:r>
      <w:r w:rsidR="00A52566">
        <w:t xml:space="preserve">being the most </w:t>
      </w:r>
      <w:proofErr w:type="spellStart"/>
      <w:r>
        <w:t>non</w:t>
      </w:r>
      <w:r w:rsidR="00A52566">
        <w:t>informative</w:t>
      </w:r>
      <w:proofErr w:type="spellEnd"/>
      <w:r w:rsidR="00A52566">
        <w:t xml:space="preserve"> </w:t>
      </w:r>
      <w:r>
        <w:t xml:space="preserve">of the three </w:t>
      </w:r>
      <w:r w:rsidR="00A52566">
        <w:t>as it has the longest tail</w:t>
      </w:r>
      <w:r>
        <w:t xml:space="preserve"> and the highest </w:t>
      </w:r>
      <w:r w:rsidR="00AF6EFD">
        <w:t>variance</w:t>
      </w:r>
      <w:r>
        <w:t xml:space="preserve"> even though the bulk of the density is near zero.  </w:t>
      </w:r>
      <w:r w:rsidR="00A52566">
        <w:t>However, because these distributions increasingly</w:t>
      </w:r>
      <w:r w:rsidR="00786413">
        <w:t xml:space="preserve"> push the variance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rsidR="00AE17DB">
        <w:t xml:space="preserve"> </w:t>
      </w:r>
      <w:r w:rsidR="00786413">
        <w:t>towards zero</w:t>
      </w:r>
      <w:r w:rsidR="00A52566">
        <w:t xml:space="preserve"> as the shape and scale parameters decrease</w:t>
      </w:r>
      <w:r w:rsidR="009D3843">
        <w:t>, they create</w:t>
      </w:r>
      <w:r w:rsidR="00786413">
        <w:t xml:space="preserve"> a</w:t>
      </w:r>
      <w:r w:rsidR="009D3843">
        <w:t>n increasingly</w:t>
      </w:r>
      <w:r w:rsidR="00786413">
        <w:t xml:space="preserve"> smaller error distribution for the associat</w:t>
      </w:r>
      <w:r w:rsidR="009D3843">
        <w:t>ed quantities of interest</w:t>
      </w:r>
      <w:r w:rsidR="00786413">
        <w:t xml:space="preserve"> (</w:t>
      </w:r>
      <m:oMath>
        <m:func>
          <m:funcPr>
            <m:ctrlPr>
              <w:rPr>
                <w:rFonts w:ascii="Cambria Math" w:hAnsi="Cambria Math"/>
              </w:rPr>
            </m:ctrlPr>
          </m:funcPr>
          <m:fName>
            <m:r>
              <w:rPr>
                <w:rFonts w:ascii="Cambria Math" w:hAnsi="Cambria Math"/>
              </w:rPr>
              <m:t>Ln</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i,by</m:t>
                        </m:r>
                      </m:sub>
                    </m:sSub>
                  </m:num>
                  <m:den>
                    <m:sSub>
                      <m:sSubPr>
                        <m:ctrlPr>
                          <w:rPr>
                            <w:rFonts w:ascii="Cambria Math" w:hAnsi="Cambria Math"/>
                            <w:i/>
                          </w:rPr>
                        </m:ctrlPr>
                      </m:sSubPr>
                      <m:e>
                        <m:r>
                          <w:rPr>
                            <w:rFonts w:ascii="Cambria Math" w:hAnsi="Cambria Math"/>
                          </w:rPr>
                          <m:t>S</m:t>
                        </m:r>
                      </m:e>
                      <m:sub>
                        <m:r>
                          <w:rPr>
                            <w:rFonts w:ascii="Cambria Math" w:hAnsi="Cambria Math"/>
                          </w:rPr>
                          <m:t>i,by</m:t>
                        </m:r>
                      </m:sub>
                    </m:sSub>
                  </m:den>
                </m:f>
              </m:e>
            </m:d>
          </m:e>
        </m:func>
      </m:oMath>
      <w:r w:rsidR="00786413">
        <w:rPr>
          <w:rFonts w:eastAsiaTheme="minorEastAsia"/>
        </w:rPr>
        <w:t xml:space="preserve"> or </w:t>
      </w:r>
      <m:oMath>
        <m:sSub>
          <m:sSubPr>
            <m:ctrlPr>
              <w:rPr>
                <w:rFonts w:ascii="Cambria Math" w:hAnsi="Cambria Math"/>
                <w:i/>
              </w:rPr>
            </m:ctrlPr>
          </m:sSubPr>
          <m:e>
            <m:r>
              <w:rPr>
                <w:rFonts w:ascii="Cambria Math" w:hAnsi="Cambria Math"/>
              </w:rPr>
              <m:t>μ</m:t>
            </m:r>
          </m:e>
          <m:sub>
            <m:r>
              <w:rPr>
                <w:rFonts w:ascii="Cambria Math" w:hAnsi="Cambria Math"/>
              </w:rPr>
              <m:t>α</m:t>
            </m:r>
          </m:sub>
        </m:sSub>
      </m:oMath>
      <w:r w:rsidR="00786413">
        <w:rPr>
          <w:rFonts w:eastAsiaTheme="minorEastAsia"/>
        </w:rPr>
        <w:t>).</w:t>
      </w:r>
      <w:r w:rsidR="003E5903">
        <w:rPr>
          <w:rFonts w:eastAsiaTheme="minorEastAsia"/>
        </w:rPr>
        <w:t xml:space="preserve">  </w:t>
      </w:r>
      <w:r w:rsidR="00261679">
        <w:rPr>
          <w:rFonts w:eastAsiaTheme="minorEastAsia"/>
        </w:rPr>
        <w:t xml:space="preserve">This pattern </w:t>
      </w:r>
      <w:r w:rsidR="009D3843">
        <w:rPr>
          <w:rFonts w:eastAsiaTheme="minorEastAsia"/>
        </w:rPr>
        <w:t>can be seen by comparing the highly skewed</w:t>
      </w:r>
      <w:r w:rsidR="00261679">
        <w:rPr>
          <w:rFonts w:eastAsiaTheme="minorEastAsia"/>
        </w:rPr>
        <w:t xml:space="preserve"> </w:t>
      </w:r>
      <w:proofErr w:type="spellStart"/>
      <w:r w:rsidR="00261679">
        <w:rPr>
          <w:rFonts w:eastAsiaTheme="minorEastAsia"/>
        </w:rPr>
        <w:t>inv.gamma</w:t>
      </w:r>
      <w:proofErr w:type="spellEnd"/>
      <w:r w:rsidR="00261679">
        <w:rPr>
          <w:rFonts w:eastAsiaTheme="minorEastAsia"/>
        </w:rPr>
        <w:t xml:space="preserve">(0.01, 0.01) distribution (i.e., the gamma (0.01, 0.01) on </w:t>
      </w:r>
      <w:r w:rsidR="00261679" w:rsidRPr="00C0660A">
        <w:rPr>
          <w:rFonts w:cstheme="minorHAnsi"/>
        </w:rPr>
        <w:t>τ</w:t>
      </w:r>
      <w:r w:rsidR="009D3843">
        <w:rPr>
          <w:rFonts w:cstheme="minorHAnsi"/>
        </w:rPr>
        <w:t>; red line on plot</w:t>
      </w:r>
      <w:r w:rsidR="00C0660A">
        <w:rPr>
          <w:rFonts w:cstheme="minorHAnsi"/>
        </w:rPr>
        <w:t xml:space="preserve">) compared to the </w:t>
      </w:r>
      <w:proofErr w:type="spellStart"/>
      <w:r w:rsidR="00C0660A">
        <w:rPr>
          <w:rFonts w:cstheme="minorHAnsi"/>
        </w:rPr>
        <w:t>inv.gamma</w:t>
      </w:r>
      <w:proofErr w:type="spellEnd"/>
      <w:r w:rsidR="00C0660A">
        <w:rPr>
          <w:rFonts w:cstheme="minorHAnsi"/>
        </w:rPr>
        <w:t>(1,1) distribution (</w:t>
      </w:r>
      <w:proofErr w:type="spellStart"/>
      <w:r w:rsidR="00C0660A">
        <w:rPr>
          <w:rFonts w:cstheme="minorHAnsi"/>
        </w:rPr>
        <w:t>i.e</w:t>
      </w:r>
      <w:proofErr w:type="spellEnd"/>
      <w:r w:rsidR="00C0660A">
        <w:rPr>
          <w:rFonts w:cstheme="minorHAnsi"/>
        </w:rPr>
        <w:t xml:space="preserve">, gamma (1,1) </w:t>
      </w:r>
      <w:r w:rsidR="00C0660A">
        <w:rPr>
          <w:rFonts w:eastAsiaTheme="minorEastAsia"/>
        </w:rPr>
        <w:t xml:space="preserve">on </w:t>
      </w:r>
      <w:r w:rsidR="00C0660A" w:rsidRPr="00C0660A">
        <w:rPr>
          <w:rFonts w:cstheme="minorHAnsi"/>
        </w:rPr>
        <w:t>τ</w:t>
      </w:r>
      <w:r w:rsidR="009D3843">
        <w:rPr>
          <w:rFonts w:cstheme="minorHAnsi"/>
        </w:rPr>
        <w:t>; light blue line on plot</w:t>
      </w:r>
      <w:r w:rsidR="00C0660A">
        <w:rPr>
          <w:rFonts w:cstheme="minorHAnsi"/>
        </w:rPr>
        <w:t>).</w:t>
      </w:r>
    </w:p>
    <w:p w14:paraId="3E4BA1EC" w14:textId="77777777" w:rsidR="004657CE" w:rsidRPr="004657CE" w:rsidRDefault="004657CE" w:rsidP="00395341">
      <w:pPr>
        <w:rPr>
          <w:u w:val="single"/>
        </w:rPr>
      </w:pPr>
      <w:r w:rsidRPr="004657CE">
        <w:rPr>
          <w:rFonts w:cstheme="minorHAnsi"/>
          <w:u w:val="single"/>
        </w:rPr>
        <w:t>Sensitivity Analysis</w:t>
      </w:r>
    </w:p>
    <w:p w14:paraId="768FB911" w14:textId="77777777" w:rsidR="00C0660A" w:rsidRDefault="00395341" w:rsidP="00395341">
      <w:r>
        <w:t>For the purpose of using Interior Fraser Coho as a case study to</w:t>
      </w:r>
      <w:r w:rsidR="009D3843">
        <w:t xml:space="preserve"> evaluate LPR estimation methods</w:t>
      </w:r>
      <w:r w:rsidR="00BA0120">
        <w:t>, we</w:t>
      </w:r>
      <w:r>
        <w:t xml:space="preserve"> test</w:t>
      </w:r>
      <w:r w:rsidR="00BA0120">
        <w:t>ed</w:t>
      </w:r>
      <w:r>
        <w:t xml:space="preserve"> the sensitivity of</w:t>
      </w:r>
      <w:r w:rsidR="00BA0120">
        <w:t xml:space="preserve"> estimated parameters to prior distributions.  </w:t>
      </w:r>
      <w:r w:rsidR="009D3843">
        <w:t>In this note, w</w:t>
      </w:r>
      <w:r w:rsidR="00BA0120">
        <w:t>e focus on the effect of</w:t>
      </w:r>
      <w:r>
        <w:t xml:space="preserve"> prior distributions </w:t>
      </w:r>
      <w:r w:rsidR="00BA0120">
        <w:t>for</w:t>
      </w:r>
      <w:r>
        <w:t xml:space="preserve"> varianc</w:t>
      </w:r>
      <w:r w:rsidR="00BA0120">
        <w:t>e the</w:t>
      </w:r>
      <w:r>
        <w:t xml:space="preserve"> parameters</w:t>
      </w:r>
      <w:r w:rsidR="00BA0120">
        <w:t xml:space="preserve"> because this is where were saw the largest sensitivity</w:t>
      </w:r>
      <w:r>
        <w:t>.</w:t>
      </w:r>
      <w:r w:rsidR="00786413">
        <w:t xml:space="preserve">  </w:t>
      </w:r>
    </w:p>
    <w:p w14:paraId="02BBB552" w14:textId="77777777" w:rsidR="006F1F3C" w:rsidRPr="00BA0120" w:rsidRDefault="006F1F3C" w:rsidP="00395341">
      <w:r>
        <w:rPr>
          <w:rFonts w:eastAsiaTheme="minorEastAsia"/>
        </w:rPr>
        <w:t xml:space="preserve">We used the following nine scenarios to test the sensitivity </w:t>
      </w:r>
      <w:r w:rsidR="00BA0120">
        <w:rPr>
          <w:rFonts w:eastAsiaTheme="minorEastAsia" w:cstheme="minorHAnsi"/>
        </w:rPr>
        <w:t>α</w:t>
      </w:r>
      <w:r w:rsidR="00BA0120">
        <w:rPr>
          <w:rFonts w:eastAsiaTheme="minorEastAsia"/>
        </w:rPr>
        <w:t xml:space="preserve">, </w:t>
      </w:r>
      <w:proofErr w:type="spellStart"/>
      <w:r w:rsidR="00BA0120">
        <w:rPr>
          <w:rFonts w:eastAsiaTheme="minorEastAsia"/>
        </w:rPr>
        <w:t>Sgen</w:t>
      </w:r>
      <w:proofErr w:type="spellEnd"/>
      <w:r w:rsidR="00BA0120">
        <w:rPr>
          <w:rFonts w:eastAsiaTheme="minorEastAsia"/>
        </w:rPr>
        <w:t>, and LRP</w:t>
      </w:r>
      <w:r>
        <w:rPr>
          <w:rFonts w:eastAsiaTheme="minorEastAsia"/>
        </w:rPr>
        <w:t xml:space="preserve"> estimates to </w:t>
      </w:r>
      <w:r w:rsidR="00C0660A">
        <w:rPr>
          <w:rFonts w:eastAsiaTheme="minorEastAsia"/>
        </w:rPr>
        <w:t>prior distributions on variance:</w:t>
      </w:r>
    </w:p>
    <w:tbl>
      <w:tblPr>
        <w:tblW w:w="6380" w:type="dxa"/>
        <w:tblCellMar>
          <w:left w:w="0" w:type="dxa"/>
          <w:right w:w="0" w:type="dxa"/>
        </w:tblCellMar>
        <w:tblLook w:val="0420" w:firstRow="1" w:lastRow="0" w:firstColumn="0" w:lastColumn="0" w:noHBand="0" w:noVBand="1"/>
      </w:tblPr>
      <w:tblGrid>
        <w:gridCol w:w="1563"/>
        <w:gridCol w:w="2387"/>
        <w:gridCol w:w="2430"/>
      </w:tblGrid>
      <w:tr w:rsidR="00C0660A" w:rsidRPr="00C0660A" w14:paraId="39F1BC21" w14:textId="77777777" w:rsidTr="00C0660A">
        <w:trPr>
          <w:trHeight w:val="187"/>
        </w:trPr>
        <w:tc>
          <w:tcPr>
            <w:tcW w:w="156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72" w:type="dxa"/>
              <w:left w:w="144" w:type="dxa"/>
              <w:bottom w:w="72" w:type="dxa"/>
              <w:right w:w="144" w:type="dxa"/>
            </w:tcMar>
            <w:hideMark/>
          </w:tcPr>
          <w:p w14:paraId="7627ACE1" w14:textId="77777777" w:rsidR="00C0660A" w:rsidRPr="00C0660A" w:rsidRDefault="00C0660A" w:rsidP="00C0660A">
            <w:pPr>
              <w:spacing w:after="0" w:line="240" w:lineRule="auto"/>
              <w:rPr>
                <w:rFonts w:ascii="Arial" w:eastAsia="Times New Roman" w:hAnsi="Arial" w:cs="Arial"/>
                <w:b/>
              </w:rPr>
            </w:pPr>
            <w:r w:rsidRPr="00C0660A">
              <w:rPr>
                <w:rFonts w:ascii="Calibri" w:eastAsia="Times New Roman" w:hAnsi="Calibri" w:cs="Calibri"/>
                <w:b/>
                <w:color w:val="000000"/>
                <w:kern w:val="24"/>
              </w:rPr>
              <w:t>Scenario</w:t>
            </w:r>
          </w:p>
        </w:tc>
        <w:tc>
          <w:tcPr>
            <w:tcW w:w="2387"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72" w:type="dxa"/>
              <w:left w:w="144" w:type="dxa"/>
              <w:bottom w:w="72" w:type="dxa"/>
              <w:right w:w="144" w:type="dxa"/>
            </w:tcMar>
            <w:hideMark/>
          </w:tcPr>
          <w:p w14:paraId="6B202661" w14:textId="77777777" w:rsidR="00C0660A" w:rsidRPr="00C0660A" w:rsidRDefault="00C0660A" w:rsidP="00C0660A">
            <w:pPr>
              <w:spacing w:after="0" w:line="240" w:lineRule="auto"/>
              <w:rPr>
                <w:rFonts w:ascii="Arial" w:eastAsia="Times New Roman" w:hAnsi="Arial" w:cs="Arial"/>
                <w:b/>
              </w:rPr>
            </w:pPr>
            <w:r w:rsidRPr="00C0660A">
              <w:rPr>
                <w:rFonts w:ascii="Calibri" w:eastAsia="Times New Roman" w:hAnsi="Calibri" w:cs="Calibri"/>
                <w:b/>
                <w:color w:val="000000"/>
                <w:kern w:val="24"/>
              </w:rPr>
              <w:t xml:space="preserve">Prior on </w:t>
            </w:r>
            <w:r w:rsidRPr="00C0660A">
              <w:rPr>
                <w:rFonts w:ascii="Calibri" w:eastAsia="Times New Roman" w:hAnsi="Calibri" w:cs="Calibri"/>
                <w:b/>
                <w:color w:val="000000"/>
                <w:kern w:val="24"/>
                <w:lang w:val="el-GR"/>
              </w:rPr>
              <w:t>τ</w:t>
            </w:r>
          </w:p>
        </w:tc>
        <w:tc>
          <w:tcPr>
            <w:tcW w:w="243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72" w:type="dxa"/>
              <w:left w:w="144" w:type="dxa"/>
              <w:bottom w:w="72" w:type="dxa"/>
              <w:right w:w="144" w:type="dxa"/>
            </w:tcMar>
            <w:hideMark/>
          </w:tcPr>
          <w:p w14:paraId="4B6D44B5" w14:textId="77777777" w:rsidR="00C0660A" w:rsidRPr="00C0660A" w:rsidRDefault="00C0660A" w:rsidP="00C0660A">
            <w:pPr>
              <w:spacing w:after="0" w:line="240" w:lineRule="auto"/>
              <w:rPr>
                <w:rFonts w:ascii="Arial" w:eastAsia="Times New Roman" w:hAnsi="Arial" w:cs="Arial"/>
                <w:b/>
              </w:rPr>
            </w:pPr>
            <w:r w:rsidRPr="00C0660A">
              <w:rPr>
                <w:rFonts w:ascii="Calibri" w:eastAsia="Times New Roman" w:hAnsi="Calibri" w:cs="Calibri"/>
                <w:b/>
                <w:color w:val="000000"/>
                <w:kern w:val="24"/>
              </w:rPr>
              <w:t xml:space="preserve">Prior on </w:t>
            </w:r>
            <w:r w:rsidRPr="00C0660A">
              <w:rPr>
                <w:rFonts w:ascii="Calibri" w:eastAsia="Times New Roman" w:hAnsi="Calibri" w:cs="Calibri"/>
                <w:b/>
                <w:color w:val="000000"/>
                <w:kern w:val="24"/>
                <w:lang w:val="el-GR"/>
              </w:rPr>
              <w:t>τ</w:t>
            </w:r>
            <w:r w:rsidRPr="00C0660A">
              <w:rPr>
                <w:rFonts w:ascii="Calibri" w:eastAsia="Times New Roman" w:hAnsi="Calibri" w:cs="Calibri"/>
                <w:b/>
                <w:color w:val="000000"/>
                <w:kern w:val="24"/>
                <w:position w:val="-9"/>
                <w:vertAlign w:val="subscript"/>
                <w:lang w:val="el-GR"/>
              </w:rPr>
              <w:t>α</w:t>
            </w:r>
          </w:p>
        </w:tc>
      </w:tr>
      <w:tr w:rsidR="00C0660A" w:rsidRPr="00C0660A" w14:paraId="705E6560" w14:textId="77777777" w:rsidTr="00C0660A">
        <w:trPr>
          <w:trHeight w:val="205"/>
        </w:trPr>
        <w:tc>
          <w:tcPr>
            <w:tcW w:w="156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9CB18CE" w14:textId="77777777" w:rsidR="00C0660A" w:rsidRPr="00C0660A" w:rsidRDefault="00C0660A" w:rsidP="00C0660A">
            <w:pPr>
              <w:spacing w:after="0" w:line="240" w:lineRule="auto"/>
              <w:rPr>
                <w:rFonts w:ascii="Arial" w:eastAsia="Times New Roman" w:hAnsi="Arial" w:cs="Arial"/>
              </w:rPr>
            </w:pPr>
            <w:r w:rsidRPr="00C0660A">
              <w:rPr>
                <w:rFonts w:ascii="Calibri" w:eastAsia="Times New Roman" w:hAnsi="Calibri" w:cs="Calibri"/>
                <w:color w:val="000000"/>
                <w:kern w:val="24"/>
              </w:rPr>
              <w:t>1</w:t>
            </w:r>
          </w:p>
        </w:tc>
        <w:tc>
          <w:tcPr>
            <w:tcW w:w="238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F835001" w14:textId="77777777" w:rsidR="00C0660A" w:rsidRPr="00C0660A" w:rsidRDefault="00C0660A" w:rsidP="00C0660A">
            <w:pPr>
              <w:spacing w:after="0" w:line="240" w:lineRule="auto"/>
              <w:rPr>
                <w:rFonts w:ascii="Arial" w:eastAsia="Times New Roman" w:hAnsi="Arial" w:cs="Arial"/>
              </w:rPr>
            </w:pPr>
            <w:r w:rsidRPr="00C0660A">
              <w:rPr>
                <w:rFonts w:ascii="Calibri" w:eastAsia="Times New Roman" w:hAnsi="Calibri" w:cs="Calibri"/>
                <w:color w:val="000000"/>
                <w:kern w:val="24"/>
              </w:rPr>
              <w:t>gamma (0.01, 0.01)</w:t>
            </w:r>
          </w:p>
        </w:tc>
        <w:tc>
          <w:tcPr>
            <w:tcW w:w="24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BA126E7" w14:textId="77777777" w:rsidR="00C0660A" w:rsidRPr="00C0660A" w:rsidRDefault="00C0660A" w:rsidP="00C0660A">
            <w:pPr>
              <w:spacing w:after="0" w:line="240" w:lineRule="auto"/>
              <w:rPr>
                <w:rFonts w:ascii="Arial" w:eastAsia="Times New Roman" w:hAnsi="Arial" w:cs="Arial"/>
              </w:rPr>
            </w:pPr>
            <w:r w:rsidRPr="00C0660A">
              <w:rPr>
                <w:rFonts w:ascii="Calibri" w:eastAsia="Times New Roman" w:hAnsi="Calibri" w:cs="Calibri"/>
                <w:color w:val="000000"/>
                <w:kern w:val="24"/>
              </w:rPr>
              <w:t>gamma (0.01, 0.01)</w:t>
            </w:r>
          </w:p>
        </w:tc>
      </w:tr>
      <w:tr w:rsidR="00C0660A" w:rsidRPr="00C0660A" w14:paraId="7354EFC2" w14:textId="77777777" w:rsidTr="00C0660A">
        <w:trPr>
          <w:trHeight w:val="223"/>
        </w:trPr>
        <w:tc>
          <w:tcPr>
            <w:tcW w:w="156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063FEA5" w14:textId="77777777" w:rsidR="00C0660A" w:rsidRPr="00C0660A" w:rsidRDefault="00C0660A" w:rsidP="00C0660A">
            <w:pPr>
              <w:spacing w:after="0" w:line="240" w:lineRule="auto"/>
              <w:rPr>
                <w:rFonts w:ascii="Arial" w:eastAsia="Times New Roman" w:hAnsi="Arial" w:cs="Arial"/>
              </w:rPr>
            </w:pPr>
            <w:r w:rsidRPr="00C0660A">
              <w:rPr>
                <w:rFonts w:ascii="Calibri" w:eastAsia="Times New Roman" w:hAnsi="Calibri" w:cs="Calibri"/>
                <w:color w:val="000000"/>
                <w:kern w:val="24"/>
              </w:rPr>
              <w:t>2</w:t>
            </w:r>
          </w:p>
        </w:tc>
        <w:tc>
          <w:tcPr>
            <w:tcW w:w="238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72CFA00" w14:textId="77777777" w:rsidR="00C0660A" w:rsidRPr="00C0660A" w:rsidRDefault="00C0660A" w:rsidP="00C0660A">
            <w:pPr>
              <w:spacing w:after="0" w:line="240" w:lineRule="auto"/>
              <w:rPr>
                <w:rFonts w:ascii="Arial" w:eastAsia="Times New Roman" w:hAnsi="Arial" w:cs="Arial"/>
              </w:rPr>
            </w:pPr>
            <w:r w:rsidRPr="00C0660A">
              <w:rPr>
                <w:rFonts w:ascii="Calibri" w:eastAsia="Times New Roman" w:hAnsi="Calibri" w:cs="Calibri"/>
                <w:color w:val="000000"/>
                <w:kern w:val="24"/>
              </w:rPr>
              <w:t>gamma (0.01, 0.01)</w:t>
            </w:r>
          </w:p>
        </w:tc>
        <w:tc>
          <w:tcPr>
            <w:tcW w:w="24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37FA7CC" w14:textId="77777777" w:rsidR="00C0660A" w:rsidRPr="00C0660A" w:rsidRDefault="00C0660A" w:rsidP="00C0660A">
            <w:pPr>
              <w:spacing w:after="0" w:line="240" w:lineRule="auto"/>
              <w:rPr>
                <w:rFonts w:ascii="Arial" w:eastAsia="Times New Roman" w:hAnsi="Arial" w:cs="Arial"/>
              </w:rPr>
            </w:pPr>
            <w:r w:rsidRPr="00C0660A">
              <w:rPr>
                <w:rFonts w:ascii="Calibri" w:eastAsia="Times New Roman" w:hAnsi="Calibri" w:cs="Calibri"/>
                <w:color w:val="000000"/>
                <w:kern w:val="24"/>
              </w:rPr>
              <w:t>gamma (0.1, 0.1)</w:t>
            </w:r>
          </w:p>
        </w:tc>
      </w:tr>
      <w:tr w:rsidR="00C0660A" w:rsidRPr="00C0660A" w14:paraId="08963BFF" w14:textId="77777777" w:rsidTr="00C0660A">
        <w:trPr>
          <w:trHeight w:val="241"/>
        </w:trPr>
        <w:tc>
          <w:tcPr>
            <w:tcW w:w="156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C7EDD97" w14:textId="77777777" w:rsidR="00C0660A" w:rsidRPr="00C0660A" w:rsidRDefault="00C0660A" w:rsidP="00C0660A">
            <w:pPr>
              <w:spacing w:after="0" w:line="240" w:lineRule="auto"/>
              <w:rPr>
                <w:rFonts w:ascii="Arial" w:eastAsia="Times New Roman" w:hAnsi="Arial" w:cs="Arial"/>
              </w:rPr>
            </w:pPr>
            <w:r w:rsidRPr="00C0660A">
              <w:rPr>
                <w:rFonts w:ascii="Calibri" w:eastAsia="Times New Roman" w:hAnsi="Calibri" w:cs="Calibri"/>
                <w:color w:val="000000"/>
                <w:kern w:val="24"/>
              </w:rPr>
              <w:t>3</w:t>
            </w:r>
          </w:p>
        </w:tc>
        <w:tc>
          <w:tcPr>
            <w:tcW w:w="238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A07A3ED" w14:textId="77777777" w:rsidR="00C0660A" w:rsidRPr="00C0660A" w:rsidRDefault="00C0660A" w:rsidP="00C0660A">
            <w:pPr>
              <w:spacing w:after="0" w:line="240" w:lineRule="auto"/>
              <w:rPr>
                <w:rFonts w:ascii="Arial" w:eastAsia="Times New Roman" w:hAnsi="Arial" w:cs="Arial"/>
              </w:rPr>
            </w:pPr>
            <w:r w:rsidRPr="00C0660A">
              <w:rPr>
                <w:rFonts w:ascii="Calibri" w:eastAsia="Times New Roman" w:hAnsi="Calibri" w:cs="Calibri"/>
                <w:color w:val="000000"/>
                <w:kern w:val="24"/>
              </w:rPr>
              <w:t>gamma (0.01, 0.01)</w:t>
            </w:r>
          </w:p>
        </w:tc>
        <w:tc>
          <w:tcPr>
            <w:tcW w:w="24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2288C2C" w14:textId="77777777" w:rsidR="00C0660A" w:rsidRPr="00C0660A" w:rsidRDefault="00C0660A" w:rsidP="00C0660A">
            <w:pPr>
              <w:spacing w:after="0" w:line="240" w:lineRule="auto"/>
              <w:rPr>
                <w:rFonts w:ascii="Arial" w:eastAsia="Times New Roman" w:hAnsi="Arial" w:cs="Arial"/>
              </w:rPr>
            </w:pPr>
            <w:r w:rsidRPr="00C0660A">
              <w:rPr>
                <w:rFonts w:ascii="Calibri" w:eastAsia="Times New Roman" w:hAnsi="Calibri" w:cs="Calibri"/>
                <w:color w:val="000000"/>
                <w:kern w:val="24"/>
              </w:rPr>
              <w:t>gamma (1, 1)</w:t>
            </w:r>
          </w:p>
        </w:tc>
      </w:tr>
      <w:tr w:rsidR="00C0660A" w:rsidRPr="00C0660A" w14:paraId="5EB18323" w14:textId="77777777" w:rsidTr="00C0660A">
        <w:trPr>
          <w:trHeight w:val="169"/>
        </w:trPr>
        <w:tc>
          <w:tcPr>
            <w:tcW w:w="156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688481C" w14:textId="77777777" w:rsidR="00C0660A" w:rsidRPr="00C0660A" w:rsidRDefault="00C0660A" w:rsidP="00C0660A">
            <w:pPr>
              <w:spacing w:after="0" w:line="240" w:lineRule="auto"/>
              <w:rPr>
                <w:rFonts w:ascii="Arial" w:eastAsia="Times New Roman" w:hAnsi="Arial" w:cs="Arial"/>
              </w:rPr>
            </w:pPr>
            <w:r w:rsidRPr="00C0660A">
              <w:rPr>
                <w:rFonts w:ascii="Calibri" w:eastAsia="Times New Roman" w:hAnsi="Calibri" w:cs="Calibri"/>
                <w:color w:val="000000"/>
                <w:kern w:val="24"/>
              </w:rPr>
              <w:t>4</w:t>
            </w:r>
          </w:p>
        </w:tc>
        <w:tc>
          <w:tcPr>
            <w:tcW w:w="238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542FC91" w14:textId="77777777" w:rsidR="00C0660A" w:rsidRPr="00C0660A" w:rsidRDefault="00C0660A" w:rsidP="00C0660A">
            <w:pPr>
              <w:spacing w:after="0" w:line="240" w:lineRule="auto"/>
              <w:rPr>
                <w:rFonts w:ascii="Arial" w:eastAsia="Times New Roman" w:hAnsi="Arial" w:cs="Arial"/>
              </w:rPr>
            </w:pPr>
            <w:r w:rsidRPr="00C0660A">
              <w:rPr>
                <w:rFonts w:ascii="Calibri" w:eastAsia="Times New Roman" w:hAnsi="Calibri" w:cs="Calibri"/>
                <w:color w:val="000000"/>
                <w:kern w:val="24"/>
              </w:rPr>
              <w:t>gamma (0.1, 0.1)</w:t>
            </w:r>
          </w:p>
        </w:tc>
        <w:tc>
          <w:tcPr>
            <w:tcW w:w="24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5E00876" w14:textId="77777777" w:rsidR="00C0660A" w:rsidRPr="00C0660A" w:rsidRDefault="00C0660A" w:rsidP="00C0660A">
            <w:pPr>
              <w:spacing w:after="0" w:line="240" w:lineRule="auto"/>
              <w:rPr>
                <w:rFonts w:ascii="Arial" w:eastAsia="Times New Roman" w:hAnsi="Arial" w:cs="Arial"/>
              </w:rPr>
            </w:pPr>
            <w:r w:rsidRPr="00C0660A">
              <w:rPr>
                <w:rFonts w:ascii="Calibri" w:eastAsia="Times New Roman" w:hAnsi="Calibri" w:cs="Calibri"/>
                <w:color w:val="000000"/>
                <w:kern w:val="24"/>
              </w:rPr>
              <w:t>gamma (0.01, 0.01)</w:t>
            </w:r>
          </w:p>
        </w:tc>
      </w:tr>
      <w:tr w:rsidR="00C0660A" w:rsidRPr="00C0660A" w14:paraId="1B391A3E" w14:textId="77777777" w:rsidTr="00C0660A">
        <w:trPr>
          <w:trHeight w:val="97"/>
        </w:trPr>
        <w:tc>
          <w:tcPr>
            <w:tcW w:w="156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B00C19C" w14:textId="77777777" w:rsidR="00C0660A" w:rsidRPr="00C0660A" w:rsidRDefault="00C0660A" w:rsidP="00C0660A">
            <w:pPr>
              <w:spacing w:after="0" w:line="240" w:lineRule="auto"/>
              <w:rPr>
                <w:rFonts w:ascii="Arial" w:eastAsia="Times New Roman" w:hAnsi="Arial" w:cs="Arial"/>
              </w:rPr>
            </w:pPr>
            <w:r w:rsidRPr="00C0660A">
              <w:rPr>
                <w:rFonts w:ascii="Calibri" w:eastAsia="Times New Roman" w:hAnsi="Calibri" w:cs="Calibri"/>
                <w:color w:val="000000"/>
                <w:kern w:val="24"/>
              </w:rPr>
              <w:t>5</w:t>
            </w:r>
          </w:p>
        </w:tc>
        <w:tc>
          <w:tcPr>
            <w:tcW w:w="238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7106D17" w14:textId="77777777" w:rsidR="00C0660A" w:rsidRPr="00C0660A" w:rsidRDefault="00C0660A" w:rsidP="00C0660A">
            <w:pPr>
              <w:spacing w:after="0" w:line="240" w:lineRule="auto"/>
              <w:rPr>
                <w:rFonts w:ascii="Arial" w:eastAsia="Times New Roman" w:hAnsi="Arial" w:cs="Arial"/>
              </w:rPr>
            </w:pPr>
            <w:r w:rsidRPr="00C0660A">
              <w:rPr>
                <w:rFonts w:ascii="Calibri" w:eastAsia="Times New Roman" w:hAnsi="Calibri" w:cs="Calibri"/>
                <w:color w:val="000000"/>
                <w:kern w:val="24"/>
              </w:rPr>
              <w:t>gamma (0.1, 0.1)</w:t>
            </w:r>
          </w:p>
        </w:tc>
        <w:tc>
          <w:tcPr>
            <w:tcW w:w="24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C35E904" w14:textId="77777777" w:rsidR="00C0660A" w:rsidRPr="00C0660A" w:rsidRDefault="00C0660A" w:rsidP="00C0660A">
            <w:pPr>
              <w:spacing w:after="0" w:line="240" w:lineRule="auto"/>
              <w:rPr>
                <w:rFonts w:ascii="Arial" w:eastAsia="Times New Roman" w:hAnsi="Arial" w:cs="Arial"/>
              </w:rPr>
            </w:pPr>
            <w:r w:rsidRPr="00C0660A">
              <w:rPr>
                <w:rFonts w:ascii="Calibri" w:eastAsia="Times New Roman" w:hAnsi="Calibri" w:cs="Calibri"/>
                <w:color w:val="000000"/>
                <w:kern w:val="24"/>
              </w:rPr>
              <w:t>gamma (0.1, 0.1)</w:t>
            </w:r>
          </w:p>
        </w:tc>
      </w:tr>
      <w:tr w:rsidR="00C0660A" w:rsidRPr="00C0660A" w14:paraId="35F01065" w14:textId="77777777" w:rsidTr="00C0660A">
        <w:trPr>
          <w:trHeight w:val="25"/>
        </w:trPr>
        <w:tc>
          <w:tcPr>
            <w:tcW w:w="156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8B0838D" w14:textId="77777777" w:rsidR="00C0660A" w:rsidRPr="00C0660A" w:rsidRDefault="00C0660A" w:rsidP="00C0660A">
            <w:pPr>
              <w:spacing w:after="0" w:line="240" w:lineRule="auto"/>
              <w:rPr>
                <w:rFonts w:ascii="Arial" w:eastAsia="Times New Roman" w:hAnsi="Arial" w:cs="Arial"/>
              </w:rPr>
            </w:pPr>
            <w:r w:rsidRPr="00C0660A">
              <w:rPr>
                <w:rFonts w:ascii="Calibri" w:eastAsia="Times New Roman" w:hAnsi="Calibri" w:cs="Calibri"/>
                <w:color w:val="000000"/>
                <w:kern w:val="24"/>
              </w:rPr>
              <w:t>6</w:t>
            </w:r>
          </w:p>
        </w:tc>
        <w:tc>
          <w:tcPr>
            <w:tcW w:w="238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6B3BFEB" w14:textId="77777777" w:rsidR="00C0660A" w:rsidRPr="00C0660A" w:rsidRDefault="00C0660A" w:rsidP="00C0660A">
            <w:pPr>
              <w:spacing w:after="0" w:line="240" w:lineRule="auto"/>
              <w:rPr>
                <w:rFonts w:ascii="Arial" w:eastAsia="Times New Roman" w:hAnsi="Arial" w:cs="Arial"/>
              </w:rPr>
            </w:pPr>
            <w:r w:rsidRPr="00C0660A">
              <w:rPr>
                <w:rFonts w:ascii="Calibri" w:eastAsia="Times New Roman" w:hAnsi="Calibri" w:cs="Calibri"/>
                <w:color w:val="000000"/>
                <w:kern w:val="24"/>
              </w:rPr>
              <w:t>gamma (0.1, 0.1)</w:t>
            </w:r>
          </w:p>
        </w:tc>
        <w:tc>
          <w:tcPr>
            <w:tcW w:w="24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8D67269" w14:textId="77777777" w:rsidR="00C0660A" w:rsidRPr="00C0660A" w:rsidRDefault="00C0660A" w:rsidP="00C0660A">
            <w:pPr>
              <w:spacing w:after="0" w:line="240" w:lineRule="auto"/>
              <w:rPr>
                <w:rFonts w:ascii="Arial" w:eastAsia="Times New Roman" w:hAnsi="Arial" w:cs="Arial"/>
              </w:rPr>
            </w:pPr>
            <w:r w:rsidRPr="00C0660A">
              <w:rPr>
                <w:rFonts w:ascii="Calibri" w:eastAsia="Times New Roman" w:hAnsi="Calibri" w:cs="Calibri"/>
                <w:color w:val="000000"/>
                <w:kern w:val="24"/>
              </w:rPr>
              <w:t>gamma (1, 1)</w:t>
            </w:r>
          </w:p>
        </w:tc>
      </w:tr>
      <w:tr w:rsidR="00C0660A" w:rsidRPr="00C0660A" w14:paraId="025AED3F" w14:textId="77777777" w:rsidTr="00C0660A">
        <w:trPr>
          <w:trHeight w:val="133"/>
        </w:trPr>
        <w:tc>
          <w:tcPr>
            <w:tcW w:w="156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5B1BBE5" w14:textId="77777777" w:rsidR="00C0660A" w:rsidRPr="00C0660A" w:rsidRDefault="00C0660A" w:rsidP="00C0660A">
            <w:pPr>
              <w:spacing w:after="0" w:line="240" w:lineRule="auto"/>
              <w:rPr>
                <w:rFonts w:ascii="Arial" w:eastAsia="Times New Roman" w:hAnsi="Arial" w:cs="Arial"/>
              </w:rPr>
            </w:pPr>
            <w:r w:rsidRPr="00C0660A">
              <w:rPr>
                <w:rFonts w:ascii="Calibri" w:eastAsia="Times New Roman" w:hAnsi="Calibri" w:cs="Calibri"/>
                <w:color w:val="000000"/>
                <w:kern w:val="24"/>
              </w:rPr>
              <w:t>7</w:t>
            </w:r>
          </w:p>
        </w:tc>
        <w:tc>
          <w:tcPr>
            <w:tcW w:w="238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E822BCA" w14:textId="77777777" w:rsidR="00C0660A" w:rsidRPr="00C0660A" w:rsidRDefault="00C0660A" w:rsidP="00C0660A">
            <w:pPr>
              <w:spacing w:after="0" w:line="240" w:lineRule="auto"/>
              <w:rPr>
                <w:rFonts w:ascii="Arial" w:eastAsia="Times New Roman" w:hAnsi="Arial" w:cs="Arial"/>
              </w:rPr>
            </w:pPr>
            <w:r w:rsidRPr="00C0660A">
              <w:rPr>
                <w:rFonts w:ascii="Calibri" w:eastAsia="Times New Roman" w:hAnsi="Calibri" w:cs="Calibri"/>
                <w:color w:val="000000"/>
                <w:kern w:val="24"/>
              </w:rPr>
              <w:t>gamma (1, 0.1)</w:t>
            </w:r>
          </w:p>
        </w:tc>
        <w:tc>
          <w:tcPr>
            <w:tcW w:w="24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2D6B7EF" w14:textId="77777777" w:rsidR="00C0660A" w:rsidRPr="00C0660A" w:rsidRDefault="00C0660A" w:rsidP="00C0660A">
            <w:pPr>
              <w:spacing w:after="0" w:line="240" w:lineRule="auto"/>
              <w:rPr>
                <w:rFonts w:ascii="Arial" w:eastAsia="Times New Roman" w:hAnsi="Arial" w:cs="Arial"/>
              </w:rPr>
            </w:pPr>
            <w:r w:rsidRPr="00C0660A">
              <w:rPr>
                <w:rFonts w:ascii="Calibri" w:eastAsia="Times New Roman" w:hAnsi="Calibri" w:cs="Calibri"/>
                <w:color w:val="000000"/>
                <w:kern w:val="24"/>
              </w:rPr>
              <w:t>gamma (0.01, 0.01)</w:t>
            </w:r>
          </w:p>
        </w:tc>
      </w:tr>
      <w:tr w:rsidR="00C0660A" w:rsidRPr="00C0660A" w14:paraId="6B9AE357" w14:textId="77777777" w:rsidTr="00C0660A">
        <w:trPr>
          <w:trHeight w:val="61"/>
        </w:trPr>
        <w:tc>
          <w:tcPr>
            <w:tcW w:w="156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54C3DD0" w14:textId="77777777" w:rsidR="00C0660A" w:rsidRPr="00C0660A" w:rsidRDefault="00C0660A" w:rsidP="00C0660A">
            <w:pPr>
              <w:spacing w:after="0" w:line="240" w:lineRule="auto"/>
              <w:rPr>
                <w:rFonts w:ascii="Arial" w:eastAsia="Times New Roman" w:hAnsi="Arial" w:cs="Arial"/>
              </w:rPr>
            </w:pPr>
            <w:r w:rsidRPr="00C0660A">
              <w:rPr>
                <w:rFonts w:ascii="Calibri" w:eastAsia="Times New Roman" w:hAnsi="Calibri" w:cs="Calibri"/>
                <w:color w:val="000000"/>
                <w:kern w:val="24"/>
              </w:rPr>
              <w:t>8</w:t>
            </w:r>
          </w:p>
        </w:tc>
        <w:tc>
          <w:tcPr>
            <w:tcW w:w="238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8EC40AF" w14:textId="77777777" w:rsidR="00C0660A" w:rsidRPr="00C0660A" w:rsidRDefault="00C0660A" w:rsidP="00C0660A">
            <w:pPr>
              <w:spacing w:after="0" w:line="240" w:lineRule="auto"/>
              <w:rPr>
                <w:rFonts w:ascii="Arial" w:eastAsia="Times New Roman" w:hAnsi="Arial" w:cs="Arial"/>
              </w:rPr>
            </w:pPr>
            <w:r w:rsidRPr="00C0660A">
              <w:rPr>
                <w:rFonts w:ascii="Calibri" w:eastAsia="Times New Roman" w:hAnsi="Calibri" w:cs="Calibri"/>
                <w:color w:val="000000"/>
                <w:kern w:val="24"/>
              </w:rPr>
              <w:t>gamma (1, 0.1)</w:t>
            </w:r>
          </w:p>
        </w:tc>
        <w:tc>
          <w:tcPr>
            <w:tcW w:w="24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A7A299A" w14:textId="77777777" w:rsidR="00C0660A" w:rsidRPr="00C0660A" w:rsidRDefault="00C0660A" w:rsidP="00C0660A">
            <w:pPr>
              <w:spacing w:after="0" w:line="240" w:lineRule="auto"/>
              <w:rPr>
                <w:rFonts w:ascii="Arial" w:eastAsia="Times New Roman" w:hAnsi="Arial" w:cs="Arial"/>
              </w:rPr>
            </w:pPr>
            <w:r w:rsidRPr="00C0660A">
              <w:rPr>
                <w:rFonts w:ascii="Calibri" w:eastAsia="Times New Roman" w:hAnsi="Calibri" w:cs="Calibri"/>
                <w:color w:val="000000"/>
                <w:kern w:val="24"/>
              </w:rPr>
              <w:t>gamma (0.1, 0.1)</w:t>
            </w:r>
          </w:p>
        </w:tc>
      </w:tr>
      <w:tr w:rsidR="00C0660A" w:rsidRPr="00C0660A" w14:paraId="01499A3D" w14:textId="77777777" w:rsidTr="00C0660A">
        <w:trPr>
          <w:trHeight w:val="79"/>
        </w:trPr>
        <w:tc>
          <w:tcPr>
            <w:tcW w:w="156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0107E1D" w14:textId="77777777" w:rsidR="00C0660A" w:rsidRPr="00C0660A" w:rsidRDefault="00C0660A" w:rsidP="00C0660A">
            <w:pPr>
              <w:spacing w:after="0" w:line="240" w:lineRule="auto"/>
              <w:rPr>
                <w:rFonts w:ascii="Arial" w:eastAsia="Times New Roman" w:hAnsi="Arial" w:cs="Arial"/>
              </w:rPr>
            </w:pPr>
            <w:r w:rsidRPr="00C0660A">
              <w:rPr>
                <w:rFonts w:ascii="Calibri" w:eastAsia="Times New Roman" w:hAnsi="Calibri" w:cs="Calibri"/>
                <w:color w:val="000000"/>
                <w:kern w:val="24"/>
              </w:rPr>
              <w:t>9</w:t>
            </w:r>
          </w:p>
        </w:tc>
        <w:tc>
          <w:tcPr>
            <w:tcW w:w="238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3C2DB9B" w14:textId="77777777" w:rsidR="00C0660A" w:rsidRPr="00C0660A" w:rsidRDefault="00C0660A" w:rsidP="00C0660A">
            <w:pPr>
              <w:spacing w:after="0" w:line="240" w:lineRule="auto"/>
              <w:rPr>
                <w:rFonts w:ascii="Arial" w:eastAsia="Times New Roman" w:hAnsi="Arial" w:cs="Arial"/>
              </w:rPr>
            </w:pPr>
            <w:r w:rsidRPr="00C0660A">
              <w:rPr>
                <w:rFonts w:ascii="Calibri" w:eastAsia="Times New Roman" w:hAnsi="Calibri" w:cs="Calibri"/>
                <w:color w:val="000000"/>
                <w:kern w:val="24"/>
              </w:rPr>
              <w:t>gamma (1, 0.1)</w:t>
            </w:r>
          </w:p>
        </w:tc>
        <w:tc>
          <w:tcPr>
            <w:tcW w:w="24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56F7E35" w14:textId="77777777" w:rsidR="00C0660A" w:rsidRPr="00C0660A" w:rsidRDefault="00C0660A" w:rsidP="00C0660A">
            <w:pPr>
              <w:spacing w:after="0" w:line="240" w:lineRule="auto"/>
              <w:rPr>
                <w:rFonts w:ascii="Arial" w:eastAsia="Times New Roman" w:hAnsi="Arial" w:cs="Arial"/>
              </w:rPr>
            </w:pPr>
            <w:r w:rsidRPr="00C0660A">
              <w:rPr>
                <w:rFonts w:ascii="Calibri" w:eastAsia="Times New Roman" w:hAnsi="Calibri" w:cs="Calibri"/>
                <w:color w:val="000000"/>
                <w:kern w:val="24"/>
              </w:rPr>
              <w:t>gamma (1, 1)</w:t>
            </w:r>
          </w:p>
        </w:tc>
      </w:tr>
    </w:tbl>
    <w:p w14:paraId="7FAEC79C" w14:textId="77777777" w:rsidR="006F1F3C" w:rsidRDefault="006F1F3C" w:rsidP="00395341"/>
    <w:p w14:paraId="6F2CA761" w14:textId="77777777" w:rsidR="00C0660A" w:rsidRDefault="009D3843" w:rsidP="00395341">
      <w:r>
        <w:t>Our results are shown in Figures 1 – 3.</w:t>
      </w:r>
    </w:p>
    <w:p w14:paraId="1F1E156C" w14:textId="510CA959" w:rsidR="009D3843" w:rsidRDefault="001A3687" w:rsidP="00395341">
      <w:bookmarkStart w:id="0" w:name="_GoBack"/>
      <w:r>
        <w:rPr>
          <w:noProof/>
        </w:rPr>
        <w:lastRenderedPageBreak/>
        <w:drawing>
          <wp:inline distT="0" distB="0" distL="0" distR="0" wp14:anchorId="08B782FB" wp14:editId="7E1A466C">
            <wp:extent cx="5944235" cy="598043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4235" cy="5980430"/>
                    </a:xfrm>
                    <a:prstGeom prst="rect">
                      <a:avLst/>
                    </a:prstGeom>
                    <a:noFill/>
                  </pic:spPr>
                </pic:pic>
              </a:graphicData>
            </a:graphic>
          </wp:inline>
        </w:drawing>
      </w:r>
      <w:bookmarkEnd w:id="0"/>
    </w:p>
    <w:p w14:paraId="60289A56" w14:textId="34C1853E" w:rsidR="009D3843" w:rsidRPr="00EF4E03" w:rsidRDefault="00BF7B34" w:rsidP="00395341">
      <w:pPr>
        <w:rPr>
          <w:rFonts w:eastAsiaTheme="minorEastAsia"/>
          <w:i/>
        </w:rPr>
      </w:pPr>
      <w:r w:rsidRPr="00EF4E03">
        <w:rPr>
          <w:i/>
        </w:rPr>
        <w:t>Figure 1.  CU-level alpha (</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rsidRPr="00EF4E03">
        <w:rPr>
          <w:rFonts w:eastAsiaTheme="minorEastAsia"/>
          <w:i/>
        </w:rPr>
        <w:t>) estimates from each of the nine sensitivity analysis scenarios considered.  Error bars show the 95% confidence intervals.</w:t>
      </w:r>
      <w:r w:rsidR="001A3687">
        <w:rPr>
          <w:rFonts w:eastAsiaTheme="minorEastAsia"/>
          <w:i/>
        </w:rPr>
        <w:t xml:space="preserve"> Red dashed lines show the mean of the alpha </w:t>
      </w:r>
      <w:proofErr w:type="spellStart"/>
      <w:r w:rsidR="001A3687">
        <w:rPr>
          <w:rFonts w:eastAsiaTheme="minorEastAsia"/>
          <w:i/>
        </w:rPr>
        <w:t>hyperprior</w:t>
      </w:r>
      <w:proofErr w:type="spellEnd"/>
      <w:r w:rsidR="001A3687">
        <w:rPr>
          <w:rFonts w:eastAsiaTheme="minorEastAsia"/>
          <w:i/>
        </w:rPr>
        <w:t>.</w:t>
      </w:r>
    </w:p>
    <w:p w14:paraId="10B5C7BC" w14:textId="77777777" w:rsidR="00BF7B34" w:rsidRDefault="00BF7B34" w:rsidP="00395341">
      <w:pPr>
        <w:rPr>
          <w:rFonts w:eastAsiaTheme="minorEastAsia"/>
        </w:rPr>
      </w:pPr>
    </w:p>
    <w:p w14:paraId="28BC3FC1" w14:textId="77777777" w:rsidR="00BF7B34" w:rsidRPr="00A61798" w:rsidRDefault="00D86D39" w:rsidP="00395341">
      <w:pPr>
        <w:rPr>
          <w:rFonts w:eastAsiaTheme="minorEastAsia"/>
          <w:i/>
        </w:rPr>
      </w:pPr>
      <w:r w:rsidRPr="00A61798">
        <w:rPr>
          <w:rFonts w:eastAsiaTheme="minorEastAsia"/>
          <w:i/>
        </w:rPr>
        <w:t>Discussion of Results – Figure 1:</w:t>
      </w:r>
    </w:p>
    <w:p w14:paraId="58E69B64" w14:textId="77777777" w:rsidR="00D86D39" w:rsidRPr="00573CC3" w:rsidRDefault="00573CC3" w:rsidP="00293406">
      <w:pPr>
        <w:pStyle w:val="ListParagraph"/>
        <w:numPr>
          <w:ilvl w:val="0"/>
          <w:numId w:val="1"/>
        </w:numPr>
        <w:rPr>
          <w:rFonts w:eastAsiaTheme="minorEastAsia"/>
        </w:rPr>
      </w:pPr>
      <w:r>
        <w:rPr>
          <w:rFonts w:eastAsiaTheme="minorEastAsia"/>
        </w:rPr>
        <w:t xml:space="preserve">The effect of the prior assumption on </w:t>
      </w:r>
      <m:oMath>
        <m:sSub>
          <m:sSubPr>
            <m:ctrlPr>
              <w:rPr>
                <w:rFonts w:ascii="Cambria Math" w:eastAsia="+mn-ea" w:hAnsi="Cambria Math" w:cs="+mn-cs"/>
                <w:bCs/>
                <w:i/>
                <w:iCs/>
                <w:color w:val="000000"/>
                <w:kern w:val="24"/>
              </w:rPr>
            </m:ctrlPr>
          </m:sSubPr>
          <m:e>
            <m:r>
              <w:rPr>
                <w:rFonts w:ascii="Cambria Math" w:eastAsia="+mn-ea" w:hAnsi="Cambria Math" w:cs="+mn-cs"/>
                <w:color w:val="000000"/>
                <w:kern w:val="24"/>
              </w:rPr>
              <m:t>τ</m:t>
            </m:r>
          </m:e>
          <m:sub>
            <m:r>
              <w:rPr>
                <w:rFonts w:ascii="Cambria Math" w:eastAsia="+mn-ea" w:hAnsi="Cambria Math" w:cs="+mn-cs"/>
                <w:color w:val="000000"/>
                <w:kern w:val="24"/>
              </w:rPr>
              <m:t>α</m:t>
            </m:r>
          </m:sub>
        </m:sSub>
      </m:oMath>
      <w:r>
        <w:rPr>
          <w:rFonts w:eastAsiaTheme="minorEastAsia"/>
          <w:bCs/>
          <w:iCs/>
          <w:color w:val="000000"/>
          <w:kern w:val="24"/>
        </w:rPr>
        <w:t xml:space="preserve"> had a larger effect on CU-level </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rPr>
          <w:rFonts w:eastAsiaTheme="minorEastAsia"/>
        </w:rPr>
        <w:t xml:space="preserve"> than the prior assumption on </w:t>
      </w:r>
      <m:oMath>
        <m:r>
          <w:rPr>
            <w:rFonts w:ascii="Cambria Math" w:eastAsia="+mn-ea" w:hAnsi="Cambria Math" w:cs="+mn-cs"/>
            <w:color w:val="000000"/>
            <w:kern w:val="24"/>
          </w:rPr>
          <m:t>τ</m:t>
        </m:r>
      </m:oMath>
      <w:r>
        <w:rPr>
          <w:rFonts w:eastAsiaTheme="minorEastAsia"/>
          <w:bCs/>
          <w:iCs/>
          <w:color w:val="000000"/>
          <w:kern w:val="24"/>
        </w:rPr>
        <w:t xml:space="preserve">.  This is evident from, for example, the larger difference between scenarios 1-3 than between scenarios 3, 6, and 9.  </w:t>
      </w:r>
    </w:p>
    <w:p w14:paraId="21E421B9" w14:textId="77777777" w:rsidR="00573CC3" w:rsidRDefault="00573CC3" w:rsidP="00293406">
      <w:pPr>
        <w:pStyle w:val="ListParagraph"/>
        <w:numPr>
          <w:ilvl w:val="0"/>
          <w:numId w:val="1"/>
        </w:numPr>
        <w:rPr>
          <w:rFonts w:eastAsiaTheme="minorEastAsia"/>
        </w:rPr>
      </w:pPr>
      <w:r>
        <w:rPr>
          <w:rFonts w:eastAsiaTheme="minorEastAsia"/>
          <w:bCs/>
          <w:iCs/>
          <w:color w:val="000000"/>
          <w:kern w:val="24"/>
        </w:rPr>
        <w:t xml:space="preserve">The smaller shape and rate parameters in the gamma distribution (e.g., gamma (0.01, 0.01)) acted to make CU-level alpha estimates more similar to each other by shrinking them towards the </w:t>
      </w:r>
      <w:r w:rsidR="007E57A1">
        <w:rPr>
          <w:rFonts w:eastAsiaTheme="minorEastAsia" w:cstheme="minorHAnsi"/>
          <w:bCs/>
          <w:iCs/>
          <w:color w:val="000000"/>
          <w:kern w:val="24"/>
        </w:rPr>
        <w:t>µ</w:t>
      </w:r>
      <w:r w:rsidR="007E57A1" w:rsidRPr="007E57A1">
        <w:rPr>
          <w:rFonts w:eastAsiaTheme="minorEastAsia" w:cstheme="minorHAnsi"/>
          <w:bCs/>
          <w:iCs/>
          <w:color w:val="000000"/>
          <w:kern w:val="24"/>
          <w:vertAlign w:val="subscript"/>
        </w:rPr>
        <w:t>α</w:t>
      </w:r>
      <w:r w:rsidR="007E57A1">
        <w:rPr>
          <w:rFonts w:eastAsiaTheme="minorEastAsia"/>
          <w:bCs/>
          <w:iCs/>
          <w:color w:val="000000"/>
          <w:kern w:val="24"/>
        </w:rPr>
        <w:t xml:space="preserve">.  For the Middle Fraser, Lower Thompson, and South Thompson CUs, this </w:t>
      </w:r>
      <w:r w:rsidR="00A16BA7">
        <w:rPr>
          <w:rFonts w:eastAsiaTheme="minorEastAsia"/>
          <w:bCs/>
          <w:iCs/>
          <w:color w:val="000000"/>
          <w:kern w:val="24"/>
        </w:rPr>
        <w:t xml:space="preserve">shrinkage </w:t>
      </w:r>
      <w:r w:rsidR="007E57A1">
        <w:rPr>
          <w:rFonts w:eastAsiaTheme="minorEastAsia"/>
          <w:bCs/>
          <w:iCs/>
          <w:color w:val="000000"/>
          <w:kern w:val="24"/>
        </w:rPr>
        <w:t xml:space="preserve">acted </w:t>
      </w:r>
      <w:r w:rsidR="007E57A1">
        <w:rPr>
          <w:rFonts w:eastAsiaTheme="minorEastAsia"/>
          <w:bCs/>
          <w:iCs/>
          <w:color w:val="000000"/>
          <w:kern w:val="24"/>
        </w:rPr>
        <w:lastRenderedPageBreak/>
        <w:t xml:space="preserve">to pull </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rsidR="007E57A1">
        <w:rPr>
          <w:rFonts w:eastAsiaTheme="minorEastAsia"/>
          <w:bCs/>
          <w:iCs/>
          <w:color w:val="000000"/>
          <w:kern w:val="24"/>
        </w:rPr>
        <w:t xml:space="preserve"> upwards as the gamma shape and rate parameters decreased from 1,1 (scenario 3) to 0.1, 0.1 (scenario 2) to 0,01, 0.01 (scenario 1).   </w:t>
      </w:r>
      <w:r w:rsidR="00A16BA7">
        <w:rPr>
          <w:rFonts w:eastAsiaTheme="minorEastAsia"/>
          <w:bCs/>
          <w:iCs/>
          <w:color w:val="000000"/>
          <w:kern w:val="24"/>
        </w:rPr>
        <w:t>In other words,</w:t>
      </w:r>
      <w:r w:rsidR="007E57A1">
        <w:rPr>
          <w:rFonts w:eastAsiaTheme="minorEastAsia"/>
          <w:bCs/>
          <w:iCs/>
          <w:color w:val="000000"/>
          <w:kern w:val="24"/>
        </w:rPr>
        <w:t xml:space="preserve"> gamma (0.01, 0.01) has the largest shrinkage.  The opposite pattern is apparent when looking at the Fraser Canyon and North Thompson CUs.  The </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rsidR="007E57A1">
        <w:rPr>
          <w:rFonts w:eastAsiaTheme="minorEastAsia"/>
        </w:rPr>
        <w:t xml:space="preserve"> parameters get pulled down towards </w:t>
      </w:r>
      <w:r w:rsidR="007E57A1">
        <w:rPr>
          <w:rFonts w:eastAsiaTheme="minorEastAsia" w:cstheme="minorHAnsi"/>
          <w:bCs/>
          <w:iCs/>
          <w:color w:val="000000"/>
          <w:kern w:val="24"/>
        </w:rPr>
        <w:t>µ</w:t>
      </w:r>
      <w:r w:rsidR="007E57A1" w:rsidRPr="007E57A1">
        <w:rPr>
          <w:rFonts w:eastAsiaTheme="minorEastAsia" w:cstheme="minorHAnsi"/>
          <w:bCs/>
          <w:iCs/>
          <w:color w:val="000000"/>
          <w:kern w:val="24"/>
          <w:vertAlign w:val="subscript"/>
        </w:rPr>
        <w:t>α</w:t>
      </w:r>
      <w:r w:rsidR="00A16BA7">
        <w:rPr>
          <w:rFonts w:eastAsiaTheme="minorEastAsia"/>
        </w:rPr>
        <w:t xml:space="preserve"> at gamma (0.01, 0.01).</w:t>
      </w:r>
    </w:p>
    <w:p w14:paraId="47EE7A3E" w14:textId="77777777" w:rsidR="007E57A1" w:rsidRPr="00293406" w:rsidRDefault="007E57A1" w:rsidP="007E57A1">
      <w:pPr>
        <w:pStyle w:val="ListParagraph"/>
        <w:rPr>
          <w:rFonts w:eastAsiaTheme="minorEastAsia"/>
        </w:rPr>
      </w:pPr>
      <w:r w:rsidRPr="007E57A1">
        <w:rPr>
          <w:rFonts w:eastAsiaTheme="minorEastAsia"/>
        </w:rPr>
        <w:sym w:font="Wingdings" w:char="F0E0"/>
      </w:r>
      <w:r>
        <w:rPr>
          <w:rFonts w:eastAsiaTheme="minorEastAsia"/>
        </w:rPr>
        <w:t xml:space="preserve"> Thus, the gamma (0.01, 0.01) </w:t>
      </w:r>
      <w:r w:rsidR="00A16BA7">
        <w:rPr>
          <w:rFonts w:eastAsiaTheme="minorEastAsia"/>
        </w:rPr>
        <w:t xml:space="preserve">prior </w:t>
      </w:r>
      <w:r>
        <w:rPr>
          <w:rFonts w:eastAsiaTheme="minorEastAsia"/>
          <w:bCs/>
          <w:iCs/>
          <w:color w:val="000000"/>
          <w:kern w:val="24"/>
        </w:rPr>
        <w:t>acts to make all CUs have more similar estimates of productivity</w:t>
      </w:r>
      <w:r w:rsidR="00A16BA7">
        <w:rPr>
          <w:rFonts w:eastAsiaTheme="minorEastAsia"/>
          <w:bCs/>
          <w:iCs/>
          <w:color w:val="000000"/>
          <w:kern w:val="24"/>
        </w:rPr>
        <w:t>, while the gamma (1,1) prior allows for more variation in productivity among CUs</w:t>
      </w:r>
      <w:r>
        <w:rPr>
          <w:rFonts w:eastAsiaTheme="minorEastAsia"/>
          <w:bCs/>
          <w:iCs/>
          <w:color w:val="000000"/>
          <w:kern w:val="24"/>
        </w:rPr>
        <w:t>.</w:t>
      </w:r>
      <w:r w:rsidR="00A16BA7">
        <w:rPr>
          <w:rFonts w:eastAsiaTheme="minorEastAsia"/>
          <w:bCs/>
          <w:iCs/>
          <w:color w:val="000000"/>
          <w:kern w:val="24"/>
        </w:rPr>
        <w:t xml:space="preserve">  Thus, out of the three distributions considered, the gamma (0.01, 0.01) imposes the most information on CU-level values of alpha because it forces </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rsidR="00B84525">
        <w:rPr>
          <w:rFonts w:eastAsiaTheme="minorEastAsia"/>
        </w:rPr>
        <w:t xml:space="preserve"> to be closer to </w:t>
      </w:r>
      <w:r w:rsidR="00B84525">
        <w:rPr>
          <w:rFonts w:eastAsiaTheme="minorEastAsia" w:cstheme="minorHAnsi"/>
          <w:bCs/>
          <w:iCs/>
          <w:color w:val="000000"/>
          <w:kern w:val="24"/>
        </w:rPr>
        <w:t>µ</w:t>
      </w:r>
      <w:r w:rsidR="00B84525" w:rsidRPr="007E57A1">
        <w:rPr>
          <w:rFonts w:eastAsiaTheme="minorEastAsia" w:cstheme="minorHAnsi"/>
          <w:bCs/>
          <w:iCs/>
          <w:color w:val="000000"/>
          <w:kern w:val="24"/>
          <w:vertAlign w:val="subscript"/>
        </w:rPr>
        <w:t>α</w:t>
      </w:r>
      <w:r w:rsidR="00B84525">
        <w:rPr>
          <w:rFonts w:eastAsiaTheme="minorEastAsia" w:cstheme="minorHAnsi"/>
          <w:bCs/>
          <w:iCs/>
          <w:color w:val="000000"/>
          <w:kern w:val="24"/>
          <w:vertAlign w:val="subscript"/>
        </w:rPr>
        <w:t>.</w:t>
      </w:r>
    </w:p>
    <w:p w14:paraId="22D473AB" w14:textId="77777777" w:rsidR="00BF7B34" w:rsidRDefault="00BF7B34" w:rsidP="00395341">
      <w:pPr>
        <w:rPr>
          <w:rFonts w:eastAsiaTheme="minorEastAsia"/>
        </w:rPr>
      </w:pPr>
    </w:p>
    <w:p w14:paraId="4B66241D" w14:textId="77777777" w:rsidR="007E57A1" w:rsidRDefault="007E57A1" w:rsidP="00395341">
      <w:pPr>
        <w:rPr>
          <w:rFonts w:eastAsiaTheme="minorEastAsia"/>
        </w:rPr>
      </w:pPr>
    </w:p>
    <w:p w14:paraId="288440D5" w14:textId="77777777" w:rsidR="00BF7B34" w:rsidRDefault="00BF7B34" w:rsidP="00395341">
      <w:pPr>
        <w:rPr>
          <w:rFonts w:eastAsiaTheme="minorEastAsia"/>
        </w:rPr>
      </w:pPr>
    </w:p>
    <w:p w14:paraId="74B7EC1D" w14:textId="77777777" w:rsidR="00BF7B34" w:rsidRDefault="00BF7B34" w:rsidP="00395341">
      <w:pPr>
        <w:rPr>
          <w:rFonts w:eastAsiaTheme="minorEastAsia"/>
        </w:rPr>
      </w:pPr>
      <w:r w:rsidRPr="00BF7B34">
        <w:rPr>
          <w:rFonts w:eastAsiaTheme="minorEastAsia"/>
          <w:noProof/>
        </w:rPr>
        <w:lastRenderedPageBreak/>
        <w:drawing>
          <wp:inline distT="0" distB="0" distL="0" distR="0" wp14:anchorId="3E18C1EB" wp14:editId="56D42AFD">
            <wp:extent cx="5943600" cy="6064885"/>
            <wp:effectExtent l="0" t="0" r="0" b="8255"/>
            <wp:docPr id="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pic:cNvPicPr>
                      <a:picLocks noChangeAspect="1"/>
                    </pic:cNvPicPr>
                  </pic:nvPicPr>
                  <pic:blipFill>
                    <a:blip r:embed="rId7"/>
                    <a:stretch>
                      <a:fillRect/>
                    </a:stretch>
                  </pic:blipFill>
                  <pic:spPr>
                    <a:xfrm>
                      <a:off x="0" y="0"/>
                      <a:ext cx="5943600" cy="6064885"/>
                    </a:xfrm>
                    <a:prstGeom prst="rect">
                      <a:avLst/>
                    </a:prstGeom>
                  </pic:spPr>
                </pic:pic>
              </a:graphicData>
            </a:graphic>
          </wp:inline>
        </w:drawing>
      </w:r>
    </w:p>
    <w:p w14:paraId="4EEA1257" w14:textId="77777777" w:rsidR="00BF7B34" w:rsidRPr="00EF4E03" w:rsidRDefault="00152D85" w:rsidP="00395341">
      <w:pPr>
        <w:rPr>
          <w:rFonts w:eastAsiaTheme="minorEastAsia"/>
          <w:i/>
        </w:rPr>
      </w:pPr>
      <w:r w:rsidRPr="00EF4E03">
        <w:rPr>
          <w:i/>
        </w:rPr>
        <w:t>Figure 2</w:t>
      </w:r>
      <w:r w:rsidR="00BF7B34" w:rsidRPr="00EF4E03">
        <w:rPr>
          <w:i/>
        </w:rPr>
        <w:t xml:space="preserve">.  CU-level </w:t>
      </w:r>
      <w:proofErr w:type="spellStart"/>
      <w:r w:rsidR="00BF7B34" w:rsidRPr="00EF4E03">
        <w:rPr>
          <w:i/>
        </w:rPr>
        <w:t>Sgen</w:t>
      </w:r>
      <w:proofErr w:type="spellEnd"/>
      <w:r w:rsidR="00BF7B34" w:rsidRPr="00EF4E03">
        <w:rPr>
          <w:rFonts w:eastAsiaTheme="minorEastAsia"/>
          <w:i/>
        </w:rPr>
        <w:t xml:space="preserve"> estimates from each of the nine sensitivity analysis scenarios considered.  Error bars show the 95% confidence levels.  Horizontal blue dashed lines shows the mean estimates reported from the 2015 WSP Integrated Status Assessment (DFO 2015) while red dashed lines show the values reported by Korman et al. 2019.</w:t>
      </w:r>
    </w:p>
    <w:p w14:paraId="04CE6C8D" w14:textId="77777777" w:rsidR="00BF7B34" w:rsidRDefault="00BF7B34" w:rsidP="00395341"/>
    <w:p w14:paraId="7E2701A2" w14:textId="77777777" w:rsidR="00666063" w:rsidRPr="00A61798" w:rsidRDefault="00666063" w:rsidP="00666063">
      <w:pPr>
        <w:rPr>
          <w:rFonts w:eastAsiaTheme="minorEastAsia"/>
          <w:i/>
        </w:rPr>
      </w:pPr>
      <w:r w:rsidRPr="00A61798">
        <w:rPr>
          <w:rFonts w:eastAsiaTheme="minorEastAsia"/>
          <w:i/>
        </w:rPr>
        <w:t xml:space="preserve">Discussion of Results – Figure </w:t>
      </w:r>
      <w:r>
        <w:rPr>
          <w:rFonts w:eastAsiaTheme="minorEastAsia"/>
          <w:i/>
        </w:rPr>
        <w:t>2</w:t>
      </w:r>
      <w:r w:rsidRPr="00A61798">
        <w:rPr>
          <w:rFonts w:eastAsiaTheme="minorEastAsia"/>
          <w:i/>
        </w:rPr>
        <w:t>:</w:t>
      </w:r>
    </w:p>
    <w:p w14:paraId="3976AEB2" w14:textId="77777777" w:rsidR="00EF4E03" w:rsidRDefault="00EF4E03" w:rsidP="00666063">
      <w:pPr>
        <w:pStyle w:val="ListParagraph"/>
        <w:numPr>
          <w:ilvl w:val="0"/>
          <w:numId w:val="1"/>
        </w:numPr>
      </w:pPr>
      <w:r>
        <w:t xml:space="preserve">These results correspond to those of Figure 1, with estimates of </w:t>
      </w:r>
      <w:proofErr w:type="spellStart"/>
      <w:r>
        <w:t>Sgen</w:t>
      </w:r>
      <w:proofErr w:type="spellEnd"/>
      <w:r>
        <w:t xml:space="preserve"> being most sensitive to the prior assumption </w:t>
      </w:r>
      <w:r>
        <w:rPr>
          <w:rFonts w:eastAsiaTheme="minorEastAsia"/>
        </w:rPr>
        <w:t xml:space="preserve">on </w:t>
      </w:r>
      <m:oMath>
        <m:sSub>
          <m:sSubPr>
            <m:ctrlPr>
              <w:rPr>
                <w:rFonts w:ascii="Cambria Math" w:eastAsia="+mn-ea" w:hAnsi="Cambria Math" w:cs="+mn-cs"/>
                <w:bCs/>
                <w:i/>
                <w:iCs/>
                <w:color w:val="000000"/>
                <w:kern w:val="24"/>
              </w:rPr>
            </m:ctrlPr>
          </m:sSubPr>
          <m:e>
            <m:r>
              <w:rPr>
                <w:rFonts w:ascii="Cambria Math" w:eastAsia="+mn-ea" w:hAnsi="Cambria Math" w:cs="+mn-cs"/>
                <w:color w:val="000000"/>
                <w:kern w:val="24"/>
              </w:rPr>
              <m:t>τ</m:t>
            </m:r>
          </m:e>
          <m:sub>
            <m:r>
              <w:rPr>
                <w:rFonts w:ascii="Cambria Math" w:eastAsia="+mn-ea" w:hAnsi="Cambria Math" w:cs="+mn-cs"/>
                <w:color w:val="000000"/>
                <w:kern w:val="24"/>
              </w:rPr>
              <m:t>α</m:t>
            </m:r>
          </m:sub>
        </m:sSub>
      </m:oMath>
      <w:r>
        <w:t>.  Notable differences in Sgen are only seen for 3 out of 5 CUs (South Thompson, Fraser Canyon, North Thompson).</w:t>
      </w:r>
    </w:p>
    <w:p w14:paraId="1918AC79" w14:textId="77777777" w:rsidR="009D3843" w:rsidRDefault="00152D85" w:rsidP="00395341">
      <w:r>
        <w:rPr>
          <w:noProof/>
        </w:rPr>
        <w:lastRenderedPageBreak/>
        <w:drawing>
          <wp:inline distT="0" distB="0" distL="0" distR="0" wp14:anchorId="248204DA" wp14:editId="2B00E9FA">
            <wp:extent cx="3192780" cy="3523538"/>
            <wp:effectExtent l="0" t="0" r="762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97097" cy="3528302"/>
                    </a:xfrm>
                    <a:prstGeom prst="rect">
                      <a:avLst/>
                    </a:prstGeom>
                    <a:noFill/>
                  </pic:spPr>
                </pic:pic>
              </a:graphicData>
            </a:graphic>
          </wp:inline>
        </w:drawing>
      </w:r>
    </w:p>
    <w:p w14:paraId="629D4E36" w14:textId="77777777" w:rsidR="00152D85" w:rsidRPr="00EF4E03" w:rsidRDefault="00152D85" w:rsidP="00152D85">
      <w:pPr>
        <w:rPr>
          <w:rFonts w:eastAsiaTheme="minorEastAsia"/>
          <w:i/>
        </w:rPr>
      </w:pPr>
      <w:r w:rsidRPr="00EF4E03">
        <w:rPr>
          <w:i/>
        </w:rPr>
        <w:t>Figure 3.  Aggregate LRP estimates for each of the</w:t>
      </w:r>
      <w:r w:rsidRPr="00EF4E03">
        <w:rPr>
          <w:rFonts w:eastAsiaTheme="minorEastAsia"/>
          <w:i/>
        </w:rPr>
        <w:t xml:space="preserve"> nine sensitivity analysis scenarios considered</w:t>
      </w:r>
      <w:r w:rsidR="00EF4E03" w:rsidRPr="00EF4E03">
        <w:rPr>
          <w:rFonts w:eastAsiaTheme="minorEastAsia"/>
          <w:i/>
        </w:rPr>
        <w:t xml:space="preserve"> when LRPs are estimates using a binomial LRP model with a threshold proportion of 95% of CUs &gt; </w:t>
      </w:r>
      <w:proofErr w:type="spellStart"/>
      <w:r w:rsidR="00EF4E03" w:rsidRPr="00EF4E03">
        <w:rPr>
          <w:rFonts w:eastAsiaTheme="minorEastAsia"/>
          <w:i/>
        </w:rPr>
        <w:t>Sgen</w:t>
      </w:r>
      <w:proofErr w:type="spellEnd"/>
      <w:r w:rsidRPr="00EF4E03">
        <w:rPr>
          <w:rFonts w:eastAsiaTheme="minorEastAsia"/>
          <w:i/>
        </w:rPr>
        <w:t xml:space="preserve">.  Error bars show the 95% confidence levels. </w:t>
      </w:r>
    </w:p>
    <w:p w14:paraId="47CE468F" w14:textId="77777777" w:rsidR="00EF4E03" w:rsidRDefault="00EF4E03" w:rsidP="00EF4E03">
      <w:pPr>
        <w:rPr>
          <w:rFonts w:eastAsiaTheme="minorEastAsia"/>
          <w:i/>
        </w:rPr>
      </w:pPr>
    </w:p>
    <w:p w14:paraId="4F75A6BA" w14:textId="77777777" w:rsidR="00EF4E03" w:rsidRPr="00A61798" w:rsidRDefault="00EF4E03" w:rsidP="00EF4E03">
      <w:pPr>
        <w:rPr>
          <w:rFonts w:eastAsiaTheme="minorEastAsia"/>
          <w:i/>
        </w:rPr>
      </w:pPr>
      <w:r w:rsidRPr="00A61798">
        <w:rPr>
          <w:rFonts w:eastAsiaTheme="minorEastAsia"/>
          <w:i/>
        </w:rPr>
        <w:t xml:space="preserve">Discussion of Results – Figure </w:t>
      </w:r>
      <w:r>
        <w:rPr>
          <w:rFonts w:eastAsiaTheme="minorEastAsia"/>
          <w:i/>
        </w:rPr>
        <w:t>3</w:t>
      </w:r>
      <w:r w:rsidRPr="00A61798">
        <w:rPr>
          <w:rFonts w:eastAsiaTheme="minorEastAsia"/>
          <w:i/>
        </w:rPr>
        <w:t>:</w:t>
      </w:r>
    </w:p>
    <w:p w14:paraId="6F8A120C" w14:textId="5DF635B1" w:rsidR="00C0660A" w:rsidRPr="002C4587" w:rsidRDefault="00EF4E03" w:rsidP="00EF4E03">
      <w:pPr>
        <w:pStyle w:val="ListParagraph"/>
        <w:numPr>
          <w:ilvl w:val="0"/>
          <w:numId w:val="1"/>
        </w:numPr>
      </w:pPr>
      <w:r>
        <w:t xml:space="preserve">While the differences in </w:t>
      </w:r>
      <w:proofErr w:type="spellStart"/>
      <w:r>
        <w:t>Sgen</w:t>
      </w:r>
      <w:proofErr w:type="spellEnd"/>
      <w:r>
        <w:t xml:space="preserve"> among scenarios about the prior distribution on </w:t>
      </w:r>
      <m:oMath>
        <m:sSub>
          <m:sSubPr>
            <m:ctrlPr>
              <w:rPr>
                <w:rFonts w:ascii="Cambria Math" w:eastAsia="+mn-ea" w:hAnsi="Cambria Math" w:cs="+mn-cs"/>
                <w:bCs/>
                <w:i/>
                <w:iCs/>
                <w:color w:val="000000"/>
                <w:kern w:val="24"/>
              </w:rPr>
            </m:ctrlPr>
          </m:sSubPr>
          <m:e>
            <m:r>
              <w:rPr>
                <w:rFonts w:ascii="Cambria Math" w:eastAsia="+mn-ea" w:hAnsi="Cambria Math" w:cs="+mn-cs"/>
                <w:color w:val="000000"/>
                <w:kern w:val="24"/>
              </w:rPr>
              <m:t>τ</m:t>
            </m:r>
          </m:e>
          <m:sub>
            <m:r>
              <w:rPr>
                <w:rFonts w:ascii="Cambria Math" w:eastAsia="+mn-ea" w:hAnsi="Cambria Math" w:cs="+mn-cs"/>
                <w:color w:val="000000"/>
                <w:kern w:val="24"/>
              </w:rPr>
              <m:t>α</m:t>
            </m:r>
          </m:sub>
        </m:sSub>
      </m:oMath>
      <w:r>
        <w:rPr>
          <w:rFonts w:eastAsiaTheme="minorEastAsia"/>
          <w:bCs/>
          <w:iCs/>
          <w:color w:val="000000"/>
          <w:kern w:val="24"/>
        </w:rPr>
        <w:t xml:space="preserve">  appeared small in Figure 2 (i.e., only a few hundred fish), these differences had a relatively large effect on the estimated aggregate LRP.  This is due to </w:t>
      </w:r>
      <w:r w:rsidR="00F92E51">
        <w:rPr>
          <w:rFonts w:eastAsiaTheme="minorEastAsia"/>
          <w:bCs/>
          <w:iCs/>
          <w:color w:val="000000"/>
          <w:kern w:val="24"/>
        </w:rPr>
        <w:t xml:space="preserve">CU-level </w:t>
      </w:r>
      <w:r>
        <w:rPr>
          <w:rFonts w:eastAsiaTheme="minorEastAsia"/>
          <w:bCs/>
          <w:iCs/>
          <w:color w:val="000000"/>
          <w:kern w:val="24"/>
        </w:rPr>
        <w:t xml:space="preserve">escapements in several years being close to </w:t>
      </w:r>
      <w:proofErr w:type="spellStart"/>
      <w:r>
        <w:rPr>
          <w:rFonts w:eastAsiaTheme="minorEastAsia"/>
          <w:bCs/>
          <w:iCs/>
          <w:color w:val="000000"/>
          <w:kern w:val="24"/>
        </w:rPr>
        <w:t>Sgen</w:t>
      </w:r>
      <w:proofErr w:type="spellEnd"/>
      <w:r w:rsidR="00F92E51">
        <w:rPr>
          <w:rFonts w:eastAsiaTheme="minorEastAsia"/>
          <w:bCs/>
          <w:iCs/>
          <w:color w:val="000000"/>
          <w:kern w:val="24"/>
        </w:rPr>
        <w:t xml:space="preserve">, which affects the proportion of CU’s observed to be above or below </w:t>
      </w:r>
      <w:proofErr w:type="spellStart"/>
      <w:r w:rsidR="00F92E51">
        <w:rPr>
          <w:rFonts w:eastAsiaTheme="minorEastAsia"/>
          <w:bCs/>
          <w:iCs/>
          <w:color w:val="000000"/>
          <w:kern w:val="24"/>
        </w:rPr>
        <w:t>Sgen</w:t>
      </w:r>
      <w:proofErr w:type="spellEnd"/>
      <w:r w:rsidR="00F92E51">
        <w:rPr>
          <w:rFonts w:eastAsiaTheme="minorEastAsia"/>
          <w:bCs/>
          <w:iCs/>
          <w:color w:val="000000"/>
          <w:kern w:val="24"/>
        </w:rPr>
        <w:t>.  These changes in proportions can have relatively large effects on the logistic model fits used to estimate LRPs.</w:t>
      </w:r>
    </w:p>
    <w:p w14:paraId="4976BDB0" w14:textId="3FC4FE72" w:rsidR="002C4587" w:rsidRDefault="002C4587" w:rsidP="00EF4E03">
      <w:pPr>
        <w:pStyle w:val="ListParagraph"/>
        <w:numPr>
          <w:ilvl w:val="0"/>
          <w:numId w:val="1"/>
        </w:numPr>
      </w:pPr>
      <w:r>
        <w:rPr>
          <w:rFonts w:eastAsiaTheme="minorEastAsia"/>
          <w:bCs/>
          <w:iCs/>
          <w:color w:val="000000"/>
          <w:kern w:val="24"/>
        </w:rPr>
        <w:t xml:space="preserve">While the effect of the </w:t>
      </w:r>
      <m:oMath>
        <m:sSub>
          <m:sSubPr>
            <m:ctrlPr>
              <w:rPr>
                <w:rFonts w:ascii="Cambria Math" w:eastAsia="+mn-ea" w:hAnsi="Cambria Math" w:cs="+mn-cs"/>
                <w:bCs/>
                <w:i/>
                <w:iCs/>
                <w:color w:val="000000"/>
                <w:kern w:val="24"/>
              </w:rPr>
            </m:ctrlPr>
          </m:sSubPr>
          <m:e>
            <m:r>
              <w:rPr>
                <w:rFonts w:ascii="Cambria Math" w:eastAsia="+mn-ea" w:hAnsi="Cambria Math" w:cs="+mn-cs"/>
                <w:color w:val="000000"/>
                <w:kern w:val="24"/>
              </w:rPr>
              <m:t>τ</m:t>
            </m:r>
          </m:e>
          <m:sub>
            <m:r>
              <w:rPr>
                <w:rFonts w:ascii="Cambria Math" w:eastAsia="+mn-ea" w:hAnsi="Cambria Math" w:cs="+mn-cs"/>
                <w:color w:val="000000"/>
                <w:kern w:val="24"/>
              </w:rPr>
              <m:t>α</m:t>
            </m:r>
          </m:sub>
        </m:sSub>
      </m:oMath>
      <w:r>
        <w:rPr>
          <w:rFonts w:eastAsiaTheme="minorEastAsia"/>
          <w:bCs/>
          <w:iCs/>
          <w:color w:val="000000"/>
          <w:kern w:val="24"/>
        </w:rPr>
        <w:t xml:space="preserve"> prior on LRP values is most apparent in these plots, there is also a decrease in LRP as </w:t>
      </w:r>
      <m:oMath>
        <m:r>
          <w:rPr>
            <w:rFonts w:ascii="Cambria Math" w:eastAsia="+mn-ea" w:hAnsi="Cambria Math" w:cs="+mn-cs"/>
            <w:color w:val="000000"/>
            <w:kern w:val="24"/>
          </w:rPr>
          <m:t>τ</m:t>
        </m:r>
      </m:oMath>
      <w:r>
        <w:rPr>
          <w:rFonts w:eastAsiaTheme="minorEastAsia"/>
          <w:bCs/>
          <w:iCs/>
          <w:color w:val="000000"/>
          <w:kern w:val="24"/>
        </w:rPr>
        <w:t xml:space="preserve"> moves from gamma(0.1, 0.1) to gamm</w:t>
      </w:r>
      <w:r w:rsidR="0097207E">
        <w:rPr>
          <w:rFonts w:eastAsiaTheme="minorEastAsia"/>
          <w:bCs/>
          <w:iCs/>
          <w:color w:val="000000"/>
          <w:kern w:val="24"/>
        </w:rPr>
        <w:t xml:space="preserve">a (1, </w:t>
      </w:r>
      <w:r>
        <w:rPr>
          <w:rFonts w:eastAsiaTheme="minorEastAsia"/>
          <w:bCs/>
          <w:iCs/>
          <w:color w:val="000000"/>
          <w:kern w:val="24"/>
        </w:rPr>
        <w:t xml:space="preserve">1).  This decrease can be seen when comparing scenario 4 to scenario 7, or when comparing scenario 6 to scenario 9.  This decrease is a result of slight shifts in </w:t>
      </w:r>
      <w:proofErr w:type="spellStart"/>
      <w:r>
        <w:rPr>
          <w:rFonts w:eastAsiaTheme="minorEastAsia"/>
          <w:bCs/>
          <w:iCs/>
          <w:color w:val="000000"/>
          <w:kern w:val="24"/>
        </w:rPr>
        <w:t>Sgen</w:t>
      </w:r>
      <w:proofErr w:type="spellEnd"/>
      <w:r>
        <w:rPr>
          <w:rFonts w:eastAsiaTheme="minorEastAsia"/>
          <w:bCs/>
          <w:iCs/>
          <w:color w:val="000000"/>
          <w:kern w:val="24"/>
        </w:rPr>
        <w:t xml:space="preserve"> that are too small to see in Figure 2, but that affect the level of certainty is assessments of annual stock status relative to </w:t>
      </w:r>
      <w:proofErr w:type="spellStart"/>
      <w:r>
        <w:rPr>
          <w:rFonts w:eastAsiaTheme="minorEastAsia"/>
          <w:bCs/>
          <w:iCs/>
          <w:color w:val="000000"/>
          <w:kern w:val="24"/>
        </w:rPr>
        <w:t>Sgen</w:t>
      </w:r>
      <w:proofErr w:type="spellEnd"/>
      <w:r>
        <w:rPr>
          <w:rFonts w:eastAsiaTheme="minorEastAsia"/>
          <w:bCs/>
          <w:iCs/>
          <w:color w:val="000000"/>
          <w:kern w:val="24"/>
        </w:rPr>
        <w:t xml:space="preserve"> for some CUs, which in turn affects the fit of the LRP logistic regression model.  </w:t>
      </w:r>
    </w:p>
    <w:p w14:paraId="1EE34674" w14:textId="77777777" w:rsidR="00E65B38" w:rsidRDefault="00E65B38"/>
    <w:p w14:paraId="10129FCB" w14:textId="5D6789B1" w:rsidR="005B2749" w:rsidRDefault="00E47D53">
      <w:pPr>
        <w:rPr>
          <w:u w:val="single"/>
        </w:rPr>
      </w:pPr>
      <w:proofErr w:type="spellStart"/>
      <w:r>
        <w:rPr>
          <w:u w:val="single"/>
        </w:rPr>
        <w:t>Gelman</w:t>
      </w:r>
      <w:proofErr w:type="spellEnd"/>
      <w:r>
        <w:rPr>
          <w:u w:val="single"/>
        </w:rPr>
        <w:t xml:space="preserve"> 2006</w:t>
      </w:r>
      <w:r w:rsidR="00E15BF7">
        <w:rPr>
          <w:u w:val="single"/>
        </w:rPr>
        <w:t xml:space="preserve"> (</w:t>
      </w:r>
      <w:hyperlink r:id="rId9" w:history="1">
        <w:r w:rsidR="00E15BF7">
          <w:rPr>
            <w:rStyle w:val="Hyperlink"/>
          </w:rPr>
          <w:t>http://www.stat.columbia.edu/~gelman/research/published/taumain.pdf</w:t>
        </w:r>
      </w:hyperlink>
      <w:r w:rsidR="00E15BF7">
        <w:t>)</w:t>
      </w:r>
    </w:p>
    <w:p w14:paraId="3588E572" w14:textId="75424D2D" w:rsidR="005B2749" w:rsidRDefault="00E47D53" w:rsidP="00E47D53">
      <w:pPr>
        <w:pStyle w:val="ListParagraph"/>
        <w:numPr>
          <w:ilvl w:val="0"/>
          <w:numId w:val="1"/>
        </w:numPr>
      </w:pPr>
      <w:proofErr w:type="spellStart"/>
      <w:r>
        <w:t>Gelman</w:t>
      </w:r>
      <w:proofErr w:type="spellEnd"/>
      <w:r>
        <w:t xml:space="preserve"> (2006) has previously shown that the choice of </w:t>
      </w:r>
      <w:proofErr w:type="spellStart"/>
      <w:r>
        <w:t>noninformative</w:t>
      </w:r>
      <w:proofErr w:type="spellEnd"/>
      <w:r>
        <w:t xml:space="preserve"> gamma priors can have a large effect on posterior model inferences, especially when the number of groups is small (which is the case here with only 5 CUs) and the group-level variance is close to zero (also the </w:t>
      </w:r>
      <w:r>
        <w:lastRenderedPageBreak/>
        <w:t>case here).  They noted that despite the common practice of using gamma (0.001, 0.001) as an uninformative prior on hierarchical variance parameters,  these values lead to distribution</w:t>
      </w:r>
      <w:r w:rsidR="00B65D4B">
        <w:t xml:space="preserve">s that cannot be considered </w:t>
      </w:r>
      <w:proofErr w:type="spellStart"/>
      <w:r w:rsidR="00B65D4B">
        <w:t>non</w:t>
      </w:r>
      <w:r>
        <w:t>informative</w:t>
      </w:r>
      <w:proofErr w:type="spellEnd"/>
      <w:r>
        <w:t xml:space="preserve"> and should be avoided when modelling hierarchical variance.  Instead, </w:t>
      </w:r>
      <w:proofErr w:type="spellStart"/>
      <w:r>
        <w:t>Gelman</w:t>
      </w:r>
      <w:proofErr w:type="spellEnd"/>
      <w:r>
        <w:t xml:space="preserve"> (2006) recommended starting with </w:t>
      </w:r>
      <w:proofErr w:type="spellStart"/>
      <w:r>
        <w:t>noninformative</w:t>
      </w:r>
      <w:proofErr w:type="spellEnd"/>
      <w:r>
        <w:t xml:space="preserve"> uniform prior distributions of variance parameters.  </w:t>
      </w:r>
    </w:p>
    <w:p w14:paraId="5FD710D1" w14:textId="15ACD9BF" w:rsidR="00E47D53" w:rsidRDefault="00E47D53" w:rsidP="00E15BF7"/>
    <w:sectPr w:rsidR="00E47D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n-ea">
    <w:panose1 w:val="00000000000000000000"/>
    <w:charset w:val="00"/>
    <w:family w:val="roman"/>
    <w:notTrueType/>
    <w:pitch w:val="default"/>
  </w:font>
  <w:font w:name="+mn-cs">
    <w:panose1 w:val="00000000000000000000"/>
    <w:charset w:val="00"/>
    <w:family w:val="roman"/>
    <w:notTrueType/>
    <w:pitch w:val="default"/>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B05C44"/>
    <w:multiLevelType w:val="hybridMultilevel"/>
    <w:tmpl w:val="EC7E1E06"/>
    <w:lvl w:ilvl="0" w:tplc="1AE62856">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E454E8"/>
    <w:multiLevelType w:val="hybridMultilevel"/>
    <w:tmpl w:val="9B4C2C82"/>
    <w:lvl w:ilvl="0" w:tplc="DFE60A54">
      <w:numFmt w:val="bullet"/>
      <w:lvlText w:val=""/>
      <w:lvlJc w:val="left"/>
      <w:pPr>
        <w:ind w:left="408" w:hanging="360"/>
      </w:pPr>
      <w:rPr>
        <w:rFonts w:ascii="Symbol" w:eastAsiaTheme="minorHAnsi" w:hAnsi="Symbol" w:cstheme="minorBidi"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45B0"/>
    <w:rsid w:val="000246E7"/>
    <w:rsid w:val="000334D9"/>
    <w:rsid w:val="000661AB"/>
    <w:rsid w:val="000A1AB7"/>
    <w:rsid w:val="000B42E6"/>
    <w:rsid w:val="000E52A6"/>
    <w:rsid w:val="000F6DD0"/>
    <w:rsid w:val="00107A59"/>
    <w:rsid w:val="00152D85"/>
    <w:rsid w:val="00170BAB"/>
    <w:rsid w:val="001A3687"/>
    <w:rsid w:val="002134A2"/>
    <w:rsid w:val="00261679"/>
    <w:rsid w:val="00293406"/>
    <w:rsid w:val="002B7EF2"/>
    <w:rsid w:val="002C4587"/>
    <w:rsid w:val="00307170"/>
    <w:rsid w:val="003245B0"/>
    <w:rsid w:val="0037273F"/>
    <w:rsid w:val="00395341"/>
    <w:rsid w:val="003A201F"/>
    <w:rsid w:val="003A7686"/>
    <w:rsid w:val="003D41CD"/>
    <w:rsid w:val="003E5903"/>
    <w:rsid w:val="004601EC"/>
    <w:rsid w:val="004657CE"/>
    <w:rsid w:val="00501F75"/>
    <w:rsid w:val="00573CC3"/>
    <w:rsid w:val="005B2749"/>
    <w:rsid w:val="0062776D"/>
    <w:rsid w:val="00666063"/>
    <w:rsid w:val="006A3587"/>
    <w:rsid w:val="006A48C8"/>
    <w:rsid w:val="006F1F3C"/>
    <w:rsid w:val="00762335"/>
    <w:rsid w:val="00786413"/>
    <w:rsid w:val="00793510"/>
    <w:rsid w:val="007A075F"/>
    <w:rsid w:val="007B356A"/>
    <w:rsid w:val="007D0A6F"/>
    <w:rsid w:val="007E57A1"/>
    <w:rsid w:val="00810A9E"/>
    <w:rsid w:val="008361A8"/>
    <w:rsid w:val="008841E3"/>
    <w:rsid w:val="008D6E99"/>
    <w:rsid w:val="008E69F3"/>
    <w:rsid w:val="009638FD"/>
    <w:rsid w:val="0097207E"/>
    <w:rsid w:val="00987AF5"/>
    <w:rsid w:val="00991B01"/>
    <w:rsid w:val="009D3843"/>
    <w:rsid w:val="00A16BA7"/>
    <w:rsid w:val="00A326F8"/>
    <w:rsid w:val="00A52566"/>
    <w:rsid w:val="00A61798"/>
    <w:rsid w:val="00A90763"/>
    <w:rsid w:val="00A91251"/>
    <w:rsid w:val="00AE17DB"/>
    <w:rsid w:val="00AF6EFD"/>
    <w:rsid w:val="00B65D4B"/>
    <w:rsid w:val="00B84525"/>
    <w:rsid w:val="00BA0120"/>
    <w:rsid w:val="00BD1656"/>
    <w:rsid w:val="00BF7B34"/>
    <w:rsid w:val="00C0660A"/>
    <w:rsid w:val="00C95E2E"/>
    <w:rsid w:val="00D03E84"/>
    <w:rsid w:val="00D04FD5"/>
    <w:rsid w:val="00D8503D"/>
    <w:rsid w:val="00D86D39"/>
    <w:rsid w:val="00D90129"/>
    <w:rsid w:val="00DA0B39"/>
    <w:rsid w:val="00DF4868"/>
    <w:rsid w:val="00E15BF7"/>
    <w:rsid w:val="00E47D53"/>
    <w:rsid w:val="00E65B38"/>
    <w:rsid w:val="00EA473D"/>
    <w:rsid w:val="00EC0B53"/>
    <w:rsid w:val="00EF4E03"/>
    <w:rsid w:val="00F92E51"/>
    <w:rsid w:val="00F977FA"/>
    <w:rsid w:val="00FC4E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78DB8"/>
  <w15:chartTrackingRefBased/>
  <w15:docId w15:val="{42F9E982-A7B8-46BD-9C7A-ED7C0C6D7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245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C0B53"/>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paragraph" w:styleId="BalloonText">
    <w:name w:val="Balloon Text"/>
    <w:basedOn w:val="Normal"/>
    <w:link w:val="BalloonTextChar"/>
    <w:uiPriority w:val="99"/>
    <w:semiHidden/>
    <w:unhideWhenUsed/>
    <w:rsid w:val="007B356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356A"/>
    <w:rPr>
      <w:rFonts w:ascii="Segoe UI" w:hAnsi="Segoe UI" w:cs="Segoe UI"/>
      <w:sz w:val="18"/>
      <w:szCs w:val="18"/>
    </w:rPr>
  </w:style>
  <w:style w:type="character" w:styleId="PlaceholderText">
    <w:name w:val="Placeholder Text"/>
    <w:basedOn w:val="DefaultParagraphFont"/>
    <w:uiPriority w:val="99"/>
    <w:semiHidden/>
    <w:rsid w:val="00BF7B34"/>
    <w:rPr>
      <w:color w:val="808080"/>
    </w:rPr>
  </w:style>
  <w:style w:type="paragraph" w:styleId="ListParagraph">
    <w:name w:val="List Paragraph"/>
    <w:basedOn w:val="Normal"/>
    <w:uiPriority w:val="34"/>
    <w:qFormat/>
    <w:rsid w:val="00293406"/>
    <w:pPr>
      <w:ind w:left="720"/>
      <w:contextualSpacing/>
    </w:pPr>
  </w:style>
  <w:style w:type="character" w:styleId="CommentReference">
    <w:name w:val="annotation reference"/>
    <w:basedOn w:val="DefaultParagraphFont"/>
    <w:uiPriority w:val="99"/>
    <w:semiHidden/>
    <w:unhideWhenUsed/>
    <w:rsid w:val="009638FD"/>
    <w:rPr>
      <w:sz w:val="16"/>
      <w:szCs w:val="16"/>
    </w:rPr>
  </w:style>
  <w:style w:type="paragraph" w:styleId="CommentText">
    <w:name w:val="annotation text"/>
    <w:basedOn w:val="Normal"/>
    <w:link w:val="CommentTextChar"/>
    <w:uiPriority w:val="99"/>
    <w:semiHidden/>
    <w:unhideWhenUsed/>
    <w:rsid w:val="009638FD"/>
    <w:pPr>
      <w:spacing w:line="240" w:lineRule="auto"/>
    </w:pPr>
    <w:rPr>
      <w:sz w:val="20"/>
      <w:szCs w:val="20"/>
    </w:rPr>
  </w:style>
  <w:style w:type="character" w:customStyle="1" w:styleId="CommentTextChar">
    <w:name w:val="Comment Text Char"/>
    <w:basedOn w:val="DefaultParagraphFont"/>
    <w:link w:val="CommentText"/>
    <w:uiPriority w:val="99"/>
    <w:semiHidden/>
    <w:rsid w:val="009638FD"/>
    <w:rPr>
      <w:sz w:val="20"/>
      <w:szCs w:val="20"/>
    </w:rPr>
  </w:style>
  <w:style w:type="paragraph" w:styleId="CommentSubject">
    <w:name w:val="annotation subject"/>
    <w:basedOn w:val="CommentText"/>
    <w:next w:val="CommentText"/>
    <w:link w:val="CommentSubjectChar"/>
    <w:uiPriority w:val="99"/>
    <w:semiHidden/>
    <w:unhideWhenUsed/>
    <w:rsid w:val="009638FD"/>
    <w:rPr>
      <w:b/>
      <w:bCs/>
    </w:rPr>
  </w:style>
  <w:style w:type="character" w:customStyle="1" w:styleId="CommentSubjectChar">
    <w:name w:val="Comment Subject Char"/>
    <w:basedOn w:val="CommentTextChar"/>
    <w:link w:val="CommentSubject"/>
    <w:uiPriority w:val="99"/>
    <w:semiHidden/>
    <w:rsid w:val="009638FD"/>
    <w:rPr>
      <w:b/>
      <w:bCs/>
      <w:sz w:val="20"/>
      <w:szCs w:val="20"/>
    </w:rPr>
  </w:style>
  <w:style w:type="paragraph" w:styleId="HTMLPreformatted">
    <w:name w:val="HTML Preformatted"/>
    <w:basedOn w:val="Normal"/>
    <w:link w:val="HTMLPreformattedChar"/>
    <w:uiPriority w:val="99"/>
    <w:semiHidden/>
    <w:unhideWhenUsed/>
    <w:rsid w:val="0021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134A2"/>
    <w:rPr>
      <w:rFonts w:ascii="Courier New" w:eastAsia="Times New Roman" w:hAnsi="Courier New" w:cs="Courier New"/>
      <w:sz w:val="20"/>
      <w:szCs w:val="20"/>
    </w:rPr>
  </w:style>
  <w:style w:type="character" w:customStyle="1" w:styleId="gnkrckgcmsb">
    <w:name w:val="gnkrckgcmsb"/>
    <w:basedOn w:val="DefaultParagraphFont"/>
    <w:rsid w:val="002134A2"/>
  </w:style>
  <w:style w:type="character" w:customStyle="1" w:styleId="gnkrckgcmrb">
    <w:name w:val="gnkrckgcmrb"/>
    <w:basedOn w:val="DefaultParagraphFont"/>
    <w:rsid w:val="002134A2"/>
  </w:style>
  <w:style w:type="character" w:styleId="Hyperlink">
    <w:name w:val="Hyperlink"/>
    <w:basedOn w:val="DefaultParagraphFont"/>
    <w:uiPriority w:val="99"/>
    <w:semiHidden/>
    <w:unhideWhenUsed/>
    <w:rsid w:val="00E15BF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898956">
      <w:bodyDiv w:val="1"/>
      <w:marLeft w:val="0"/>
      <w:marRight w:val="0"/>
      <w:marTop w:val="0"/>
      <w:marBottom w:val="0"/>
      <w:divBdr>
        <w:top w:val="none" w:sz="0" w:space="0" w:color="auto"/>
        <w:left w:val="none" w:sz="0" w:space="0" w:color="auto"/>
        <w:bottom w:val="none" w:sz="0" w:space="0" w:color="auto"/>
        <w:right w:val="none" w:sz="0" w:space="0" w:color="auto"/>
      </w:divBdr>
    </w:div>
    <w:div w:id="517231973">
      <w:bodyDiv w:val="1"/>
      <w:marLeft w:val="0"/>
      <w:marRight w:val="0"/>
      <w:marTop w:val="0"/>
      <w:marBottom w:val="0"/>
      <w:divBdr>
        <w:top w:val="none" w:sz="0" w:space="0" w:color="auto"/>
        <w:left w:val="none" w:sz="0" w:space="0" w:color="auto"/>
        <w:bottom w:val="none" w:sz="0" w:space="0" w:color="auto"/>
        <w:right w:val="none" w:sz="0" w:space="0" w:color="auto"/>
      </w:divBdr>
      <w:divsChild>
        <w:div w:id="1623026568">
          <w:marLeft w:val="0"/>
          <w:marRight w:val="0"/>
          <w:marTop w:val="0"/>
          <w:marBottom w:val="0"/>
          <w:divBdr>
            <w:top w:val="none" w:sz="0" w:space="0" w:color="auto"/>
            <w:left w:val="none" w:sz="0" w:space="0" w:color="auto"/>
            <w:bottom w:val="none" w:sz="0" w:space="0" w:color="auto"/>
            <w:right w:val="none" w:sz="0" w:space="0" w:color="auto"/>
          </w:divBdr>
        </w:div>
      </w:divsChild>
    </w:div>
    <w:div w:id="1709184274">
      <w:bodyDiv w:val="1"/>
      <w:marLeft w:val="0"/>
      <w:marRight w:val="0"/>
      <w:marTop w:val="0"/>
      <w:marBottom w:val="0"/>
      <w:divBdr>
        <w:top w:val="none" w:sz="0" w:space="0" w:color="auto"/>
        <w:left w:val="none" w:sz="0" w:space="0" w:color="auto"/>
        <w:bottom w:val="none" w:sz="0" w:space="0" w:color="auto"/>
        <w:right w:val="none" w:sz="0" w:space="0" w:color="auto"/>
      </w:divBdr>
    </w:div>
    <w:div w:id="1888640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stat.columbia.edu/~gelman/research/published/taumai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8</Pages>
  <Words>1434</Words>
  <Characters>8178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9593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Holt, Kendra</dc:creator>
  <cp:keywords/>
  <dc:description/>
  <cp:lastModifiedBy>Holt, Kendra</cp:lastModifiedBy>
  <cp:revision>3</cp:revision>
  <dcterms:created xsi:type="dcterms:W3CDTF">2020-07-08T16:53:00Z</dcterms:created>
  <dcterms:modified xsi:type="dcterms:W3CDTF">2020-07-08T17:03:00Z</dcterms:modified>
</cp:coreProperties>
</file>