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6FFD7" w14:textId="77777777" w:rsidR="005B7B36" w:rsidRDefault="005B7B36" w:rsidP="005B7B36">
      <w:r>
        <w:rPr>
          <w:highlight w:val="darkGray"/>
        </w:rPr>
        <w:t>#</w:t>
      </w:r>
      <w:r>
        <w:t xml:space="preserve"> INTRODUCTION</w:t>
      </w:r>
    </w:p>
    <w:p w14:paraId="7FC1CF51" w14:textId="6EA5FA20" w:rsidR="005B7B36" w:rsidRDefault="005B7B36" w:rsidP="005B7B36">
      <w:r>
        <w:t>En vertu des récentes modifications apportées à la *</w:t>
      </w:r>
      <w:r w:rsidRPr="009E34BE">
        <w:t>Loi sur les pêches</w:t>
      </w:r>
      <w:r>
        <w:t xml:space="preserve">* du Canada, des points de référence limite (PRL) seront requis pour tous les </w:t>
      </w:r>
      <w:r w:rsidR="009009E6" w:rsidRPr="00B9753B">
        <w:t>grands</w:t>
      </w:r>
      <w:r w:rsidRPr="00B9753B">
        <w:t xml:space="preserve"> stocks de poissons </w:t>
      </w:r>
      <w:r w:rsidR="00B9753B" w:rsidRPr="00B9753B">
        <w:t>prescrits</w:t>
      </w:r>
      <w:r w:rsidRPr="00B9753B">
        <w:t xml:space="preserve"> par règlement. </w:t>
      </w:r>
      <w:r w:rsidR="009009E6" w:rsidRPr="00B9753B">
        <w:t xml:space="preserve">Si un grand </w:t>
      </w:r>
      <w:r w:rsidRPr="00B9753B">
        <w:t xml:space="preserve">stock </w:t>
      </w:r>
      <w:r w:rsidR="009009E6" w:rsidRPr="00B9753B">
        <w:t xml:space="preserve">de poisson </w:t>
      </w:r>
      <w:r w:rsidRPr="00B9753B">
        <w:t xml:space="preserve">tombe sous </w:t>
      </w:r>
      <w:r w:rsidR="009009E6" w:rsidRPr="00B9753B">
        <w:t>son</w:t>
      </w:r>
      <w:r w:rsidRPr="00B9753B">
        <w:t xml:space="preserve"> PRL</w:t>
      </w:r>
      <w:r w:rsidR="009009E6" w:rsidRPr="00B9753B">
        <w:t>, il fau</w:t>
      </w:r>
      <w:r w:rsidR="00F65738">
        <w:t>dra</w:t>
      </w:r>
      <w:r w:rsidR="009009E6" w:rsidRPr="00B9753B">
        <w:t xml:space="preserve"> élaborer </w:t>
      </w:r>
      <w:r w:rsidRPr="00B9753B">
        <w:t xml:space="preserve">un plan de </w:t>
      </w:r>
      <w:r w:rsidRPr="0098711A">
        <w:t>rétablissement. Pour le</w:t>
      </w:r>
      <w:r w:rsidR="009009E6" w:rsidRPr="0098711A">
        <w:t>s</w:t>
      </w:r>
      <w:r w:rsidRPr="0098711A">
        <w:t xml:space="preserve"> saumon</w:t>
      </w:r>
      <w:r w:rsidR="009009E6" w:rsidRPr="0098711A">
        <w:t>s</w:t>
      </w:r>
      <w:r w:rsidRPr="0098711A">
        <w:t xml:space="preserve"> du Pacifique, on prévoit qu’il y aura plus de 65 grands stocks de poissons (ou </w:t>
      </w:r>
      <w:r w:rsidR="0098711A" w:rsidRPr="0098711A">
        <w:t>unités</w:t>
      </w:r>
      <w:r w:rsidRPr="0098711A">
        <w:t xml:space="preserve"> de gestion des stocks, </w:t>
      </w:r>
      <w:r w:rsidR="0098711A" w:rsidRPr="0098711A">
        <w:t>U</w:t>
      </w:r>
      <w:r w:rsidRPr="0098711A">
        <w:t>GS)</w:t>
      </w:r>
      <w:r w:rsidR="0098711A" w:rsidRPr="0098711A">
        <w:t>. L</w:t>
      </w:r>
      <w:r w:rsidRPr="0098711A">
        <w:t xml:space="preserve">a définition fonctionnelle proposée </w:t>
      </w:r>
      <w:r w:rsidR="0098711A" w:rsidRPr="0098711A">
        <w:t xml:space="preserve">pour </w:t>
      </w:r>
      <w:r w:rsidRPr="0098711A">
        <w:t xml:space="preserve">une </w:t>
      </w:r>
      <w:r w:rsidR="0098711A" w:rsidRPr="0098711A">
        <w:t>U</w:t>
      </w:r>
      <w:r w:rsidRPr="0098711A">
        <w:t xml:space="preserve">GS est </w:t>
      </w:r>
      <w:r w:rsidR="0098711A" w:rsidRPr="0098711A">
        <w:t xml:space="preserve">la suivante : </w:t>
      </w:r>
      <w:r w:rsidRPr="0098711A">
        <w:t>une</w:t>
      </w:r>
      <w:r>
        <w:t xml:space="preserve"> ou plusieurs unités de conservation (UC) </w:t>
      </w:r>
      <w:r w:rsidR="00F65738">
        <w:t xml:space="preserve">telles que </w:t>
      </w:r>
      <w:r>
        <w:t>définies dans la Politique concernant le saumon sauvage (PSS) qui sont gérées conjointement avec l’objectif d’atteindre un état commun. Les PRL n’ont pas encore été élaborés à l’échelle de l</w:t>
      </w:r>
      <w:r w:rsidR="0098711A">
        <w:t>’UGS</w:t>
      </w:r>
      <w:r>
        <w:t xml:space="preserve"> pour le</w:t>
      </w:r>
      <w:r w:rsidR="009009E6">
        <w:t>s</w:t>
      </w:r>
      <w:r>
        <w:t xml:space="preserve"> saumon</w:t>
      </w:r>
      <w:r w:rsidR="009009E6">
        <w:t>s</w:t>
      </w:r>
      <w:r>
        <w:t xml:space="preserve"> du Pacifique. Le présent document de travail résume l’application des méthodes d’estimation des PRL </w:t>
      </w:r>
      <w:r w:rsidR="0098711A">
        <w:t>pour</w:t>
      </w:r>
      <w:r>
        <w:t xml:space="preserve"> trois </w:t>
      </w:r>
      <w:r w:rsidR="0098711A">
        <w:t>UGS</w:t>
      </w:r>
      <w:r>
        <w:t xml:space="preserve"> dans le cadre d’études de cas sur </w:t>
      </w:r>
      <w:r w:rsidR="009009E6">
        <w:t>des</w:t>
      </w:r>
      <w:r>
        <w:t xml:space="preserve"> saumon</w:t>
      </w:r>
      <w:r w:rsidR="009009E6">
        <w:t>s</w:t>
      </w:r>
      <w:r>
        <w:t xml:space="preserve"> du Pacifique. Ces applications ont servi à éclairer l’élaboration de lignes directrices </w:t>
      </w:r>
      <w:r w:rsidR="00F65738">
        <w:t>concernant</w:t>
      </w:r>
      <w:r>
        <w:t xml:space="preserve"> la détermination des PRL pour le</w:t>
      </w:r>
      <w:r w:rsidR="009009E6">
        <w:t>s</w:t>
      </w:r>
      <w:r>
        <w:t xml:space="preserve"> saumon</w:t>
      </w:r>
      <w:r w:rsidR="009009E6">
        <w:t>s</w:t>
      </w:r>
      <w:r>
        <w:t xml:space="preserve"> du Pacifique, qui sont présenté</w:t>
      </w:r>
      <w:r w:rsidR="00F65738">
        <w:t>e</w:t>
      </w:r>
      <w:r>
        <w:t>s dans le document d’accompagnement</w:t>
      </w:r>
      <w:r w:rsidR="009009E6">
        <w:t xml:space="preserve"> préparé</w:t>
      </w:r>
      <w:r>
        <w:t xml:space="preserve"> par </w:t>
      </w:r>
      <w:r w:rsidRPr="000B3313">
        <w:rPr>
          <w:highlight w:val="darkGray"/>
          <w:shd w:val="clear" w:color="auto" w:fill="A6A6A6" w:themeFill="background1" w:themeFillShade="A6"/>
        </w:rPr>
        <w:t>@holtGuidelinesDefiningLimitInpress</w:t>
      </w:r>
      <w:r>
        <w:t xml:space="preserve">.  </w:t>
      </w:r>
    </w:p>
    <w:p w14:paraId="493B4C10" w14:textId="77777777" w:rsidR="005B7B36" w:rsidRDefault="005B7B36" w:rsidP="005B7B36"/>
    <w:p w14:paraId="02E1E28D" w14:textId="30074875" w:rsidR="005B7B36" w:rsidRDefault="005B7B36" w:rsidP="00AA4987">
      <w:r>
        <w:t xml:space="preserve">Bien que </w:t>
      </w:r>
      <w:r w:rsidR="009009E6">
        <w:t>d</w:t>
      </w:r>
      <w:r>
        <w:t>es PRL soient requis à l’échelle de l</w:t>
      </w:r>
      <w:r w:rsidR="0098711A">
        <w:t>’UGS</w:t>
      </w:r>
      <w:r w:rsidR="009009E6" w:rsidRPr="009009E6">
        <w:t xml:space="preserve"> </w:t>
      </w:r>
      <w:r w:rsidR="009009E6">
        <w:t>en vertu de la *</w:t>
      </w:r>
      <w:r w:rsidR="009009E6">
        <w:rPr>
          <w:i/>
          <w:iCs/>
        </w:rPr>
        <w:t>Loi sur les pêches</w:t>
      </w:r>
      <w:r w:rsidR="009009E6">
        <w:t>*</w:t>
      </w:r>
      <w:r>
        <w:t>, l</w:t>
      </w:r>
      <w:r w:rsidR="00F65738">
        <w:t>a</w:t>
      </w:r>
      <w:r>
        <w:t xml:space="preserve"> su</w:t>
      </w:r>
      <w:r w:rsidR="00F65738">
        <w:t xml:space="preserve">rveillance </w:t>
      </w:r>
      <w:r>
        <w:t>et la gestion prévu</w:t>
      </w:r>
      <w:r w:rsidR="00F65738">
        <w:t>e</w:t>
      </w:r>
      <w:r>
        <w:t xml:space="preserve">s </w:t>
      </w:r>
      <w:r w:rsidR="009009E6">
        <w:t>par</w:t>
      </w:r>
      <w:r>
        <w:t xml:space="preserve"> la </w:t>
      </w:r>
      <w:r w:rsidR="009009E6">
        <w:t>PSS</w:t>
      </w:r>
      <w:r>
        <w:t xml:space="preserve"> du </w:t>
      </w:r>
      <w:r w:rsidR="00F86831">
        <w:t>ministère des Pêches et des Océans (</w:t>
      </w:r>
      <w:r>
        <w:t>MPO</w:t>
      </w:r>
      <w:r w:rsidR="00F86831">
        <w:t>)</w:t>
      </w:r>
      <w:r>
        <w:t xml:space="preserve"> se font à l’échelle plus petite de l’UC. </w:t>
      </w:r>
      <w:r w:rsidR="009009E6">
        <w:t>Dans</w:t>
      </w:r>
      <w:r>
        <w:t xml:space="preserve"> la P</w:t>
      </w:r>
      <w:r w:rsidR="009009E6">
        <w:t>SS</w:t>
      </w:r>
      <w:r>
        <w:t>, une UC est définie comme « </w:t>
      </w:r>
      <w:r w:rsidR="00AA4987">
        <w:t>un groupe de saumon sauvage suffisamment isolé des autres groupes que, s</w:t>
      </w:r>
      <w:r w:rsidR="00F86831">
        <w:t>’</w:t>
      </w:r>
      <w:r w:rsidR="00AA4987">
        <w:t>il venait à disparaître, il est peu probable qu</w:t>
      </w:r>
      <w:r w:rsidR="00F86831">
        <w:t>’</w:t>
      </w:r>
      <w:r w:rsidR="00AA4987">
        <w:t>il puisse être rétabli naturellement dans un certain délai, à savoir une vie humaine ou un nombre spécifique de générations de saumon</w:t>
      </w:r>
      <w:r>
        <w:t> »</w:t>
      </w:r>
      <w:r w:rsidR="00AA4987">
        <w:t xml:space="preserve"> </w:t>
      </w:r>
      <w:r w:rsidRPr="000B3313">
        <w:rPr>
          <w:shd w:val="clear" w:color="auto" w:fill="A6A6A6" w:themeFill="background1" w:themeFillShade="A6"/>
        </w:rPr>
        <w:t>[@dfoCanadaPolicyConservation2005]</w:t>
      </w:r>
      <w:r>
        <w:t xml:space="preserve">. Des méthodes d’évaluation de l’état des UC ont été déterminées pour un éventail de types de données, y compris les méthodes d’évaluation intégrée </w:t>
      </w:r>
      <w:r w:rsidR="00AA4987">
        <w:t>selon</w:t>
      </w:r>
      <w:r>
        <w:t xml:space="preserve"> la P</w:t>
      </w:r>
      <w:r w:rsidR="00AA4987">
        <w:t>SS</w:t>
      </w:r>
      <w:r>
        <w:t xml:space="preserve"> (ci-après appelées « évaluations </w:t>
      </w:r>
      <w:r w:rsidR="00AA4987">
        <w:t>selon</w:t>
      </w:r>
      <w:r>
        <w:t xml:space="preserve"> la PSS ») pour lesquelles on a recours à l’opinion d’experts afin de combiner plusieurs paramètres en une seule estimation de l’état des UC [</w:t>
      </w:r>
      <w:r w:rsidR="00AA4987">
        <w:t>p. ex.</w:t>
      </w:r>
      <w:r>
        <w:t xml:space="preserve">, </w:t>
      </w:r>
      <w:r w:rsidRPr="000B3313">
        <w:rPr>
          <w:shd w:val="clear" w:color="auto" w:fill="A6A6A6" w:themeFill="background1" w:themeFillShade="A6"/>
        </w:rPr>
        <w:t>@grant2017FraserSockeye2020</w:t>
      </w:r>
      <w:r>
        <w:t>]. Les paramètres utilisés pour évaluer l’état des UC selon la P</w:t>
      </w:r>
      <w:r w:rsidR="00AA4987">
        <w:t>SS</w:t>
      </w:r>
      <w:r>
        <w:t xml:space="preserve"> comprennent l’abondance des géniteurs, les tendances à court et à long terme de l’abondance, et la répartition de l’abondance</w:t>
      </w:r>
      <w:r w:rsidR="00AA4987">
        <w:t xml:space="preserve"> </w:t>
      </w:r>
      <w:r w:rsidRPr="000B3313">
        <w:rPr>
          <w:shd w:val="clear" w:color="auto" w:fill="A6A6A6" w:themeFill="background1" w:themeFillShade="A6"/>
        </w:rPr>
        <w:t>[@holtIndicatorsStatusBenchmarks2009</w:t>
      </w:r>
      <w:r>
        <w:rPr>
          <w:shd w:val="clear" w:color="auto" w:fill="A6A6A6" w:themeFill="background1" w:themeFillShade="A6"/>
        </w:rPr>
        <w:t>]</w:t>
      </w:r>
      <w:r>
        <w:t xml:space="preserve">. Les points de référence inférieurs et supérieurs de ces paramètres sont utilisés pour classer l’état dans l’une des trois zones </w:t>
      </w:r>
      <w:r w:rsidR="00AA4987">
        <w:t>(</w:t>
      </w:r>
      <w:r>
        <w:t>verte, ambre et rouge</w:t>
      </w:r>
      <w:r w:rsidR="00AA4987">
        <w:t>)</w:t>
      </w:r>
      <w:r>
        <w:t xml:space="preserve"> qui représentent des populations de plus en plus épuisées nécessitant une intervention de gestion accrue </w:t>
      </w:r>
      <w:r w:rsidRPr="000B3313">
        <w:rPr>
          <w:shd w:val="clear" w:color="auto" w:fill="A6A6A6" w:themeFill="background1" w:themeFillShade="A6"/>
        </w:rPr>
        <w:t>[@dfoCanadaPolicyConservation2005]</w:t>
      </w:r>
      <w:r>
        <w:t xml:space="preserve">. Une description plus complète de ces concepts est présentée dans </w:t>
      </w:r>
      <w:r w:rsidRPr="000B3313">
        <w:rPr>
          <w:highlight w:val="darkGray"/>
        </w:rPr>
        <w:t>@holtGuidelinesDefiningLimitInpress</w:t>
      </w:r>
      <w:r>
        <w:t>.</w:t>
      </w:r>
    </w:p>
    <w:p w14:paraId="2EBCDB71" w14:textId="77777777" w:rsidR="005B7B36" w:rsidRDefault="005B7B36" w:rsidP="005B7B36"/>
    <w:p w14:paraId="1E3B5BF1" w14:textId="55AEA2DB" w:rsidR="005B7B36" w:rsidRDefault="005B7B36" w:rsidP="005B7B36">
      <w:r>
        <w:t>Les PRL sont définis dans l</w:t>
      </w:r>
      <w:r w:rsidR="00AA4987">
        <w:t>e Cadre décisionnel pour les pêches en conformité avec l</w:t>
      </w:r>
      <w:r>
        <w:t xml:space="preserve">’approche de précaution du MPO comme étant </w:t>
      </w:r>
      <w:r w:rsidR="00AA4987" w:rsidRPr="00AA4987">
        <w:t>l’état d’un stock au-dessous duquel il risque de subir de graves dommages</w:t>
      </w:r>
      <w:r>
        <w:t xml:space="preserve"> </w:t>
      </w:r>
      <w:r w:rsidRPr="000B3313">
        <w:rPr>
          <w:shd w:val="clear" w:color="auto" w:fill="A6A6A6" w:themeFill="background1" w:themeFillShade="A6"/>
        </w:rPr>
        <w:t>[@dfoFisheryDecisionmakingFramework2009]</w:t>
      </w:r>
      <w:r w:rsidRPr="000B3313">
        <w:t>.</w:t>
      </w:r>
      <w:r>
        <w:t xml:space="preserve"> Bien que les PRL soient souvent fondés sur des paramètres directement liés à la productivité, comme la biomasse du stock reproducteur ou </w:t>
      </w:r>
      <w:r w:rsidR="005C3BAD">
        <w:t xml:space="preserve">le taux </w:t>
      </w:r>
      <w:r>
        <w:t>de mortalité par pêche, le type de paramètre utilisé pour définir un PRL peut varier selon l</w:t>
      </w:r>
      <w:r w:rsidR="00AA4987">
        <w:t>’</w:t>
      </w:r>
      <w:r>
        <w:t>espèce et le type de donnée, et peut être lié à d’autres caractéristiques d</w:t>
      </w:r>
      <w:r w:rsidR="00AA4987">
        <w:t>u</w:t>
      </w:r>
      <w:r>
        <w:t xml:space="preserve"> stock, le cas échéant. Étant donné que l’UC est l’unité fondamentale de la biodiversité que le MPO vise à maintenir dans le cadre de la P</w:t>
      </w:r>
      <w:r w:rsidR="00AA4987">
        <w:t>SS</w:t>
      </w:r>
      <w:r>
        <w:t>, il s’ensuit que les paramètres utilisés pour établir les PRL pour le</w:t>
      </w:r>
      <w:r w:rsidR="00AA4987">
        <w:t>s</w:t>
      </w:r>
      <w:r>
        <w:t xml:space="preserve"> saumon</w:t>
      </w:r>
      <w:r w:rsidR="00AA4987">
        <w:t>s</w:t>
      </w:r>
      <w:r>
        <w:t xml:space="preserve"> du Pacifique doivent être liés à l’état des UC </w:t>
      </w:r>
      <w:r w:rsidR="00AA4987">
        <w:t>qui font partie d’</w:t>
      </w:r>
      <w:r>
        <w:t xml:space="preserve">une </w:t>
      </w:r>
      <w:r w:rsidR="0098711A">
        <w:t>UGS</w:t>
      </w:r>
      <w:r>
        <w:t xml:space="preserve">. Dans notre document d’accompagnement </w:t>
      </w:r>
      <w:r w:rsidRPr="000B3313">
        <w:rPr>
          <w:shd w:val="clear" w:color="auto" w:fill="A6A6A6" w:themeFill="background1" w:themeFillShade="A6"/>
        </w:rPr>
        <w:t>[@holtGuidelinesDefiningLimitInpress]</w:t>
      </w:r>
      <w:r>
        <w:t xml:space="preserve">, nous affirmons que le maintien de l’abondance des géniteurs à </w:t>
      </w:r>
      <w:r>
        <w:lastRenderedPageBreak/>
        <w:t xml:space="preserve">l’échelle de l’UC au-dessus des niveaux qui causeraient des dommages </w:t>
      </w:r>
      <w:r w:rsidR="00AA4987">
        <w:t>graves</w:t>
      </w:r>
      <w:r>
        <w:t xml:space="preserve"> est la principale exigence biologique pour les PRL d</w:t>
      </w:r>
      <w:r w:rsidR="00AA4987">
        <w:t>e</w:t>
      </w:r>
      <w:r w:rsidR="000C3954">
        <w:t>s</w:t>
      </w:r>
      <w:r>
        <w:t xml:space="preserve"> saumon</w:t>
      </w:r>
      <w:r w:rsidR="000C3954">
        <w:t>s</w:t>
      </w:r>
      <w:r>
        <w:t xml:space="preserve"> du Pacifique.</w:t>
      </w:r>
    </w:p>
    <w:p w14:paraId="6642E784" w14:textId="77777777" w:rsidR="005B7B36" w:rsidRDefault="005B7B36" w:rsidP="005B7B36"/>
    <w:p w14:paraId="2FB8B149" w14:textId="77777777" w:rsidR="005B7B36" w:rsidRDefault="005B7B36" w:rsidP="005B7B36"/>
    <w:p w14:paraId="5B75FA6F" w14:textId="3A5760DC" w:rsidR="005B7B36" w:rsidRDefault="005B7B36" w:rsidP="005B7B36">
      <w:r>
        <w:t>Les objectifs précis de ce document de travail sont les suivants</w:t>
      </w:r>
      <w:r w:rsidR="000C3954">
        <w:t>.</w:t>
      </w:r>
    </w:p>
    <w:p w14:paraId="58156803" w14:textId="77777777" w:rsidR="005B7B36" w:rsidRDefault="005B7B36" w:rsidP="005B7B36"/>
    <w:p w14:paraId="48442650" w14:textId="59F46738" w:rsidR="005B7B36" w:rsidRDefault="005B7B36" w:rsidP="005B7B36">
      <w:r>
        <w:t xml:space="preserve">– Appliquer les méthodes proposées pour déterminer les PRL </w:t>
      </w:r>
      <w:r w:rsidR="000C3954">
        <w:t>dans le cadre d’</w:t>
      </w:r>
      <w:r>
        <w:t xml:space="preserve">études de cas sur </w:t>
      </w:r>
      <w:r w:rsidR="000C3954">
        <w:t>d</w:t>
      </w:r>
      <w:r>
        <w:t xml:space="preserve">es saumons du Pacifique pour un éventail de types et de </w:t>
      </w:r>
      <w:r w:rsidR="005C3BAD">
        <w:t>quantités</w:t>
      </w:r>
      <w:r>
        <w:t xml:space="preserve"> de données</w:t>
      </w:r>
      <w:r w:rsidR="000C3954">
        <w:t>.</w:t>
      </w:r>
    </w:p>
    <w:p w14:paraId="797EA220" w14:textId="21FDB11A" w:rsidR="005B7B36" w:rsidRDefault="005B7B36" w:rsidP="005B7B36">
      <w:r>
        <w:t xml:space="preserve">– Évaluer les méthodes </w:t>
      </w:r>
      <w:r w:rsidR="000C3954">
        <w:t>de détermination</w:t>
      </w:r>
      <w:r>
        <w:t xml:space="preserve"> des PRL à l’aide d’une combinaison d’analyses de sensibilité fondées sur les principaux paramètres et hypothèses et, si possible, d’analyses rétrospectives.</w:t>
      </w:r>
    </w:p>
    <w:p w14:paraId="0A1EA861" w14:textId="77777777" w:rsidR="005B7B36" w:rsidRDefault="005B7B36" w:rsidP="005B7B36"/>
    <w:p w14:paraId="552E435D" w14:textId="77777777" w:rsidR="005B7B36" w:rsidRDefault="005B7B36" w:rsidP="005B7B36">
      <w:r>
        <w:t xml:space="preserve">Une évaluation complète des PRL au moyen d’une simulation en boucle fermée dépasse la portée du projet actuel. Ce type d’évaluation est hautement prioritaire pour les recherches futures. </w:t>
      </w:r>
    </w:p>
    <w:p w14:paraId="6ADB347A" w14:textId="77777777" w:rsidR="005B7B36" w:rsidRDefault="005B7B36" w:rsidP="005B7B36"/>
    <w:p w14:paraId="76792986" w14:textId="6871BC3F" w:rsidR="005B7B36" w:rsidRDefault="005B7B36" w:rsidP="005B7B36">
      <w:r>
        <w:t xml:space="preserve">Les études de cas examinées </w:t>
      </w:r>
      <w:r w:rsidR="000C3954">
        <w:t>sont les suivantes</w:t>
      </w:r>
      <w:r w:rsidR="00FA299F">
        <w:t> :</w:t>
      </w:r>
    </w:p>
    <w:p w14:paraId="213AE79A" w14:textId="579CBF21" w:rsidR="005B7B36" w:rsidRDefault="005B7B36" w:rsidP="005B7B36">
      <w:r>
        <w:t>1)</w:t>
      </w:r>
      <w:r>
        <w:tab/>
      </w:r>
      <w:r w:rsidR="00FA299F">
        <w:t>s</w:t>
      </w:r>
      <w:r>
        <w:t>aumon coho (*</w:t>
      </w:r>
      <w:proofErr w:type="spellStart"/>
      <w:r>
        <w:rPr>
          <w:i/>
          <w:iCs/>
        </w:rPr>
        <w:t>Oncorhynchus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kisutch</w:t>
      </w:r>
      <w:proofErr w:type="spellEnd"/>
      <w:r w:rsidRPr="005C3BAD">
        <w:t>*)</w:t>
      </w:r>
      <w:r w:rsidR="000C3954" w:rsidRPr="005C3BAD">
        <w:t xml:space="preserve"> du Fraser intérieur</w:t>
      </w:r>
      <w:r w:rsidR="00FA299F">
        <w:t>;</w:t>
      </w:r>
    </w:p>
    <w:p w14:paraId="6BD3C467" w14:textId="335D46CE" w:rsidR="005B7B36" w:rsidRDefault="005B7B36" w:rsidP="005B7B36">
      <w:r>
        <w:t>2)</w:t>
      </w:r>
      <w:r>
        <w:tab/>
      </w:r>
      <w:r w:rsidR="00FA299F">
        <w:t>s</w:t>
      </w:r>
      <w:r>
        <w:t xml:space="preserve">aumon </w:t>
      </w:r>
      <w:r w:rsidR="000C3954">
        <w:t>chinook</w:t>
      </w:r>
      <w:r>
        <w:t xml:space="preserve"> (*</w:t>
      </w:r>
      <w:r>
        <w:rPr>
          <w:i/>
          <w:iCs/>
        </w:rPr>
        <w:t xml:space="preserve">O. </w:t>
      </w:r>
      <w:proofErr w:type="spellStart"/>
      <w:r>
        <w:rPr>
          <w:i/>
          <w:iCs/>
        </w:rPr>
        <w:t>tshawytscha</w:t>
      </w:r>
      <w:proofErr w:type="spellEnd"/>
      <w:r>
        <w:t xml:space="preserve">*) </w:t>
      </w:r>
      <w:r w:rsidR="000C3954">
        <w:t>de la côte ouest de l’île de Vancouver (COIV)</w:t>
      </w:r>
      <w:r w:rsidR="00FA299F">
        <w:t>;</w:t>
      </w:r>
    </w:p>
    <w:p w14:paraId="36228BDE" w14:textId="026ABFD7" w:rsidR="005B7B36" w:rsidRPr="005B2D46" w:rsidRDefault="005B7B36" w:rsidP="005B7B36">
      <w:r>
        <w:t>3)</w:t>
      </w:r>
      <w:r>
        <w:tab/>
      </w:r>
      <w:r w:rsidR="00FA299F">
        <w:t>s</w:t>
      </w:r>
      <w:r>
        <w:t xml:space="preserve">aumon </w:t>
      </w:r>
      <w:proofErr w:type="spellStart"/>
      <w:r>
        <w:t>kéta</w:t>
      </w:r>
      <w:proofErr w:type="spellEnd"/>
      <w:r>
        <w:t xml:space="preserve"> (*</w:t>
      </w:r>
      <w:r>
        <w:rPr>
          <w:i/>
          <w:iCs/>
        </w:rPr>
        <w:t xml:space="preserve">O. </w:t>
      </w:r>
      <w:proofErr w:type="spellStart"/>
      <w:r w:rsidRPr="005B2D46">
        <w:rPr>
          <w:i/>
          <w:iCs/>
        </w:rPr>
        <w:t>keta</w:t>
      </w:r>
      <w:proofErr w:type="spellEnd"/>
      <w:r w:rsidRPr="005B2D46">
        <w:t>*)</w:t>
      </w:r>
      <w:r w:rsidR="000C3954" w:rsidRPr="005B2D46">
        <w:t xml:space="preserve"> de la côte sud</w:t>
      </w:r>
      <w:r w:rsidR="00370E2A">
        <w:t xml:space="preserve"> intérieure,</w:t>
      </w:r>
      <w:r w:rsidRPr="005B2D46">
        <w:t xml:space="preserve"> </w:t>
      </w:r>
      <w:r w:rsidR="000C3954" w:rsidRPr="005B2D46">
        <w:t>à l’exclusion</w:t>
      </w:r>
      <w:r w:rsidRPr="005B2D46">
        <w:t xml:space="preserve"> </w:t>
      </w:r>
      <w:r w:rsidR="000C3954" w:rsidRPr="005B2D46">
        <w:t>d</w:t>
      </w:r>
      <w:r w:rsidR="00B41E82">
        <w:t>e</w:t>
      </w:r>
      <w:r w:rsidR="00370E2A">
        <w:t xml:space="preserve">s UC </w:t>
      </w:r>
      <w:r w:rsidRPr="005B2D46">
        <w:t>du fleuve Fraser</w:t>
      </w:r>
      <w:r w:rsidR="00FA299F">
        <w:t>.</w:t>
      </w:r>
    </w:p>
    <w:p w14:paraId="665CA594" w14:textId="77777777" w:rsidR="005B7B36" w:rsidRPr="005B2D46" w:rsidRDefault="005B7B36" w:rsidP="005B7B36"/>
    <w:p w14:paraId="0B49081E" w14:textId="3AF611B6" w:rsidR="005B7B36" w:rsidRDefault="005B7B36" w:rsidP="005B7B36">
      <w:r w:rsidRPr="005B2D46">
        <w:t xml:space="preserve">Chacune de ces </w:t>
      </w:r>
      <w:r w:rsidR="0098711A" w:rsidRPr="005B2D46">
        <w:t>UGS</w:t>
      </w:r>
      <w:r w:rsidRPr="005B2D46">
        <w:t xml:space="preserve"> est composée de trois à sept UC et a été sélectionnée pour représenter un niveau différent de </w:t>
      </w:r>
      <w:r w:rsidR="005C3BAD" w:rsidRPr="005B2D46">
        <w:t>quantité</w:t>
      </w:r>
      <w:r w:rsidRPr="005B2D46">
        <w:t xml:space="preserve"> des données,</w:t>
      </w:r>
      <w:r w:rsidR="005C3BAD" w:rsidRPr="005B2D46">
        <w:t xml:space="preserve"> allant</w:t>
      </w:r>
      <w:r w:rsidRPr="005B2D46">
        <w:t xml:space="preserve"> </w:t>
      </w:r>
      <w:r w:rsidR="005C3BAD" w:rsidRPr="005B2D46">
        <w:t xml:space="preserve">des données </w:t>
      </w:r>
      <w:r w:rsidR="000C3954" w:rsidRPr="005B2D46">
        <w:t xml:space="preserve">abondantes </w:t>
      </w:r>
      <w:r w:rsidRPr="005B2D46">
        <w:t xml:space="preserve">(saumon coho du Fraser intérieur) </w:t>
      </w:r>
      <w:r w:rsidR="005C3BAD" w:rsidRPr="005B2D46">
        <w:t>aux</w:t>
      </w:r>
      <w:r w:rsidRPr="005B2D46">
        <w:t xml:space="preserve"> données limitées (saumon </w:t>
      </w:r>
      <w:proofErr w:type="spellStart"/>
      <w:r w:rsidRPr="005B2D46">
        <w:t>kéta</w:t>
      </w:r>
      <w:proofErr w:type="spellEnd"/>
      <w:r w:rsidRPr="005B2D46">
        <w:t xml:space="preserve"> </w:t>
      </w:r>
      <w:r w:rsidR="000C3954" w:rsidRPr="005B2D46">
        <w:t>de</w:t>
      </w:r>
      <w:r w:rsidR="00370E2A">
        <w:t xml:space="preserve"> </w:t>
      </w:r>
      <w:r w:rsidR="000C3954" w:rsidRPr="005B2D46">
        <w:t>la côte sud</w:t>
      </w:r>
      <w:r w:rsidRPr="005B2D46">
        <w:t xml:space="preserve"> </w:t>
      </w:r>
      <w:r w:rsidR="00370E2A">
        <w:t xml:space="preserve">intérieure </w:t>
      </w:r>
      <w:r w:rsidRPr="005B2D46">
        <w:t xml:space="preserve">et saumon </w:t>
      </w:r>
      <w:r w:rsidR="000C3954" w:rsidRPr="005B2D46">
        <w:t>chinook</w:t>
      </w:r>
      <w:r w:rsidRPr="005B2D46">
        <w:t xml:space="preserve"> de la </w:t>
      </w:r>
      <w:r w:rsidR="000C3954" w:rsidRPr="005B2D46">
        <w:t>COIV</w:t>
      </w:r>
      <w:r w:rsidRPr="005B2D46">
        <w:t>). Pour chaque étude de cas, l’ensemble des méthodes d’estimation des PRL considérées</w:t>
      </w:r>
      <w:r>
        <w:t xml:space="preserve"> dépend des données disponibles et des méthodes d’évaluation déjà mises au point pour l</w:t>
      </w:r>
      <w:r w:rsidR="005C3BAD">
        <w:t>’</w:t>
      </w:r>
      <w:r w:rsidR="0098711A">
        <w:t>UGS</w:t>
      </w:r>
      <w:r>
        <w:t xml:space="preserve">. </w:t>
      </w:r>
    </w:p>
    <w:p w14:paraId="0BC92937" w14:textId="77777777" w:rsidR="00176C9E" w:rsidRDefault="00176C9E" w:rsidP="005B7B36"/>
    <w:p w14:paraId="16B64496" w14:textId="4D823869" w:rsidR="007A5BB6" w:rsidRDefault="000C3954" w:rsidP="005B7B36">
      <w:r>
        <w:t>Ce document présente d</w:t>
      </w:r>
      <w:r w:rsidR="005B7B36">
        <w:t xml:space="preserve">es PRL à titre indicatif seulement et ne vise pas à </w:t>
      </w:r>
      <w:r w:rsidR="005C3BAD">
        <w:t xml:space="preserve">en </w:t>
      </w:r>
      <w:r w:rsidR="005B7B36">
        <w:t>fournir des estimations officielles</w:t>
      </w:r>
      <w:r w:rsidR="005C3BAD">
        <w:t xml:space="preserve">. </w:t>
      </w:r>
      <w:r w:rsidR="005B7B36">
        <w:t>L’élaboration de</w:t>
      </w:r>
      <w:r>
        <w:t>s</w:t>
      </w:r>
      <w:r w:rsidR="005B7B36">
        <w:t xml:space="preserve"> PRL </w:t>
      </w:r>
      <w:r w:rsidR="005C3BAD">
        <w:t>à l’appui</w:t>
      </w:r>
      <w:r w:rsidR="005B7B36">
        <w:t xml:space="preserve"> </w:t>
      </w:r>
      <w:r w:rsidR="005C3BAD">
        <w:t xml:space="preserve">de </w:t>
      </w:r>
      <w:r w:rsidR="005B7B36">
        <w:t>la mise en œuvre de la *</w:t>
      </w:r>
      <w:r w:rsidR="005B7B36">
        <w:rPr>
          <w:i/>
          <w:iCs/>
        </w:rPr>
        <w:t>Loi sur les pêches</w:t>
      </w:r>
      <w:r w:rsidR="005B7B36">
        <w:t xml:space="preserve">* nécessitera un examen plus approfondi des données et des hypothèses </w:t>
      </w:r>
      <w:r>
        <w:t xml:space="preserve">de concert </w:t>
      </w:r>
      <w:r w:rsidR="005B7B36">
        <w:t xml:space="preserve">avec </w:t>
      </w:r>
      <w:r>
        <w:t>d</w:t>
      </w:r>
      <w:r w:rsidR="005B7B36">
        <w:t>es analystes et les partenaires locaux</w:t>
      </w:r>
      <w:r>
        <w:t xml:space="preserve"> concernés</w:t>
      </w:r>
      <w:r w:rsidR="005B7B36">
        <w:t>.</w:t>
      </w:r>
    </w:p>
    <w:sectPr w:rsidR="007A5B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9A7E3" w14:textId="77777777" w:rsidR="00100085" w:rsidRDefault="00100085" w:rsidP="00F86831">
      <w:pPr>
        <w:spacing w:after="0" w:line="240" w:lineRule="auto"/>
      </w:pPr>
      <w:r>
        <w:separator/>
      </w:r>
    </w:p>
  </w:endnote>
  <w:endnote w:type="continuationSeparator" w:id="0">
    <w:p w14:paraId="5D5EDA34" w14:textId="77777777" w:rsidR="00100085" w:rsidRDefault="00100085" w:rsidP="00F86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6769" w14:textId="77777777" w:rsidR="00F86831" w:rsidRDefault="00F8683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09A64" w14:textId="77777777" w:rsidR="00F86831" w:rsidRDefault="00F8683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38458" w14:textId="77777777" w:rsidR="00F86831" w:rsidRDefault="00F8683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65B33" w14:textId="77777777" w:rsidR="00100085" w:rsidRDefault="00100085" w:rsidP="00F86831">
      <w:pPr>
        <w:spacing w:after="0" w:line="240" w:lineRule="auto"/>
      </w:pPr>
      <w:r>
        <w:separator/>
      </w:r>
    </w:p>
  </w:footnote>
  <w:footnote w:type="continuationSeparator" w:id="0">
    <w:p w14:paraId="4864E3BB" w14:textId="77777777" w:rsidR="00100085" w:rsidRDefault="00100085" w:rsidP="00F86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C154" w14:textId="77777777" w:rsidR="00F86831" w:rsidRDefault="00F8683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822DD" w14:textId="77777777" w:rsidR="00F86831" w:rsidRDefault="00F8683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8583A" w14:textId="77777777" w:rsidR="00F86831" w:rsidRDefault="00F8683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B36"/>
    <w:rsid w:val="000A1AB7"/>
    <w:rsid w:val="000B3313"/>
    <w:rsid w:val="000B42E6"/>
    <w:rsid w:val="000C3954"/>
    <w:rsid w:val="000E52A6"/>
    <w:rsid w:val="00100085"/>
    <w:rsid w:val="00176C9E"/>
    <w:rsid w:val="001C2719"/>
    <w:rsid w:val="00370E2A"/>
    <w:rsid w:val="00383685"/>
    <w:rsid w:val="004601EC"/>
    <w:rsid w:val="005B2D46"/>
    <w:rsid w:val="005B7B36"/>
    <w:rsid w:val="005C3BAD"/>
    <w:rsid w:val="006A48C8"/>
    <w:rsid w:val="00762335"/>
    <w:rsid w:val="007A075F"/>
    <w:rsid w:val="007D0A6F"/>
    <w:rsid w:val="008E69F3"/>
    <w:rsid w:val="009009E6"/>
    <w:rsid w:val="0098711A"/>
    <w:rsid w:val="009E34BE"/>
    <w:rsid w:val="00AA4987"/>
    <w:rsid w:val="00B41E82"/>
    <w:rsid w:val="00B9753B"/>
    <w:rsid w:val="00BD1656"/>
    <w:rsid w:val="00C656D4"/>
    <w:rsid w:val="00C95E2E"/>
    <w:rsid w:val="00F65738"/>
    <w:rsid w:val="00F86831"/>
    <w:rsid w:val="00FA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BC79F"/>
  <w15:chartTrackingRefBased/>
  <w15:docId w15:val="{455BD892-60B1-40E9-B8D5-CB04051D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68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6831"/>
  </w:style>
  <w:style w:type="paragraph" w:styleId="Pieddepage">
    <w:name w:val="footer"/>
    <w:basedOn w:val="Normal"/>
    <w:link w:val="PieddepageCar"/>
    <w:uiPriority w:val="99"/>
    <w:unhideWhenUsed/>
    <w:rsid w:val="00F868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6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862</Words>
  <Characters>4747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DFO-MPO</Company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Holt, Kendra</dc:creator>
  <cp:keywords/>
  <dc:description/>
  <cp:lastModifiedBy>Janson, Véronique (SPAC/PSPC)</cp:lastModifiedBy>
  <cp:revision>14</cp:revision>
  <dcterms:created xsi:type="dcterms:W3CDTF">2023-01-04T23:34:00Z</dcterms:created>
  <dcterms:modified xsi:type="dcterms:W3CDTF">2023-03-14T17:56:00Z</dcterms:modified>
</cp:coreProperties>
</file>