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1.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Seeds of the Skipjack Survey and Assessment Programme Spawns the Development of Regional Tuna Fisheries</w:t>
      </w:r>
    </w:p>
    <w:p>
      <w:pPr>
        <w:pStyle w:val="Subtitle"/>
      </w:pPr>
      <w:r>
        <w:t xml:space="preserve">Final Version</w:t>
      </w:r>
    </w:p>
    <w:p>
      <w:pPr>
        <w:pStyle w:val="Author"/>
      </w:pPr>
      <w:r>
        <w:t xml:space="preserve">James Hogan, FAME - SPC</w:t>
      </w:r>
    </w:p>
    <w:p>
      <w:pPr>
        <w:pStyle w:val="Date"/>
      </w:pPr>
      <w:r>
        <w:t xml:space="preserve">20 June 2025</w:t>
      </w:r>
    </w:p>
    <w:p>
      <w:r>
        <w:br w:type="page"/>
      </w:r>
    </w:p>
    <w:bookmarkStart w:id="30" w:name="Xe9a036b7bd22362b36dfde584c7697bfded04df"/>
    <w:p>
      <w:pPr>
        <w:pStyle w:val="Heading3"/>
      </w:pPr>
      <w:r>
        <w:rPr>
          <w:rStyle w:val="SectionNumber"/>
        </w:rPr>
        <w:t xml:space="preserve">0.0.1</w:t>
      </w:r>
      <w:r>
        <w:tab/>
      </w:r>
      <w:r>
        <w:t xml:space="preserve">Skipjack Science Lifting the Pacific Region’s Economic Ceiling</w:t>
      </w:r>
    </w:p>
    <w:p>
      <w:pPr>
        <w:pStyle w:val="FirstParagraph"/>
      </w:pPr>
      <w:r>
        <w:t xml:space="preserve">The Pacific Community (SPC)’s Skipjack Survey and Assessment Programme (SSAP), which ran from 1977 until 1981, measured for the first time the size of the Western and Central Pacific Ocean (WCPO) skipjack tuna stock and laid the foundations for what has become a US$81 billion regional fishing industry.</w:t>
      </w:r>
      <w:r>
        <w:rPr>
          <w:rStyle w:val="FootnoteReference"/>
        </w:rPr>
        <w:footnoteReference w:id="20"/>
      </w:r>
    </w:p>
    <w:p>
      <w:pPr>
        <w:pStyle w:val="BodyText"/>
      </w:pPr>
      <w:r>
        <w:t xml:space="preserve">The Programme, led by Dr Robert (Bob) Kearney, was funded from approximately US$3 million of donor funding, which was 33% of SPC’s total funding at the time. In 1977, SPC was a small organisation which had no previous experience in undertaking such an ambitious piece of advanced applied scientific research. Nor was it organisationally equipped or experienced with undertaking technical work of this size.</w:t>
      </w:r>
    </w:p>
    <w:p>
      <w:pPr>
        <w:pStyle w:val="BodyText"/>
      </w:pPr>
      <w:r>
        <w:t xml:space="preserve">SSAP greatly expanded the world’s knowledge of the biology of skipjack and other tuna species. It quantified for the first time the large size of the skipjack resource in the Western and Central Pacific, estimated at around 3 million tonnes of fishing biomass.</w:t>
      </w:r>
    </w:p>
    <w:p>
      <w:pPr>
        <w:pStyle w:val="BodyText"/>
      </w:pPr>
      <w:r>
        <w:t xml:space="preserve">The value of the 1977 work to Pacific Island countries, producers and consumers has been immense.</w:t>
      </w:r>
    </w:p>
    <w:p>
      <w:pPr>
        <w:pStyle w:val="BodyText"/>
      </w:pPr>
      <w:r>
        <w:t xml:space="preserve">The overwhelming growth in WCPO fishing activity is shown in Figures</w:t>
      </w:r>
      <w:r>
        <w:t xml:space="preserve"> </w:t>
      </w:r>
      <w:r>
        <w:t xml:space="preserve">1</w:t>
      </w:r>
      <w:r>
        <w:t xml:space="preserve"> </w:t>
      </w:r>
      <w:r>
        <w:t xml:space="preserve">and</w:t>
      </w:r>
      <w:r>
        <w:t xml:space="preserve"> </w:t>
      </w:r>
      <w:r>
        <w:t xml:space="preserve">2</w:t>
      </w:r>
      <w:r>
        <w:t xml:space="preserve">.</w:t>
      </w:r>
    </w:p>
    <w:p>
      <w:pPr>
        <w:pStyle w:val="CaptionedFigure"/>
      </w:pPr>
      <w:r>
        <w:drawing>
          <wp:inline>
            <wp:extent cx="5270500" cy="4111932"/>
            <wp:effectExtent b="0" l="0" r="0" t="0"/>
            <wp:docPr descr="Figure 1: Number of Purse Seine Vessels Operating in the WCPO Purse Seine Fishery" title="" id="22" name="Picture"/>
            <a:graphic>
              <a:graphicData uri="http://schemas.openxmlformats.org/drawingml/2006/picture">
                <pic:pic>
                  <pic:nvPicPr>
                    <pic:cNvPr descr="../Graphical_Output/Number_of_Purse_Seine_Vessels_Operating_within_the_WCPFC_NoTitles.png" id="23" name="Picture"/>
                    <pic:cNvPicPr>
                      <a:picLocks noChangeArrowheads="1" noChangeAspect="1"/>
                    </pic:cNvPicPr>
                  </pic:nvPicPr>
                  <pic:blipFill>
                    <a:blip r:embed="rId21"/>
                    <a:stretch>
                      <a:fillRect/>
                    </a:stretch>
                  </pic:blipFill>
                  <pic:spPr bwMode="auto">
                    <a:xfrm>
                      <a:off x="0" y="0"/>
                      <a:ext cx="5270500" cy="4111932"/>
                    </a:xfrm>
                    <a:prstGeom prst="rect">
                      <a:avLst/>
                    </a:prstGeom>
                    <a:noFill/>
                    <a:ln w="9525">
                      <a:noFill/>
                      <a:headEnd/>
                      <a:tailEnd/>
                    </a:ln>
                  </pic:spPr>
                </pic:pic>
              </a:graphicData>
            </a:graphic>
          </wp:inline>
        </w:drawing>
      </w:r>
    </w:p>
    <w:p>
      <w:pPr>
        <w:pStyle w:val="ImageCaption"/>
      </w:pPr>
      <w:bookmarkStart w:id="24" w:name="fig:PurseSeineBoats"/>
      <w:bookmarkEnd w:id="24"/>
      <w:r>
        <w:t xml:space="preserve">Figure 1: Number of Purse Seine Vessels Operating in the WCPO Purse Seine Fishery</w:t>
      </w:r>
    </w:p>
    <w:p>
      <w:pPr>
        <w:pStyle w:val="BodyText"/>
      </w:pPr>
      <w:r>
        <w:t xml:space="preserve">The growth in fishing activity far exceeded any indicative comparative growth rates. Figure</w:t>
      </w:r>
      <w:r>
        <w:t xml:space="preserve"> </w:t>
      </w:r>
      <w:r>
        <w:t xml:space="preserve">1</w:t>
      </w:r>
      <w:r>
        <w:t xml:space="preserve"> </w:t>
      </w:r>
      <w:r>
        <w:t xml:space="preserve">presents comparative growth rates from either:</w:t>
      </w:r>
    </w:p>
    <w:p>
      <w:pPr>
        <w:pStyle w:val="Compact"/>
        <w:numPr>
          <w:ilvl w:val="0"/>
          <w:numId w:val="1001"/>
        </w:numPr>
      </w:pPr>
      <w:r>
        <w:t xml:space="preserve">Pre-SSAP (1972 – 1977) vessel growth rates additively extrapolated into the future, and</w:t>
      </w:r>
    </w:p>
    <w:p>
      <w:pPr>
        <w:pStyle w:val="Compact"/>
        <w:numPr>
          <w:ilvl w:val="0"/>
          <w:numId w:val="1001"/>
        </w:numPr>
      </w:pPr>
      <w:r>
        <w:t xml:space="preserve">Exponential vessel growth rates from between 1977 – 2024.</w:t>
      </w:r>
    </w:p>
    <w:p>
      <w:pPr>
        <w:pStyle w:val="FirstParagraph"/>
      </w:pPr>
      <w:r>
        <w:t xml:space="preserve">Between 1977 and 1980, the number of distant water nation purse seine vessels fishing the WCPO area increased from 15 to 33. Between 1980 and 1982, they had increased again by a further 36 vessels. And in 1983 the total number of purse seine vessels working in the WCPO area became 113.</w:t>
      </w:r>
    </w:p>
    <w:p>
      <w:pPr>
        <w:pStyle w:val="BodyText"/>
      </w:pPr>
      <w:r>
        <w:t xml:space="preserve">Increased fishing activity extracted increasing volumes of mainly skipjack tuna from the WCPO, making the WCPO the overwhelming source of the world’s skipjack tuna supply (Figure</w:t>
      </w:r>
      <w:r>
        <w:t xml:space="preserve"> </w:t>
      </w:r>
      <w:r>
        <w:t xml:space="preserve">2</w:t>
      </w:r>
      <w:r>
        <w:t xml:space="preserve">). While recent annual catches of skipjack tuna are currently amongst the highest ever, the WCPFC scientific advice from the most recent WCPO skipjack tuna stock assessment (2022) continues to show that the stock is currently moderately exploited, and the level of fishing mortality is sustainable; the skipjack tuna stock is not overfished and is not experiencing overfishing.</w:t>
      </w:r>
      <w:r>
        <w:rPr>
          <w:rStyle w:val="FootnoteReference"/>
        </w:rPr>
        <w:footnoteReference w:id="25"/>
      </w:r>
    </w:p>
    <w:p>
      <w:pPr>
        <w:pStyle w:val="CaptionedFigure"/>
      </w:pPr>
      <w:r>
        <w:drawing>
          <wp:inline>
            <wp:extent cx="5270500" cy="4112316"/>
            <wp:effectExtent b="0" l="0" r="0" t="0"/>
            <wp:docPr descr="Figure 2: Global Annual Skipjack Tuna Catch Volumes" title="" id="27" name="Picture"/>
            <a:graphic>
              <a:graphicData uri="http://schemas.openxmlformats.org/drawingml/2006/picture">
                <pic:pic>
                  <pic:nvPicPr>
                    <pic:cNvPr descr="../Graphical_Output/World_Volumes_WithoutTitles.png" id="28" name="Picture"/>
                    <pic:cNvPicPr>
                      <a:picLocks noChangeArrowheads="1" noChangeAspect="1"/>
                    </pic:cNvPicPr>
                  </pic:nvPicPr>
                  <pic:blipFill>
                    <a:blip r:embed="rId26"/>
                    <a:stretch>
                      <a:fillRect/>
                    </a:stretch>
                  </pic:blipFill>
                  <pic:spPr bwMode="auto">
                    <a:xfrm>
                      <a:off x="0" y="0"/>
                      <a:ext cx="5270500" cy="4112316"/>
                    </a:xfrm>
                    <a:prstGeom prst="rect">
                      <a:avLst/>
                    </a:prstGeom>
                    <a:noFill/>
                    <a:ln w="9525">
                      <a:noFill/>
                      <a:headEnd/>
                      <a:tailEnd/>
                    </a:ln>
                  </pic:spPr>
                </pic:pic>
              </a:graphicData>
            </a:graphic>
          </wp:inline>
        </w:drawing>
      </w:r>
    </w:p>
    <w:p>
      <w:pPr>
        <w:pStyle w:val="ImageCaption"/>
      </w:pPr>
      <w:bookmarkStart w:id="29" w:name="fig:WorldVolumes"/>
      <w:bookmarkEnd w:id="29"/>
      <w:r>
        <w:t xml:space="preserve">Figure 2: Global Annual Skipjack Tuna Catch Volumes</w:t>
      </w:r>
    </w:p>
    <w:p>
      <w:r>
        <w:br w:type="page"/>
      </w:r>
    </w:p>
    <w:bookmarkEnd w:id="30"/>
    <w:bookmarkStart w:id="33" w:name="the-value-of-harvested-wcpo-skipjack"/>
    <w:p>
      <w:pPr>
        <w:pStyle w:val="Heading3"/>
      </w:pPr>
      <w:r>
        <w:rPr>
          <w:rStyle w:val="SectionNumber"/>
        </w:rPr>
        <w:t xml:space="preserve">0.0.2</w:t>
      </w:r>
      <w:r>
        <w:tab/>
      </w:r>
      <w:r>
        <w:t xml:space="preserve">The Value of Harvested WCPO Skipjack</w:t>
      </w:r>
    </w:p>
    <w:p>
      <w:pPr>
        <w:pStyle w:val="FirstParagraph"/>
      </w:pPr>
      <w:r>
        <w:t xml:space="preserve">The Pacific Islands Forum Fisheries Agency (FFA) estimates the value of skipjack tuna extracted from the WCPO.</w:t>
      </w:r>
      <w:r>
        <w:rPr>
          <w:rStyle w:val="FootnoteReference"/>
        </w:rPr>
        <w:footnoteReference w:id="31"/>
      </w:r>
      <w:r>
        <w:t xml:space="preserve"> </w:t>
      </w:r>
      <w:r>
        <w:t xml:space="preserve">Unfortunately, value information prior to 1997 is unavailable, so the FFA metrics only provide a partial picture of the value of the fisheries since 1977.</w:t>
      </w:r>
    </w:p>
    <w:p>
      <w:pPr>
        <w:pStyle w:val="TableCaption"/>
      </w:pPr>
      <w:bookmarkStart w:id="32" w:name="tab:PresentValue"/>
      <w:bookmarkEnd w:id="32"/>
      <w:r>
        <w:t xml:space="preserve">Table 1: Present Value of Historical Catch Value for Skipjack Tuna</w:t>
      </w:r>
    </w:p>
    <w:tbl>
      <w:tblPr>
        <w:tblStyle w:val="Table"/>
        <w:tblW w:type="pct" w:w="5000"/>
        <w:tblLayout w:type="fixed"/>
        <w:tblLook w:firstRow="1" w:lastRow="0" w:firstColumn="0" w:lastColumn="0" w:noHBand="0" w:noVBand="0" w:val="0020"/>
        <w:tblCaption w:val="Table 1: Present Value of Historical Catch Value for Skipjack Tuna"/>
      </w:tblPr>
      <w:tblGrid>
        <w:gridCol w:w="510"/>
        <w:gridCol w:w="2043"/>
        <w:gridCol w:w="1703"/>
        <w:gridCol w:w="3661"/>
      </w:tblGrid>
      <w:tr>
        <w:trPr>
          <w:tblHeader w:val="on"/>
        </w:trPr>
        <w:tc>
          <w:tcPr/>
          <w:p>
            <w:pPr>
              <w:pStyle w:val="Compact"/>
              <w:jc w:val="left"/>
            </w:pPr>
            <w:r>
              <w:t xml:space="preserve">Year</w:t>
            </w:r>
          </w:p>
        </w:tc>
        <w:tc>
          <w:tcPr/>
          <w:p>
            <w:pPr>
              <w:pStyle w:val="Compact"/>
              <w:jc w:val="center"/>
            </w:pPr>
            <w:r>
              <w:t xml:space="preserve">Volume - Tonnes (Mill)</w:t>
            </w:r>
          </w:p>
        </w:tc>
        <w:tc>
          <w:tcPr/>
          <w:p>
            <w:pPr>
              <w:pStyle w:val="Compact"/>
              <w:jc w:val="center"/>
            </w:pPr>
            <w:r>
              <w:t xml:space="preserve">Value - USD (Mill)</w:t>
            </w:r>
          </w:p>
        </w:tc>
        <w:tc>
          <w:tcPr/>
          <w:p>
            <w:pPr>
              <w:pStyle w:val="Compact"/>
              <w:jc w:val="center"/>
            </w:pPr>
            <w:r>
              <w:t xml:space="preserve">Present Value - USD(Mill) in 2024 Dollars</w:t>
            </w:r>
          </w:p>
        </w:tc>
      </w:tr>
      <w:tr>
        <w:tc>
          <w:tcPr/>
          <w:p>
            <w:pPr>
              <w:pStyle w:val="Compact"/>
              <w:jc w:val="left"/>
            </w:pPr>
            <w:r>
              <w:t xml:space="preserve">1997</w:t>
            </w:r>
          </w:p>
        </w:tc>
        <w:tc>
          <w:tcPr/>
          <w:p>
            <w:pPr>
              <w:pStyle w:val="Compact"/>
              <w:jc w:val="center"/>
            </w:pPr>
            <w:r>
              <w:t xml:space="preserve">932,282</w:t>
            </w:r>
          </w:p>
        </w:tc>
        <w:tc>
          <w:tcPr/>
          <w:p>
            <w:pPr>
              <w:pStyle w:val="Compact"/>
              <w:jc w:val="center"/>
            </w:pPr>
            <w:r>
              <w:t xml:space="preserve">$1,165</w:t>
            </w:r>
          </w:p>
        </w:tc>
        <w:tc>
          <w:tcPr/>
          <w:p>
            <w:pPr>
              <w:pStyle w:val="Compact"/>
              <w:jc w:val="center"/>
            </w:pPr>
            <w:r>
              <w:t xml:space="preserve">$2,665</w:t>
            </w:r>
          </w:p>
        </w:tc>
      </w:tr>
      <w:tr>
        <w:tc>
          <w:tcPr/>
          <w:p>
            <w:pPr>
              <w:pStyle w:val="Compact"/>
              <w:jc w:val="left"/>
            </w:pPr>
            <w:r>
              <w:t xml:space="preserve">1998</w:t>
            </w:r>
          </w:p>
        </w:tc>
        <w:tc>
          <w:tcPr/>
          <w:p>
            <w:pPr>
              <w:pStyle w:val="Compact"/>
              <w:jc w:val="center"/>
            </w:pPr>
            <w:r>
              <w:t xml:space="preserve">1,231,846</w:t>
            </w:r>
          </w:p>
        </w:tc>
        <w:tc>
          <w:tcPr/>
          <w:p>
            <w:pPr>
              <w:pStyle w:val="Compact"/>
              <w:jc w:val="center"/>
            </w:pPr>
            <w:r>
              <w:t xml:space="preserve">$1,363</w:t>
            </w:r>
          </w:p>
        </w:tc>
        <w:tc>
          <w:tcPr/>
          <w:p>
            <w:pPr>
              <w:pStyle w:val="Compact"/>
              <w:jc w:val="center"/>
            </w:pPr>
            <w:r>
              <w:t xml:space="preserve">$3,028</w:t>
            </w:r>
          </w:p>
        </w:tc>
      </w:tr>
      <w:tr>
        <w:tc>
          <w:tcPr/>
          <w:p>
            <w:pPr>
              <w:pStyle w:val="Compact"/>
              <w:jc w:val="left"/>
            </w:pPr>
            <w:r>
              <w:t xml:space="preserve">1999</w:t>
            </w:r>
          </w:p>
        </w:tc>
        <w:tc>
          <w:tcPr/>
          <w:p>
            <w:pPr>
              <w:pStyle w:val="Compact"/>
              <w:jc w:val="center"/>
            </w:pPr>
            <w:r>
              <w:t xml:space="preserve">1,065,034</w:t>
            </w:r>
          </w:p>
        </w:tc>
        <w:tc>
          <w:tcPr/>
          <w:p>
            <w:pPr>
              <w:pStyle w:val="Compact"/>
              <w:jc w:val="center"/>
            </w:pPr>
            <w:r>
              <w:t xml:space="preserve">$910</w:t>
            </w:r>
          </w:p>
        </w:tc>
        <w:tc>
          <w:tcPr/>
          <w:p>
            <w:pPr>
              <w:pStyle w:val="Compact"/>
              <w:jc w:val="center"/>
            </w:pPr>
            <w:r>
              <w:t xml:space="preserve">$1,962</w:t>
            </w:r>
          </w:p>
        </w:tc>
      </w:tr>
      <w:tr>
        <w:tc>
          <w:tcPr/>
          <w:p>
            <w:pPr>
              <w:pStyle w:val="Compact"/>
              <w:jc w:val="left"/>
            </w:pPr>
            <w:r>
              <w:t xml:space="preserve">2000</w:t>
            </w:r>
          </w:p>
        </w:tc>
        <w:tc>
          <w:tcPr/>
          <w:p>
            <w:pPr>
              <w:pStyle w:val="Compact"/>
              <w:jc w:val="center"/>
            </w:pPr>
            <w:r>
              <w:t xml:space="preserve">1,185,027</w:t>
            </w:r>
          </w:p>
        </w:tc>
        <w:tc>
          <w:tcPr/>
          <w:p>
            <w:pPr>
              <w:pStyle w:val="Compact"/>
              <w:jc w:val="center"/>
            </w:pPr>
            <w:r>
              <w:t xml:space="preserve">$808</w:t>
            </w:r>
          </w:p>
        </w:tc>
        <w:tc>
          <w:tcPr/>
          <w:p>
            <w:pPr>
              <w:pStyle w:val="Compact"/>
              <w:jc w:val="center"/>
            </w:pPr>
            <w:r>
              <w:t xml:space="preserve">$1,692</w:t>
            </w:r>
          </w:p>
        </w:tc>
      </w:tr>
      <w:tr>
        <w:tc>
          <w:tcPr/>
          <w:p>
            <w:pPr>
              <w:pStyle w:val="Compact"/>
              <w:jc w:val="left"/>
            </w:pPr>
            <w:r>
              <w:t xml:space="preserve">2001</w:t>
            </w:r>
          </w:p>
        </w:tc>
        <w:tc>
          <w:tcPr/>
          <w:p>
            <w:pPr>
              <w:pStyle w:val="Compact"/>
              <w:jc w:val="center"/>
            </w:pPr>
            <w:r>
              <w:t xml:space="preserve">1,090,578</w:t>
            </w:r>
          </w:p>
        </w:tc>
        <w:tc>
          <w:tcPr/>
          <w:p>
            <w:pPr>
              <w:pStyle w:val="Compact"/>
              <w:jc w:val="center"/>
            </w:pPr>
            <w:r>
              <w:t xml:space="preserve">$933</w:t>
            </w:r>
          </w:p>
        </w:tc>
        <w:tc>
          <w:tcPr/>
          <w:p>
            <w:pPr>
              <w:pStyle w:val="Compact"/>
              <w:jc w:val="center"/>
            </w:pPr>
            <w:r>
              <w:t xml:space="preserve">$1,897</w:t>
            </w:r>
          </w:p>
        </w:tc>
      </w:tr>
      <w:tr>
        <w:tc>
          <w:tcPr/>
          <w:p>
            <w:pPr>
              <w:pStyle w:val="Compact"/>
              <w:jc w:val="left"/>
            </w:pPr>
            <w:r>
              <w:t xml:space="preserve">2002</w:t>
            </w:r>
          </w:p>
        </w:tc>
        <w:tc>
          <w:tcPr/>
          <w:p>
            <w:pPr>
              <w:pStyle w:val="Compact"/>
              <w:jc w:val="center"/>
            </w:pPr>
            <w:r>
              <w:t xml:space="preserve">1,240,715</w:t>
            </w:r>
          </w:p>
        </w:tc>
        <w:tc>
          <w:tcPr/>
          <w:p>
            <w:pPr>
              <w:pStyle w:val="Compact"/>
              <w:jc w:val="center"/>
            </w:pPr>
            <w:r>
              <w:t xml:space="preserve">$1,008</w:t>
            </w:r>
          </w:p>
        </w:tc>
        <w:tc>
          <w:tcPr/>
          <w:p>
            <w:pPr>
              <w:pStyle w:val="Compact"/>
              <w:jc w:val="center"/>
            </w:pPr>
            <w:r>
              <w:t xml:space="preserve">$1,989</w:t>
            </w:r>
          </w:p>
        </w:tc>
      </w:tr>
      <w:tr>
        <w:tc>
          <w:tcPr/>
          <w:p>
            <w:pPr>
              <w:pStyle w:val="Compact"/>
              <w:jc w:val="left"/>
            </w:pPr>
            <w:r>
              <w:t xml:space="preserve">2003</w:t>
            </w:r>
          </w:p>
        </w:tc>
        <w:tc>
          <w:tcPr/>
          <w:p>
            <w:pPr>
              <w:pStyle w:val="Compact"/>
              <w:jc w:val="center"/>
            </w:pPr>
            <w:r>
              <w:t xml:space="preserve">1,233,581</w:t>
            </w:r>
          </w:p>
        </w:tc>
        <w:tc>
          <w:tcPr/>
          <w:p>
            <w:pPr>
              <w:pStyle w:val="Compact"/>
              <w:jc w:val="center"/>
            </w:pPr>
            <w:r>
              <w:t xml:space="preserve">$941</w:t>
            </w:r>
          </w:p>
        </w:tc>
        <w:tc>
          <w:tcPr/>
          <w:p>
            <w:pPr>
              <w:pStyle w:val="Compact"/>
              <w:jc w:val="center"/>
            </w:pPr>
            <w:r>
              <w:t xml:space="preserve">$1,803</w:t>
            </w:r>
          </w:p>
        </w:tc>
      </w:tr>
      <w:tr>
        <w:tc>
          <w:tcPr/>
          <w:p>
            <w:pPr>
              <w:pStyle w:val="Compact"/>
              <w:jc w:val="left"/>
            </w:pPr>
            <w:r>
              <w:t xml:space="preserve">2004</w:t>
            </w:r>
          </w:p>
        </w:tc>
        <w:tc>
          <w:tcPr/>
          <w:p>
            <w:pPr>
              <w:pStyle w:val="Compact"/>
              <w:jc w:val="center"/>
            </w:pPr>
            <w:r>
              <w:t xml:space="preserve">1,354,275</w:t>
            </w:r>
          </w:p>
        </w:tc>
        <w:tc>
          <w:tcPr/>
          <w:p>
            <w:pPr>
              <w:pStyle w:val="Compact"/>
              <w:jc w:val="center"/>
            </w:pPr>
            <w:r>
              <w:t xml:space="preserve">$1,264</w:t>
            </w:r>
          </w:p>
        </w:tc>
        <w:tc>
          <w:tcPr/>
          <w:p>
            <w:pPr>
              <w:pStyle w:val="Compact"/>
              <w:jc w:val="center"/>
            </w:pPr>
            <w:r>
              <w:t xml:space="preserve">$2,351</w:t>
            </w:r>
          </w:p>
        </w:tc>
      </w:tr>
      <w:tr>
        <w:tc>
          <w:tcPr/>
          <w:p>
            <w:pPr>
              <w:pStyle w:val="Compact"/>
              <w:jc w:val="left"/>
            </w:pPr>
            <w:r>
              <w:t xml:space="preserve">2005</w:t>
            </w:r>
          </w:p>
        </w:tc>
        <w:tc>
          <w:tcPr/>
          <w:p>
            <w:pPr>
              <w:pStyle w:val="Compact"/>
              <w:jc w:val="center"/>
            </w:pPr>
            <w:r>
              <w:t xml:space="preserve">1,412,953</w:t>
            </w:r>
          </w:p>
        </w:tc>
        <w:tc>
          <w:tcPr/>
          <w:p>
            <w:pPr>
              <w:pStyle w:val="Compact"/>
              <w:jc w:val="center"/>
            </w:pPr>
            <w:r>
              <w:t xml:space="preserve">$1,288</w:t>
            </w:r>
          </w:p>
        </w:tc>
        <w:tc>
          <w:tcPr/>
          <w:p>
            <w:pPr>
              <w:pStyle w:val="Compact"/>
              <w:jc w:val="center"/>
            </w:pPr>
            <w:r>
              <w:t xml:space="preserve">$2,326</w:t>
            </w:r>
          </w:p>
        </w:tc>
      </w:tr>
      <w:tr>
        <w:tc>
          <w:tcPr/>
          <w:p>
            <w:pPr>
              <w:pStyle w:val="Compact"/>
              <w:jc w:val="left"/>
            </w:pPr>
            <w:r>
              <w:t xml:space="preserve">2006</w:t>
            </w:r>
          </w:p>
        </w:tc>
        <w:tc>
          <w:tcPr/>
          <w:p>
            <w:pPr>
              <w:pStyle w:val="Compact"/>
              <w:jc w:val="center"/>
            </w:pPr>
            <w:r>
              <w:t xml:space="preserve">1,483,161</w:t>
            </w:r>
          </w:p>
        </w:tc>
        <w:tc>
          <w:tcPr/>
          <w:p>
            <w:pPr>
              <w:pStyle w:val="Compact"/>
              <w:jc w:val="center"/>
            </w:pPr>
            <w:r>
              <w:t xml:space="preserve">$1,468</w:t>
            </w:r>
          </w:p>
        </w:tc>
        <w:tc>
          <w:tcPr/>
          <w:p>
            <w:pPr>
              <w:pStyle w:val="Compact"/>
              <w:jc w:val="center"/>
            </w:pPr>
            <w:r>
              <w:t xml:space="preserve">$2,574</w:t>
            </w:r>
          </w:p>
        </w:tc>
      </w:tr>
      <w:tr>
        <w:tc>
          <w:tcPr/>
          <w:p>
            <w:pPr>
              <w:pStyle w:val="Compact"/>
              <w:jc w:val="left"/>
            </w:pPr>
            <w:r>
              <w:t xml:space="preserve">2007</w:t>
            </w:r>
          </w:p>
        </w:tc>
        <w:tc>
          <w:tcPr/>
          <w:p>
            <w:pPr>
              <w:pStyle w:val="Compact"/>
              <w:jc w:val="center"/>
            </w:pPr>
            <w:r>
              <w:t xml:space="preserve">1,672,250</w:t>
            </w:r>
          </w:p>
        </w:tc>
        <w:tc>
          <w:tcPr/>
          <w:p>
            <w:pPr>
              <w:pStyle w:val="Compact"/>
              <w:jc w:val="center"/>
            </w:pPr>
            <w:r>
              <w:t xml:space="preserve">$2,232</w:t>
            </w:r>
          </w:p>
        </w:tc>
        <w:tc>
          <w:tcPr/>
          <w:p>
            <w:pPr>
              <w:pStyle w:val="Compact"/>
              <w:jc w:val="center"/>
            </w:pPr>
            <w:r>
              <w:t xml:space="preserve">$3,800</w:t>
            </w:r>
          </w:p>
        </w:tc>
      </w:tr>
      <w:tr>
        <w:tc>
          <w:tcPr/>
          <w:p>
            <w:pPr>
              <w:pStyle w:val="Compact"/>
              <w:jc w:val="left"/>
            </w:pPr>
            <w:r>
              <w:t xml:space="preserve">2008</w:t>
            </w:r>
          </w:p>
        </w:tc>
        <w:tc>
          <w:tcPr/>
          <w:p>
            <w:pPr>
              <w:pStyle w:val="Compact"/>
              <w:jc w:val="center"/>
            </w:pPr>
            <w:r>
              <w:t xml:space="preserve">1,675,221</w:t>
            </w:r>
          </w:p>
        </w:tc>
        <w:tc>
          <w:tcPr/>
          <w:p>
            <w:pPr>
              <w:pStyle w:val="Compact"/>
              <w:jc w:val="center"/>
            </w:pPr>
            <w:r>
              <w:t xml:space="preserve">$2,928</w:t>
            </w:r>
          </w:p>
        </w:tc>
        <w:tc>
          <w:tcPr/>
          <w:p>
            <w:pPr>
              <w:pStyle w:val="Compact"/>
              <w:jc w:val="center"/>
            </w:pPr>
            <w:r>
              <w:t xml:space="preserve">$4,840</w:t>
            </w:r>
          </w:p>
        </w:tc>
      </w:tr>
      <w:tr>
        <w:tc>
          <w:tcPr/>
          <w:p>
            <w:pPr>
              <w:pStyle w:val="Compact"/>
              <w:jc w:val="left"/>
            </w:pPr>
            <w:r>
              <w:t xml:space="preserve">2009</w:t>
            </w:r>
          </w:p>
        </w:tc>
        <w:tc>
          <w:tcPr/>
          <w:p>
            <w:pPr>
              <w:pStyle w:val="Compact"/>
              <w:jc w:val="center"/>
            </w:pPr>
            <w:r>
              <w:t xml:space="preserve">1,787,387</w:t>
            </w:r>
          </w:p>
        </w:tc>
        <w:tc>
          <w:tcPr/>
          <w:p>
            <w:pPr>
              <w:pStyle w:val="Compact"/>
              <w:jc w:val="center"/>
            </w:pPr>
            <w:r>
              <w:t xml:space="preserve">$2,192</w:t>
            </w:r>
          </w:p>
        </w:tc>
        <w:tc>
          <w:tcPr/>
          <w:p>
            <w:pPr>
              <w:pStyle w:val="Compact"/>
              <w:jc w:val="center"/>
            </w:pPr>
            <w:r>
              <w:t xml:space="preserve">$3,518</w:t>
            </w:r>
          </w:p>
        </w:tc>
      </w:tr>
      <w:tr>
        <w:tc>
          <w:tcPr/>
          <w:p>
            <w:pPr>
              <w:pStyle w:val="Compact"/>
              <w:jc w:val="left"/>
            </w:pPr>
            <w:r>
              <w:t xml:space="preserve">2010</w:t>
            </w:r>
          </w:p>
        </w:tc>
        <w:tc>
          <w:tcPr/>
          <w:p>
            <w:pPr>
              <w:pStyle w:val="Compact"/>
              <w:jc w:val="center"/>
            </w:pPr>
            <w:r>
              <w:t xml:space="preserve">1,684,735</w:t>
            </w:r>
          </w:p>
        </w:tc>
        <w:tc>
          <w:tcPr/>
          <w:p>
            <w:pPr>
              <w:pStyle w:val="Compact"/>
              <w:jc w:val="center"/>
            </w:pPr>
            <w:r>
              <w:t xml:space="preserve">$2,215</w:t>
            </w:r>
          </w:p>
        </w:tc>
        <w:tc>
          <w:tcPr/>
          <w:p>
            <w:pPr>
              <w:pStyle w:val="Compact"/>
              <w:jc w:val="center"/>
            </w:pPr>
            <w:r>
              <w:t xml:space="preserve">$3,451</w:t>
            </w:r>
          </w:p>
        </w:tc>
      </w:tr>
      <w:tr>
        <w:tc>
          <w:tcPr/>
          <w:p>
            <w:pPr>
              <w:pStyle w:val="Compact"/>
              <w:jc w:val="left"/>
            </w:pPr>
            <w:r>
              <w:t xml:space="preserve">2011</w:t>
            </w:r>
          </w:p>
        </w:tc>
        <w:tc>
          <w:tcPr/>
          <w:p>
            <w:pPr>
              <w:pStyle w:val="Compact"/>
              <w:jc w:val="center"/>
            </w:pPr>
            <w:r>
              <w:t xml:space="preserve">1,543,833</w:t>
            </w:r>
          </w:p>
        </w:tc>
        <w:tc>
          <w:tcPr/>
          <w:p>
            <w:pPr>
              <w:pStyle w:val="Compact"/>
              <w:jc w:val="center"/>
            </w:pPr>
            <w:r>
              <w:t xml:space="preserve">$2,669</w:t>
            </w:r>
          </w:p>
        </w:tc>
        <w:tc>
          <w:tcPr/>
          <w:p>
            <w:pPr>
              <w:pStyle w:val="Compact"/>
              <w:jc w:val="center"/>
            </w:pPr>
            <w:r>
              <w:t xml:space="preserve">$4,037</w:t>
            </w:r>
          </w:p>
        </w:tc>
      </w:tr>
      <w:tr>
        <w:tc>
          <w:tcPr/>
          <w:p>
            <w:pPr>
              <w:pStyle w:val="Compact"/>
              <w:jc w:val="left"/>
            </w:pPr>
            <w:r>
              <w:t xml:space="preserve">2012</w:t>
            </w:r>
          </w:p>
        </w:tc>
        <w:tc>
          <w:tcPr/>
          <w:p>
            <w:pPr>
              <w:pStyle w:val="Compact"/>
              <w:jc w:val="center"/>
            </w:pPr>
            <w:r>
              <w:t xml:space="preserve">1,740,139</w:t>
            </w:r>
          </w:p>
        </w:tc>
        <w:tc>
          <w:tcPr/>
          <w:p>
            <w:pPr>
              <w:pStyle w:val="Compact"/>
              <w:jc w:val="center"/>
            </w:pPr>
            <w:r>
              <w:t xml:space="preserve">$3,761</w:t>
            </w:r>
          </w:p>
        </w:tc>
        <w:tc>
          <w:tcPr/>
          <w:p>
            <w:pPr>
              <w:pStyle w:val="Compact"/>
              <w:jc w:val="center"/>
            </w:pPr>
            <w:r>
              <w:t xml:space="preserve">$5,523</w:t>
            </w:r>
          </w:p>
        </w:tc>
      </w:tr>
      <w:tr>
        <w:tc>
          <w:tcPr/>
          <w:p>
            <w:pPr>
              <w:pStyle w:val="Compact"/>
              <w:jc w:val="left"/>
            </w:pPr>
            <w:r>
              <w:t xml:space="preserve">2013</w:t>
            </w:r>
          </w:p>
        </w:tc>
        <w:tc>
          <w:tcPr/>
          <w:p>
            <w:pPr>
              <w:pStyle w:val="Compact"/>
              <w:jc w:val="center"/>
            </w:pPr>
            <w:r>
              <w:t xml:space="preserve">1,849,220</w:t>
            </w:r>
          </w:p>
        </w:tc>
        <w:tc>
          <w:tcPr/>
          <w:p>
            <w:pPr>
              <w:pStyle w:val="Compact"/>
              <w:jc w:val="center"/>
            </w:pPr>
            <w:r>
              <w:t xml:space="preserve">$3,821</w:t>
            </w:r>
          </w:p>
        </w:tc>
        <w:tc>
          <w:tcPr/>
          <w:p>
            <w:pPr>
              <w:pStyle w:val="Compact"/>
              <w:jc w:val="center"/>
            </w:pPr>
            <w:r>
              <w:t xml:space="preserve">$5,448</w:t>
            </w:r>
          </w:p>
        </w:tc>
      </w:tr>
      <w:tr>
        <w:tc>
          <w:tcPr/>
          <w:p>
            <w:pPr>
              <w:pStyle w:val="Compact"/>
              <w:jc w:val="left"/>
            </w:pPr>
            <w:r>
              <w:t xml:space="preserve">2014</w:t>
            </w:r>
          </w:p>
        </w:tc>
        <w:tc>
          <w:tcPr/>
          <w:p>
            <w:pPr>
              <w:pStyle w:val="Compact"/>
              <w:jc w:val="center"/>
            </w:pPr>
            <w:r>
              <w:t xml:space="preserve">1,990,092</w:t>
            </w:r>
          </w:p>
        </w:tc>
        <w:tc>
          <w:tcPr/>
          <w:p>
            <w:pPr>
              <w:pStyle w:val="Compact"/>
              <w:jc w:val="center"/>
            </w:pPr>
            <w:r>
              <w:t xml:space="preserve">$2,927</w:t>
            </w:r>
          </w:p>
        </w:tc>
        <w:tc>
          <w:tcPr/>
          <w:p>
            <w:pPr>
              <w:pStyle w:val="Compact"/>
              <w:jc w:val="center"/>
            </w:pPr>
            <w:r>
              <w:t xml:space="preserve">$4,052</w:t>
            </w:r>
          </w:p>
        </w:tc>
      </w:tr>
      <w:tr>
        <w:tc>
          <w:tcPr/>
          <w:p>
            <w:pPr>
              <w:pStyle w:val="Compact"/>
              <w:jc w:val="left"/>
            </w:pPr>
            <w:r>
              <w:t xml:space="preserve">2015</w:t>
            </w:r>
          </w:p>
        </w:tc>
        <w:tc>
          <w:tcPr/>
          <w:p>
            <w:pPr>
              <w:pStyle w:val="Compact"/>
              <w:jc w:val="center"/>
            </w:pPr>
            <w:r>
              <w:t xml:space="preserve">1,794,079</w:t>
            </w:r>
          </w:p>
        </w:tc>
        <w:tc>
          <w:tcPr/>
          <w:p>
            <w:pPr>
              <w:pStyle w:val="Compact"/>
              <w:jc w:val="center"/>
            </w:pPr>
            <w:r>
              <w:t xml:space="preserve">$2,227</w:t>
            </w:r>
          </w:p>
        </w:tc>
        <w:tc>
          <w:tcPr/>
          <w:p>
            <w:pPr>
              <w:pStyle w:val="Compact"/>
              <w:jc w:val="center"/>
            </w:pPr>
            <w:r>
              <w:t xml:space="preserve">$2,993</w:t>
            </w:r>
          </w:p>
        </w:tc>
      </w:tr>
      <w:tr>
        <w:tc>
          <w:tcPr/>
          <w:p>
            <w:pPr>
              <w:pStyle w:val="Compact"/>
              <w:jc w:val="left"/>
            </w:pPr>
            <w:r>
              <w:t xml:space="preserve">2016</w:t>
            </w:r>
          </w:p>
        </w:tc>
        <w:tc>
          <w:tcPr/>
          <w:p>
            <w:pPr>
              <w:pStyle w:val="Compact"/>
              <w:jc w:val="center"/>
            </w:pPr>
            <w:r>
              <w:t xml:space="preserve">1,795,736</w:t>
            </w:r>
          </w:p>
        </w:tc>
        <w:tc>
          <w:tcPr/>
          <w:p>
            <w:pPr>
              <w:pStyle w:val="Compact"/>
              <w:jc w:val="center"/>
            </w:pPr>
            <w:r>
              <w:t xml:space="preserve">$2,640</w:t>
            </w:r>
          </w:p>
        </w:tc>
        <w:tc>
          <w:tcPr/>
          <w:p>
            <w:pPr>
              <w:pStyle w:val="Compact"/>
              <w:jc w:val="center"/>
            </w:pPr>
            <w:r>
              <w:t xml:space="preserve">$3,445</w:t>
            </w:r>
          </w:p>
        </w:tc>
      </w:tr>
      <w:tr>
        <w:tc>
          <w:tcPr/>
          <w:p>
            <w:pPr>
              <w:pStyle w:val="Compact"/>
              <w:jc w:val="left"/>
            </w:pPr>
            <w:r>
              <w:t xml:space="preserve">2017</w:t>
            </w:r>
          </w:p>
        </w:tc>
        <w:tc>
          <w:tcPr/>
          <w:p>
            <w:pPr>
              <w:pStyle w:val="Compact"/>
              <w:jc w:val="center"/>
            </w:pPr>
            <w:r>
              <w:t xml:space="preserve">1,617,120</w:t>
            </w:r>
          </w:p>
        </w:tc>
        <w:tc>
          <w:tcPr/>
          <w:p>
            <w:pPr>
              <w:pStyle w:val="Compact"/>
              <w:jc w:val="center"/>
            </w:pPr>
            <w:r>
              <w:t xml:space="preserve">$2,975</w:t>
            </w:r>
          </w:p>
        </w:tc>
        <w:tc>
          <w:tcPr/>
          <w:p>
            <w:pPr>
              <w:pStyle w:val="Compact"/>
              <w:jc w:val="center"/>
            </w:pPr>
            <w:r>
              <w:t xml:space="preserve">$3,769</w:t>
            </w:r>
          </w:p>
        </w:tc>
      </w:tr>
      <w:tr>
        <w:tc>
          <w:tcPr/>
          <w:p>
            <w:pPr>
              <w:pStyle w:val="Compact"/>
              <w:jc w:val="left"/>
            </w:pPr>
            <w:r>
              <w:t xml:space="preserve">2018</w:t>
            </w:r>
          </w:p>
        </w:tc>
        <w:tc>
          <w:tcPr/>
          <w:p>
            <w:pPr>
              <w:pStyle w:val="Compact"/>
              <w:jc w:val="center"/>
            </w:pPr>
            <w:r>
              <w:t xml:space="preserve">1,851,653</w:t>
            </w:r>
          </w:p>
        </w:tc>
        <w:tc>
          <w:tcPr/>
          <w:p>
            <w:pPr>
              <w:pStyle w:val="Compact"/>
              <w:jc w:val="center"/>
            </w:pPr>
            <w:r>
              <w:t xml:space="preserve">$3,051</w:t>
            </w:r>
          </w:p>
        </w:tc>
        <w:tc>
          <w:tcPr/>
          <w:p>
            <w:pPr>
              <w:pStyle w:val="Compact"/>
              <w:jc w:val="center"/>
            </w:pPr>
            <w:r>
              <w:t xml:space="preserve">$3,752</w:t>
            </w:r>
          </w:p>
        </w:tc>
      </w:tr>
      <w:tr>
        <w:tc>
          <w:tcPr/>
          <w:p>
            <w:pPr>
              <w:pStyle w:val="Compact"/>
              <w:jc w:val="left"/>
            </w:pPr>
            <w:r>
              <w:t xml:space="preserve">2019</w:t>
            </w:r>
          </w:p>
        </w:tc>
        <w:tc>
          <w:tcPr/>
          <w:p>
            <w:pPr>
              <w:pStyle w:val="Compact"/>
              <w:jc w:val="center"/>
            </w:pPr>
            <w:r>
              <w:t xml:space="preserve">2,041,904</w:t>
            </w:r>
          </w:p>
        </w:tc>
        <w:tc>
          <w:tcPr/>
          <w:p>
            <w:pPr>
              <w:pStyle w:val="Compact"/>
              <w:jc w:val="center"/>
            </w:pPr>
            <w:r>
              <w:t xml:space="preserve">$2,882</w:t>
            </w:r>
          </w:p>
        </w:tc>
        <w:tc>
          <w:tcPr/>
          <w:p>
            <w:pPr>
              <w:pStyle w:val="Compact"/>
              <w:jc w:val="center"/>
            </w:pPr>
            <w:r>
              <w:t xml:space="preserve">$3,441</w:t>
            </w:r>
          </w:p>
        </w:tc>
      </w:tr>
      <w:tr>
        <w:tc>
          <w:tcPr/>
          <w:p>
            <w:pPr>
              <w:pStyle w:val="Compact"/>
              <w:jc w:val="left"/>
            </w:pPr>
            <w:r>
              <w:t xml:space="preserve">2020</w:t>
            </w:r>
          </w:p>
        </w:tc>
        <w:tc>
          <w:tcPr/>
          <w:p>
            <w:pPr>
              <w:pStyle w:val="Compact"/>
              <w:jc w:val="center"/>
            </w:pPr>
            <w:r>
              <w:t xml:space="preserve">1,725,582</w:t>
            </w:r>
          </w:p>
        </w:tc>
        <w:tc>
          <w:tcPr/>
          <w:p>
            <w:pPr>
              <w:pStyle w:val="Compact"/>
              <w:jc w:val="center"/>
            </w:pPr>
            <w:r>
              <w:t xml:space="preserve">$2,439</w:t>
            </w:r>
          </w:p>
        </w:tc>
        <w:tc>
          <w:tcPr/>
          <w:p>
            <w:pPr>
              <w:pStyle w:val="Compact"/>
              <w:jc w:val="center"/>
            </w:pPr>
            <w:r>
              <w:t xml:space="preserve">$2,827</w:t>
            </w:r>
          </w:p>
        </w:tc>
      </w:tr>
      <w:tr>
        <w:tc>
          <w:tcPr/>
          <w:p>
            <w:pPr>
              <w:pStyle w:val="Compact"/>
              <w:jc w:val="left"/>
            </w:pPr>
            <w:r>
              <w:t xml:space="preserve">2021</w:t>
            </w:r>
          </w:p>
        </w:tc>
        <w:tc>
          <w:tcPr/>
          <w:p>
            <w:pPr>
              <w:pStyle w:val="Compact"/>
              <w:jc w:val="center"/>
            </w:pPr>
            <w:r>
              <w:t xml:space="preserve">1,681,243</w:t>
            </w:r>
          </w:p>
        </w:tc>
        <w:tc>
          <w:tcPr/>
          <w:p>
            <w:pPr>
              <w:pStyle w:val="Compact"/>
              <w:jc w:val="center"/>
            </w:pPr>
            <w:r>
              <w:t xml:space="preserve">$2,375</w:t>
            </w:r>
          </w:p>
        </w:tc>
        <w:tc>
          <w:tcPr/>
          <w:p>
            <w:pPr>
              <w:pStyle w:val="Compact"/>
              <w:jc w:val="center"/>
            </w:pPr>
            <w:r>
              <w:t xml:space="preserve">$2,673</w:t>
            </w:r>
          </w:p>
        </w:tc>
      </w:tr>
      <w:tr>
        <w:tc>
          <w:tcPr/>
          <w:p>
            <w:pPr>
              <w:pStyle w:val="Compact"/>
              <w:jc w:val="left"/>
            </w:pPr>
            <w:r>
              <w:t xml:space="preserve">2022</w:t>
            </w:r>
          </w:p>
        </w:tc>
        <w:tc>
          <w:tcPr/>
          <w:p>
            <w:pPr>
              <w:pStyle w:val="Compact"/>
              <w:jc w:val="center"/>
            </w:pPr>
            <w:r>
              <w:t xml:space="preserve">1,724,014</w:t>
            </w:r>
          </w:p>
        </w:tc>
        <w:tc>
          <w:tcPr/>
          <w:p>
            <w:pPr>
              <w:pStyle w:val="Compact"/>
              <w:jc w:val="center"/>
            </w:pPr>
            <w:r>
              <w:t xml:space="preserve">$2,923</w:t>
            </w:r>
          </w:p>
        </w:tc>
        <w:tc>
          <w:tcPr/>
          <w:p>
            <w:pPr>
              <w:pStyle w:val="Compact"/>
              <w:jc w:val="center"/>
            </w:pPr>
            <w:r>
              <w:t xml:space="preserve">$3,194</w:t>
            </w:r>
          </w:p>
        </w:tc>
      </w:tr>
      <w:tr>
        <w:tc>
          <w:tcPr/>
          <w:p>
            <w:pPr>
              <w:pStyle w:val="Compact"/>
              <w:jc w:val="left"/>
            </w:pPr>
            <w:r>
              <w:t xml:space="preserve">2023</w:t>
            </w:r>
          </w:p>
        </w:tc>
        <w:tc>
          <w:tcPr/>
          <w:p>
            <w:pPr>
              <w:pStyle w:val="Compact"/>
              <w:jc w:val="center"/>
            </w:pPr>
            <w:r>
              <w:t xml:space="preserve">1,649,590</w:t>
            </w:r>
          </w:p>
        </w:tc>
        <w:tc>
          <w:tcPr/>
          <w:p>
            <w:pPr>
              <w:pStyle w:val="Compact"/>
              <w:jc w:val="center"/>
            </w:pPr>
            <w:r>
              <w:t xml:space="preserve">$2,984</w:t>
            </w:r>
          </w:p>
        </w:tc>
        <w:tc>
          <w:tcPr/>
          <w:p>
            <w:pPr>
              <w:pStyle w:val="Compact"/>
              <w:jc w:val="center"/>
            </w:pPr>
            <w:r>
              <w:t xml:space="preserve">$3,166</w:t>
            </w:r>
          </w:p>
        </w:tc>
      </w:tr>
      <w:tr>
        <w:tc>
          <w:tcPr/>
          <w:p>
            <w:pPr>
              <w:pStyle w:val="Compact"/>
              <w:jc w:val="left"/>
            </w:pPr>
            <w:r>
              <w:t xml:space="preserve">Total</w:t>
            </w:r>
          </w:p>
        </w:tc>
        <w:tc>
          <w:tcPr/>
          <w:p>
            <w:pPr>
              <w:pStyle w:val="Compact"/>
              <w:jc w:val="center"/>
            </w:pPr>
            <w:r>
              <w:t xml:space="preserve">42,053,250</w:t>
            </w:r>
          </w:p>
        </w:tc>
        <w:tc>
          <w:tcPr/>
          <w:p>
            <w:pPr>
              <w:pStyle w:val="Compact"/>
              <w:jc w:val="center"/>
            </w:pPr>
            <w:r>
              <w:t xml:space="preserve">$58,389</w:t>
            </w:r>
          </w:p>
        </w:tc>
        <w:tc>
          <w:tcPr/>
          <w:p>
            <w:pPr>
              <w:pStyle w:val="Compact"/>
              <w:jc w:val="center"/>
            </w:pPr>
            <w:r>
              <w:t xml:space="preserve">$86,216</w:t>
            </w:r>
          </w:p>
        </w:tc>
      </w:tr>
    </w:tbl>
    <w:p>
      <w:pPr>
        <w:pStyle w:val="BodyText"/>
      </w:pPr>
      <w:r>
        <w:t xml:space="preserve">Assuming a conservative 3% potential investment rate then, over the shortened timeframe of the available catch value statistics, the current day nominal value of the historical skipjack harvested since 1997 is approximately $86,216 million in nominal 2024 US$.</w:t>
      </w:r>
    </w:p>
    <w:p>
      <w:pPr>
        <w:pStyle w:val="BodyText"/>
      </w:pPr>
      <w:r>
        <w:t xml:space="preserve">In comparison, if the initial US$3 million SSAP investment made in 1977 had been invested at 3% per annum, it would be worth</w:t>
      </w:r>
      <w:r>
        <w:t xml:space="preserve"> </w:t>
      </w:r>
      <w:r>
        <w:t xml:space="preserve">US$12 million in nominal 2024 US$.</w:t>
      </w:r>
    </w:p>
    <w:p>
      <w:pPr>
        <w:pStyle w:val="BodyText"/>
      </w:pPr>
      <w:r>
        <w:t xml:space="preserve">Connecting those two measures together, the compounding rate of return from the 1977 donor funding is 20.7% per annum since 1977, even excluding the unknown monetary value of harvested skipjack that occurred between 1977 and 1997.</w:t>
      </w:r>
    </w:p>
    <w:bookmarkEnd w:id="33"/>
    <w:bookmarkStart w:id="41" w:name="X76b17c440073c7bf02cc159753403dab81c6986"/>
    <w:p>
      <w:pPr>
        <w:pStyle w:val="Heading3"/>
      </w:pPr>
      <w:r>
        <w:rPr>
          <w:rStyle w:val="SectionNumber"/>
        </w:rPr>
        <w:t xml:space="preserve">0.0.3</w:t>
      </w:r>
      <w:r>
        <w:tab/>
      </w:r>
      <w:r>
        <w:t xml:space="preserve">Returning Value to Pacific Island Governments</w:t>
      </w:r>
    </w:p>
    <w:p>
      <w:pPr>
        <w:pStyle w:val="FirstParagraph"/>
      </w:pPr>
      <w:r>
        <w:t xml:space="preserve">Annual fishing access fees received by Pacific Islands governments in 2021 (or the latest year for which data was available) were approximately US$515 million, or 26.8% of the value of the regional offshore catch, which represents a significant return to Pacific Islands governments from their fishery’s natural stocks.</w:t>
      </w:r>
    </w:p>
    <w:p>
      <w:pPr>
        <w:pStyle w:val="BodyText"/>
      </w:pPr>
      <w:r>
        <w:t xml:space="preserve">Table</w:t>
      </w:r>
      <w:r>
        <w:t xml:space="preserve"> </w:t>
      </w:r>
      <w:r>
        <w:t xml:space="preserve">2</w:t>
      </w:r>
      <w:r>
        <w:t xml:space="preserve">, from the Benefish 1</w:t>
      </w:r>
      <w:r>
        <w:rPr>
          <w:rStyle w:val="FootnoteReference"/>
        </w:rPr>
        <w:footnoteReference w:id="34"/>
      </w:r>
      <w:r>
        <w:t xml:space="preserve"> </w:t>
      </w:r>
      <w:r>
        <w:t xml:space="preserve">and 4</w:t>
      </w:r>
      <w:r>
        <w:rPr>
          <w:rStyle w:val="FootnoteReference"/>
        </w:rPr>
        <w:footnoteReference w:id="35"/>
      </w:r>
      <w:r>
        <w:t xml:space="preserve"> </w:t>
      </w:r>
      <w:r>
        <w:t xml:space="preserve">studies provide a partial picture behind the growth in fisheries licensing fees.</w:t>
      </w:r>
    </w:p>
    <w:p>
      <w:pPr>
        <w:pStyle w:val="TableCaption"/>
      </w:pPr>
      <w:bookmarkStart w:id="36" w:name="tab:GovtRevs"/>
      <w:bookmarkEnd w:id="36"/>
      <w:r>
        <w:t xml:space="preserve">Table 2: Access fees for offshore fishing 2008–2024 (or latest year)</w:t>
      </w:r>
    </w:p>
    <w:tbl>
      <w:tblPr>
        <w:tblStyle w:val="Table"/>
        <w:tblW w:type="pct" w:w="5000"/>
        <w:tblLayout w:type="fixed"/>
        <w:tblLook w:firstRow="1" w:lastRow="0" w:firstColumn="0" w:lastColumn="0" w:noHBand="0" w:noVBand="0" w:val="0020"/>
        <w:tblCaption w:val="Table 2: Access fees for offshore fishing 2008–2024 (or latest year)"/>
      </w:tblPr>
      <w:tblGrid>
        <w:gridCol w:w="1933"/>
        <w:gridCol w:w="374"/>
        <w:gridCol w:w="374"/>
        <w:gridCol w:w="374"/>
        <w:gridCol w:w="374"/>
        <w:gridCol w:w="374"/>
        <w:gridCol w:w="374"/>
        <w:gridCol w:w="374"/>
        <w:gridCol w:w="374"/>
        <w:gridCol w:w="374"/>
        <w:gridCol w:w="374"/>
        <w:gridCol w:w="374"/>
        <w:gridCol w:w="374"/>
        <w:gridCol w:w="374"/>
        <w:gridCol w:w="374"/>
        <w:gridCol w:w="374"/>
        <w:gridCol w:w="374"/>
      </w:tblGrid>
      <w:tr>
        <w:trPr>
          <w:tblHeader w:val="on"/>
        </w:trPr>
        <w:tc>
          <w:tcPr/>
          <w:p>
            <w:pPr>
              <w:pStyle w:val="Compact"/>
              <w:jc w:val="left"/>
            </w:pPr>
            <w:r>
              <w:t xml:space="preserve">Country</w:t>
            </w:r>
          </w:p>
        </w:tc>
        <w:tc>
          <w:tcPr/>
          <w:p>
            <w:pPr>
              <w:pStyle w:val="Compact"/>
              <w:jc w:val="right"/>
            </w:pPr>
            <w:r>
              <w:t xml:space="preserve">2008</w:t>
            </w:r>
          </w:p>
        </w:tc>
        <w:tc>
          <w:tcPr/>
          <w:p>
            <w:pPr>
              <w:pStyle w:val="Compact"/>
              <w:jc w:val="right"/>
            </w:pPr>
            <w:r>
              <w:t xml:space="preserve">2009</w:t>
            </w:r>
          </w:p>
        </w:tc>
        <w:tc>
          <w:tcPr/>
          <w:p>
            <w:pPr>
              <w:pStyle w:val="Compact"/>
              <w:jc w:val="right"/>
            </w:pPr>
            <w:r>
              <w:t xml:space="preserve">2010</w:t>
            </w:r>
          </w:p>
        </w:tc>
        <w:tc>
          <w:tcPr/>
          <w:p>
            <w:pPr>
              <w:pStyle w:val="Compact"/>
              <w:jc w:val="right"/>
            </w:pPr>
            <w:r>
              <w:t xml:space="preserve">2011</w:t>
            </w:r>
          </w:p>
        </w:tc>
        <w:tc>
          <w:tcPr/>
          <w:p>
            <w:pPr>
              <w:pStyle w:val="Compact"/>
              <w:jc w:val="right"/>
            </w:pPr>
            <w:r>
              <w:t xml:space="preserve">2012</w:t>
            </w:r>
          </w:p>
        </w:tc>
        <w:tc>
          <w:tcPr/>
          <w:p>
            <w:pPr>
              <w:pStyle w:val="Compact"/>
              <w:jc w:val="right"/>
            </w:pPr>
            <w:r>
              <w:t xml:space="preserve">2013</w:t>
            </w:r>
          </w:p>
        </w:tc>
        <w:tc>
          <w:tcPr/>
          <w:p>
            <w:pPr>
              <w:pStyle w:val="Compact"/>
              <w:jc w:val="right"/>
            </w:pPr>
            <w:r>
              <w:t xml:space="preserve">2014</w:t>
            </w:r>
          </w:p>
        </w:tc>
        <w:tc>
          <w:tcPr/>
          <w:p>
            <w:pPr>
              <w:pStyle w:val="Compact"/>
              <w:jc w:val="right"/>
            </w:pPr>
            <w:r>
              <w:t xml:space="preserve">2015</w:t>
            </w:r>
          </w:p>
        </w:tc>
        <w:tc>
          <w:tcPr/>
          <w:p>
            <w:pPr>
              <w:pStyle w:val="Compact"/>
              <w:jc w:val="right"/>
            </w:pPr>
            <w:r>
              <w:t xml:space="preserve">2016</w:t>
            </w:r>
          </w:p>
        </w:tc>
        <w:tc>
          <w:tcPr/>
          <w:p>
            <w:pPr>
              <w:pStyle w:val="Compact"/>
              <w:jc w:val="right"/>
            </w:pPr>
            <w:r>
              <w:t xml:space="preserve">2017</w:t>
            </w:r>
          </w:p>
        </w:tc>
        <w:tc>
          <w:tcPr/>
          <w:p>
            <w:pPr>
              <w:pStyle w:val="Compact"/>
              <w:jc w:val="right"/>
            </w:pPr>
            <w:r>
              <w:t xml:space="preserve">2018</w:t>
            </w:r>
          </w:p>
        </w:tc>
        <w:tc>
          <w:tcPr/>
          <w:p>
            <w:pPr>
              <w:pStyle w:val="Compact"/>
              <w:jc w:val="right"/>
            </w:pPr>
            <w:r>
              <w:t xml:space="preserve">2019</w:t>
            </w:r>
          </w:p>
        </w:tc>
        <w:tc>
          <w:tcPr/>
          <w:p>
            <w:pPr>
              <w:pStyle w:val="Compact"/>
              <w:jc w:val="right"/>
            </w:pPr>
            <w:r>
              <w:t xml:space="preserve">2020</w:t>
            </w:r>
          </w:p>
        </w:tc>
        <w:tc>
          <w:tcPr/>
          <w:p>
            <w:pPr>
              <w:pStyle w:val="Compact"/>
              <w:jc w:val="right"/>
            </w:pPr>
            <w:r>
              <w:t xml:space="preserve">2021</w:t>
            </w:r>
          </w:p>
        </w:tc>
        <w:tc>
          <w:tcPr/>
          <w:p>
            <w:pPr>
              <w:pStyle w:val="Compact"/>
              <w:jc w:val="right"/>
            </w:pPr>
            <w:r>
              <w:t xml:space="preserve">2022</w:t>
            </w:r>
          </w:p>
        </w:tc>
        <w:tc>
          <w:tcPr/>
          <w:p>
            <w:pPr>
              <w:pStyle w:val="Compact"/>
              <w:jc w:val="right"/>
            </w:pPr>
            <w:r>
              <w:t xml:space="preserve">2023</w:t>
            </w:r>
          </w:p>
        </w:tc>
      </w:tr>
      <w:tr>
        <w:tc>
          <w:tcPr/>
          <w:p>
            <w:pPr>
              <w:pStyle w:val="Compact"/>
              <w:jc w:val="left"/>
            </w:pPr>
            <w:r>
              <w:t xml:space="preserve">Kiribati</w:t>
            </w:r>
          </w:p>
        </w:tc>
        <w:tc>
          <w:tcPr/>
          <w:p>
            <w:pPr>
              <w:pStyle w:val="Compact"/>
              <w:jc w:val="right"/>
            </w:pPr>
            <w:r>
              <w:t xml:space="preserve">26.7</w:t>
            </w:r>
          </w:p>
        </w:tc>
        <w:tc>
          <w:tcPr/>
          <w:p>
            <w:pPr>
              <w:pStyle w:val="Compact"/>
              <w:jc w:val="right"/>
            </w:pPr>
            <w:r>
              <w:t xml:space="preserve">23.4</w:t>
            </w:r>
          </w:p>
        </w:tc>
        <w:tc>
          <w:tcPr/>
          <w:p>
            <w:pPr>
              <w:pStyle w:val="Compact"/>
              <w:jc w:val="right"/>
            </w:pPr>
            <w:r>
              <w:t xml:space="preserve">38.3</w:t>
            </w:r>
          </w:p>
        </w:tc>
        <w:tc>
          <w:tcPr/>
          <w:p>
            <w:pPr>
              <w:pStyle w:val="Compact"/>
              <w:jc w:val="right"/>
            </w:pPr>
            <w:r>
              <w:t xml:space="preserve">30.0</w:t>
            </w:r>
          </w:p>
        </w:tc>
        <w:tc>
          <w:tcPr/>
          <w:p>
            <w:pPr>
              <w:pStyle w:val="Compact"/>
              <w:jc w:val="right"/>
            </w:pPr>
            <w:r>
              <w:t xml:space="preserve">60.4</w:t>
            </w:r>
          </w:p>
        </w:tc>
        <w:tc>
          <w:tcPr/>
          <w:p>
            <w:pPr>
              <w:pStyle w:val="Compact"/>
              <w:jc w:val="right"/>
            </w:pPr>
            <w:r>
              <w:t xml:space="preserve">86.2</w:t>
            </w:r>
          </w:p>
        </w:tc>
        <w:tc>
          <w:tcPr/>
          <w:p>
            <w:pPr>
              <w:pStyle w:val="Compact"/>
              <w:jc w:val="right"/>
            </w:pPr>
            <w:r>
              <w:t xml:space="preserve">127.9</w:t>
            </w:r>
          </w:p>
        </w:tc>
        <w:tc>
          <w:tcPr/>
          <w:p>
            <w:pPr>
              <w:pStyle w:val="Compact"/>
              <w:jc w:val="right"/>
            </w:pPr>
            <w:r>
              <w:t xml:space="preserve">148.8</w:t>
            </w:r>
          </w:p>
        </w:tc>
        <w:tc>
          <w:tcPr/>
          <w:p>
            <w:pPr>
              <w:pStyle w:val="Compact"/>
              <w:jc w:val="right"/>
            </w:pPr>
            <w:r>
              <w:t xml:space="preserve">106.7</w:t>
            </w:r>
          </w:p>
        </w:tc>
        <w:tc>
          <w:tcPr/>
          <w:p>
            <w:pPr>
              <w:pStyle w:val="Compact"/>
              <w:jc w:val="right"/>
            </w:pPr>
            <w:r>
              <w:t xml:space="preserve">129.8</w:t>
            </w:r>
          </w:p>
        </w:tc>
        <w:tc>
          <w:tcPr/>
          <w:p>
            <w:pPr>
              <w:pStyle w:val="Compact"/>
              <w:jc w:val="right"/>
            </w:pPr>
            <w:r>
              <w:t xml:space="preserve">127.3</w:t>
            </w:r>
          </w:p>
        </w:tc>
        <w:tc>
          <w:tcPr/>
          <w:p>
            <w:pPr>
              <w:pStyle w:val="Compact"/>
              <w:jc w:val="right"/>
            </w:pPr>
            <w:r>
              <w:t xml:space="preserve">146.4</w:t>
            </w:r>
          </w:p>
        </w:tc>
        <w:tc>
          <w:tcPr/>
          <w:p>
            <w:pPr>
              <w:pStyle w:val="Compact"/>
              <w:jc w:val="right"/>
            </w:pPr>
            <w:r>
              <w:t xml:space="preserve">117.8</w:t>
            </w:r>
          </w:p>
        </w:tc>
        <w:tc>
          <w:tcPr/>
          <w:p>
            <w:pPr>
              <w:pStyle w:val="Compact"/>
              <w:jc w:val="right"/>
            </w:pPr>
            <w:r>
              <w:t xml:space="preserve">121.3</w:t>
            </w:r>
          </w:p>
        </w:tc>
        <w:tc>
          <w:tcPr/>
          <w:p>
            <w:pPr>
              <w:pStyle w:val="Compact"/>
              <w:jc w:val="right"/>
            </w:pPr>
            <w:r>
              <w:t xml:space="preserve">98.8</w:t>
            </w:r>
          </w:p>
        </w:tc>
        <w:tc>
          <w:tcPr/>
          <w:p>
            <w:pPr>
              <w:pStyle w:val="Compact"/>
              <w:jc w:val="right"/>
            </w:pPr>
            <w:r>
              <w:t xml:space="preserve">141.9</w:t>
            </w:r>
          </w:p>
        </w:tc>
      </w:tr>
      <w:tr>
        <w:tc>
          <w:tcPr/>
          <w:p>
            <w:pPr>
              <w:pStyle w:val="Compact"/>
              <w:jc w:val="left"/>
            </w:pPr>
            <w:r>
              <w:t xml:space="preserve">Papua New Guinea</w:t>
            </w:r>
          </w:p>
        </w:tc>
        <w:tc>
          <w:tcPr/>
          <w:p>
            <w:pPr>
              <w:pStyle w:val="Compact"/>
              <w:jc w:val="right"/>
            </w:pPr>
            <w:r>
              <w:t xml:space="preserve">45.7</w:t>
            </w:r>
          </w:p>
        </w:tc>
        <w:tc>
          <w:tcPr/>
          <w:p>
            <w:pPr>
              <w:pStyle w:val="Compact"/>
              <w:jc w:val="right"/>
            </w:pPr>
            <w:r>
              <w:t xml:space="preserve">31.1</w:t>
            </w:r>
          </w:p>
        </w:tc>
        <w:tc>
          <w:tcPr/>
          <w:p>
            <w:pPr>
              <w:pStyle w:val="Compact"/>
              <w:jc w:val="right"/>
            </w:pPr>
            <w:r>
              <w:t xml:space="preserve">55.1</w:t>
            </w:r>
          </w:p>
        </w:tc>
        <w:tc>
          <w:tcPr/>
          <w:p>
            <w:pPr>
              <w:pStyle w:val="Compact"/>
              <w:jc w:val="right"/>
            </w:pPr>
            <w:r>
              <w:t xml:space="preserve">62.1</w:t>
            </w:r>
          </w:p>
        </w:tc>
        <w:tc>
          <w:tcPr/>
          <w:p>
            <w:pPr>
              <w:pStyle w:val="Compact"/>
              <w:jc w:val="right"/>
            </w:pPr>
            <w:r>
              <w:t xml:space="preserve">71.3</w:t>
            </w:r>
          </w:p>
        </w:tc>
        <w:tc>
          <w:tcPr/>
          <w:p>
            <w:pPr>
              <w:pStyle w:val="Compact"/>
              <w:jc w:val="right"/>
            </w:pPr>
            <w:r>
              <w:t xml:space="preserve">84.3</w:t>
            </w:r>
          </w:p>
        </w:tc>
        <w:tc>
          <w:tcPr/>
          <w:p>
            <w:pPr>
              <w:pStyle w:val="Compact"/>
              <w:jc w:val="right"/>
            </w:pPr>
            <w:r>
              <w:t xml:space="preserve">92.0</w:t>
            </w:r>
          </w:p>
        </w:tc>
        <w:tc>
          <w:tcPr/>
          <w:p>
            <w:pPr>
              <w:pStyle w:val="Compact"/>
              <w:jc w:val="right"/>
            </w:pPr>
            <w:r>
              <w:t xml:space="preserve">95.7</w:t>
            </w:r>
          </w:p>
        </w:tc>
        <w:tc>
          <w:tcPr/>
          <w:p>
            <w:pPr>
              <w:pStyle w:val="Compact"/>
              <w:jc w:val="right"/>
            </w:pPr>
            <w:r>
              <w:t xml:space="preserve">119.5</w:t>
            </w:r>
          </w:p>
        </w:tc>
        <w:tc>
          <w:tcPr/>
          <w:p>
            <w:pPr>
              <w:pStyle w:val="Compact"/>
              <w:jc w:val="right"/>
            </w:pPr>
            <w:r>
              <w:t xml:space="preserve">94.1</w:t>
            </w:r>
          </w:p>
        </w:tc>
        <w:tc>
          <w:tcPr/>
          <w:p>
            <w:pPr>
              <w:pStyle w:val="Compact"/>
              <w:jc w:val="right"/>
            </w:pPr>
            <w:r>
              <w:t xml:space="preserve">114.4</w:t>
            </w:r>
          </w:p>
        </w:tc>
        <w:tc>
          <w:tcPr/>
          <w:p>
            <w:pPr>
              <w:pStyle w:val="Compact"/>
              <w:jc w:val="right"/>
            </w:pPr>
            <w:r>
              <w:t xml:space="preserve">93.3</w:t>
            </w:r>
          </w:p>
        </w:tc>
        <w:tc>
          <w:tcPr/>
          <w:p>
            <w:pPr>
              <w:pStyle w:val="Compact"/>
              <w:jc w:val="right"/>
            </w:pPr>
            <w:r>
              <w:t xml:space="preserve">110.3</w:t>
            </w:r>
          </w:p>
        </w:tc>
        <w:tc>
          <w:tcPr/>
          <w:p>
            <w:pPr>
              <w:pStyle w:val="Compact"/>
              <w:jc w:val="right"/>
            </w:pPr>
            <w:r>
              <w:t xml:space="preserve">123.0</w:t>
            </w:r>
          </w:p>
        </w:tc>
        <w:tc>
          <w:tcPr/>
          <w:p>
            <w:pPr>
              <w:pStyle w:val="Compact"/>
              <w:jc w:val="right"/>
            </w:pPr>
            <w:r>
              <w:t xml:space="preserve">124.6</w:t>
            </w:r>
          </w:p>
        </w:tc>
        <w:tc>
          <w:tcPr/>
          <w:p>
            <w:pPr>
              <w:pStyle w:val="Compact"/>
              <w:jc w:val="right"/>
            </w:pPr>
            <w:r>
              <w:t xml:space="preserve">97.1</w:t>
            </w:r>
          </w:p>
        </w:tc>
      </w:tr>
      <w:tr>
        <w:tc>
          <w:tcPr/>
          <w:p>
            <w:pPr>
              <w:pStyle w:val="Compact"/>
              <w:jc w:val="left"/>
            </w:pPr>
            <w:r>
              <w:t xml:space="preserve">Federated States of Micronesia</w:t>
            </w:r>
          </w:p>
        </w:tc>
        <w:tc>
          <w:tcPr/>
          <w:p>
            <w:pPr>
              <w:pStyle w:val="Compact"/>
              <w:jc w:val="right"/>
            </w:pPr>
            <w:r>
              <w:t xml:space="preserve">17.3</w:t>
            </w:r>
          </w:p>
        </w:tc>
        <w:tc>
          <w:tcPr/>
          <w:p>
            <w:pPr>
              <w:pStyle w:val="Compact"/>
              <w:jc w:val="right"/>
            </w:pPr>
            <w:r>
              <w:t xml:space="preserve">20.3</w:t>
            </w:r>
          </w:p>
        </w:tc>
        <w:tc>
          <w:tcPr/>
          <w:p>
            <w:pPr>
              <w:pStyle w:val="Compact"/>
              <w:jc w:val="right"/>
            </w:pPr>
            <w:r>
              <w:t xml:space="preserve">18.0</w:t>
            </w:r>
          </w:p>
        </w:tc>
        <w:tc>
          <w:tcPr/>
          <w:p>
            <w:pPr>
              <w:pStyle w:val="Compact"/>
              <w:jc w:val="right"/>
            </w:pPr>
            <w:r>
              <w:t xml:space="preserve">19.1</w:t>
            </w:r>
          </w:p>
        </w:tc>
        <w:tc>
          <w:tcPr/>
          <w:p>
            <w:pPr>
              <w:pStyle w:val="Compact"/>
              <w:jc w:val="right"/>
            </w:pPr>
            <w:r>
              <w:t xml:space="preserve">26.7</w:t>
            </w:r>
          </w:p>
        </w:tc>
        <w:tc>
          <w:tcPr/>
          <w:p>
            <w:pPr>
              <w:pStyle w:val="Compact"/>
              <w:jc w:val="right"/>
            </w:pPr>
            <w:r>
              <w:t xml:space="preserve">35.3</w:t>
            </w:r>
          </w:p>
        </w:tc>
        <w:tc>
          <w:tcPr/>
          <w:p>
            <w:pPr>
              <w:pStyle w:val="Compact"/>
              <w:jc w:val="right"/>
            </w:pPr>
            <w:r>
              <w:t xml:space="preserve">47.7</w:t>
            </w:r>
          </w:p>
        </w:tc>
        <w:tc>
          <w:tcPr/>
          <w:p>
            <w:pPr>
              <w:pStyle w:val="Compact"/>
              <w:jc w:val="right"/>
            </w:pPr>
            <w:r>
              <w:t xml:space="preserve">65.5</w:t>
            </w:r>
          </w:p>
        </w:tc>
        <w:tc>
          <w:tcPr/>
          <w:p>
            <w:pPr>
              <w:pStyle w:val="Compact"/>
              <w:jc w:val="right"/>
            </w:pPr>
            <w:r>
              <w:t xml:space="preserve">63.7</w:t>
            </w:r>
          </w:p>
        </w:tc>
        <w:tc>
          <w:tcPr/>
          <w:p>
            <w:pPr>
              <w:pStyle w:val="Compact"/>
              <w:jc w:val="right"/>
            </w:pPr>
            <w:r>
              <w:t xml:space="preserve">72.7</w:t>
            </w:r>
          </w:p>
        </w:tc>
        <w:tc>
          <w:tcPr/>
          <w:p>
            <w:pPr>
              <w:pStyle w:val="Compact"/>
              <w:jc w:val="right"/>
            </w:pPr>
            <w:r>
              <w:t xml:space="preserve">72.4</w:t>
            </w:r>
          </w:p>
        </w:tc>
        <w:tc>
          <w:tcPr/>
          <w:p>
            <w:pPr>
              <w:pStyle w:val="Compact"/>
              <w:jc w:val="right"/>
            </w:pPr>
            <w:r>
              <w:t xml:space="preserve">72.7</w:t>
            </w:r>
          </w:p>
        </w:tc>
        <w:tc>
          <w:tcPr/>
          <w:p>
            <w:pPr>
              <w:pStyle w:val="Compact"/>
              <w:jc w:val="right"/>
            </w:pPr>
            <w:r>
              <w:t xml:space="preserve">70.2</w:t>
            </w:r>
          </w:p>
        </w:tc>
        <w:tc>
          <w:tcPr/>
          <w:p>
            <w:pPr>
              <w:pStyle w:val="Compact"/>
              <w:jc w:val="right"/>
            </w:pPr>
            <w:r>
              <w:t xml:space="preserve">69.0</w:t>
            </w:r>
          </w:p>
        </w:tc>
        <w:tc>
          <w:tcPr/>
          <w:p>
            <w:pPr>
              <w:pStyle w:val="Compact"/>
              <w:jc w:val="right"/>
            </w:pPr>
            <w:r>
              <w:t xml:space="preserve">73.0</w:t>
            </w:r>
          </w:p>
        </w:tc>
        <w:tc>
          <w:tcPr/>
          <w:p>
            <w:pPr>
              <w:pStyle w:val="Compact"/>
              <w:jc w:val="right"/>
            </w:pPr>
            <w:r>
              <w:t xml:space="preserve">71.0</w:t>
            </w:r>
          </w:p>
        </w:tc>
      </w:tr>
      <w:tr>
        <w:tc>
          <w:tcPr/>
          <w:p>
            <w:pPr>
              <w:pStyle w:val="Compact"/>
              <w:jc w:val="left"/>
            </w:pPr>
            <w:r>
              <w:t xml:space="preserve">Nauru</w:t>
            </w:r>
          </w:p>
        </w:tc>
        <w:tc>
          <w:tcPr/>
          <w:p>
            <w:pPr>
              <w:pStyle w:val="Compact"/>
              <w:jc w:val="right"/>
            </w:pPr>
            <w:r>
              <w:t xml:space="preserve">10.3</w:t>
            </w:r>
          </w:p>
        </w:tc>
        <w:tc>
          <w:tcPr/>
          <w:p>
            <w:pPr>
              <w:pStyle w:val="Compact"/>
              <w:jc w:val="right"/>
            </w:pPr>
            <w:r>
              <w:t xml:space="preserve">6.8</w:t>
            </w:r>
          </w:p>
        </w:tc>
        <w:tc>
          <w:tcPr/>
          <w:p>
            <w:pPr>
              <w:pStyle w:val="Compact"/>
              <w:jc w:val="right"/>
            </w:pPr>
            <w:r>
              <w:t xml:space="preserve">12.1</w:t>
            </w:r>
          </w:p>
        </w:tc>
        <w:tc>
          <w:tcPr/>
          <w:p>
            <w:pPr>
              <w:pStyle w:val="Compact"/>
              <w:jc w:val="right"/>
            </w:pPr>
            <w:r>
              <w:t xml:space="preserve">14.1</w:t>
            </w:r>
          </w:p>
        </w:tc>
        <w:tc>
          <w:tcPr/>
          <w:p>
            <w:pPr>
              <w:pStyle w:val="Compact"/>
              <w:jc w:val="right"/>
            </w:pPr>
            <w:r>
              <w:t xml:space="preserve">10.9</w:t>
            </w:r>
          </w:p>
        </w:tc>
        <w:tc>
          <w:tcPr/>
          <w:p>
            <w:pPr>
              <w:pStyle w:val="Compact"/>
              <w:jc w:val="right"/>
            </w:pPr>
            <w:r>
              <w:t xml:space="preserve">11.5</w:t>
            </w:r>
          </w:p>
        </w:tc>
        <w:tc>
          <w:tcPr/>
          <w:p>
            <w:pPr>
              <w:pStyle w:val="Compact"/>
              <w:jc w:val="right"/>
            </w:pPr>
            <w:r>
              <w:t xml:space="preserve">17.0</w:t>
            </w:r>
          </w:p>
        </w:tc>
        <w:tc>
          <w:tcPr/>
          <w:p>
            <w:pPr>
              <w:pStyle w:val="Compact"/>
              <w:jc w:val="right"/>
            </w:pPr>
            <w:r>
              <w:t xml:space="preserve">21.7</w:t>
            </w:r>
          </w:p>
        </w:tc>
        <w:tc>
          <w:tcPr/>
          <w:p>
            <w:pPr>
              <w:pStyle w:val="Compact"/>
              <w:jc w:val="right"/>
            </w:pPr>
            <w:r>
              <w:t xml:space="preserve">27.8</w:t>
            </w:r>
          </w:p>
        </w:tc>
        <w:tc>
          <w:tcPr/>
          <w:p>
            <w:pPr>
              <w:pStyle w:val="Compact"/>
              <w:jc w:val="right"/>
            </w:pPr>
            <w:r>
              <w:t xml:space="preserve">36.0</w:t>
            </w:r>
          </w:p>
        </w:tc>
        <w:tc>
          <w:tcPr/>
          <w:p>
            <w:pPr>
              <w:pStyle w:val="Compact"/>
              <w:jc w:val="right"/>
            </w:pPr>
            <w:r>
              <w:t xml:space="preserve">34.7</w:t>
            </w:r>
          </w:p>
        </w:tc>
        <w:tc>
          <w:tcPr/>
          <w:p>
            <w:pPr>
              <w:pStyle w:val="Compact"/>
              <w:jc w:val="right"/>
            </w:pPr>
            <w:r>
              <w:t xml:space="preserve">46.7</w:t>
            </w:r>
          </w:p>
        </w:tc>
        <w:tc>
          <w:tcPr/>
          <w:p>
            <w:pPr>
              <w:pStyle w:val="Compact"/>
              <w:jc w:val="right"/>
            </w:pPr>
            <w:r>
              <w:t xml:space="preserve">45.8</w:t>
            </w:r>
          </w:p>
        </w:tc>
        <w:tc>
          <w:tcPr/>
          <w:p>
            <w:pPr>
              <w:pStyle w:val="Compact"/>
              <w:jc w:val="right"/>
            </w:pPr>
            <w:r>
              <w:t xml:space="preserve">44.9</w:t>
            </w:r>
          </w:p>
        </w:tc>
        <w:tc>
          <w:tcPr/>
          <w:p>
            <w:pPr>
              <w:pStyle w:val="Compact"/>
              <w:jc w:val="right"/>
            </w:pPr>
            <w:r>
              <w:t xml:space="preserve">39.2</w:t>
            </w:r>
          </w:p>
        </w:tc>
        <w:tc>
          <w:tcPr/>
          <w:p>
            <w:pPr>
              <w:pStyle w:val="Compact"/>
              <w:jc w:val="right"/>
            </w:pPr>
            <w:r>
              <w:t xml:space="preserve">35.1</w:t>
            </w:r>
          </w:p>
        </w:tc>
      </w:tr>
      <w:tr>
        <w:tc>
          <w:tcPr/>
          <w:p>
            <w:pPr>
              <w:pStyle w:val="Compact"/>
              <w:jc w:val="left"/>
            </w:pPr>
            <w:r>
              <w:t xml:space="preserve">Marshall Islands</w:t>
            </w:r>
          </w:p>
        </w:tc>
        <w:tc>
          <w:tcPr/>
          <w:p>
            <w:pPr>
              <w:pStyle w:val="Compact"/>
              <w:jc w:val="right"/>
            </w:pPr>
            <w:r>
              <w:t xml:space="preserve">2.6</w:t>
            </w:r>
          </w:p>
        </w:tc>
        <w:tc>
          <w:tcPr/>
          <w:p>
            <w:pPr>
              <w:pStyle w:val="Compact"/>
              <w:jc w:val="right"/>
            </w:pPr>
            <w:r>
              <w:t xml:space="preserve">3.0</w:t>
            </w:r>
          </w:p>
        </w:tc>
        <w:tc>
          <w:tcPr/>
          <w:p>
            <w:pPr>
              <w:pStyle w:val="Compact"/>
              <w:jc w:val="right"/>
            </w:pPr>
            <w:r>
              <w:t xml:space="preserve">3.5</w:t>
            </w:r>
          </w:p>
        </w:tc>
        <w:tc>
          <w:tcPr/>
          <w:p>
            <w:pPr>
              <w:pStyle w:val="Compact"/>
              <w:jc w:val="right"/>
            </w:pPr>
            <w:r>
              <w:t xml:space="preserve">5.3</w:t>
            </w:r>
          </w:p>
        </w:tc>
        <w:tc>
          <w:tcPr/>
          <w:p>
            <w:pPr>
              <w:pStyle w:val="Compact"/>
              <w:jc w:val="right"/>
            </w:pPr>
            <w:r>
              <w:t xml:space="preserve">9.6</w:t>
            </w:r>
          </w:p>
        </w:tc>
        <w:tc>
          <w:tcPr/>
          <w:p>
            <w:pPr>
              <w:pStyle w:val="Compact"/>
              <w:jc w:val="right"/>
            </w:pPr>
            <w:r>
              <w:t xml:space="preserve">12.9</w:t>
            </w:r>
          </w:p>
        </w:tc>
        <w:tc>
          <w:tcPr/>
          <w:p>
            <w:pPr>
              <w:pStyle w:val="Compact"/>
              <w:jc w:val="right"/>
            </w:pPr>
            <w:r>
              <w:t xml:space="preserve">17.3</w:t>
            </w:r>
          </w:p>
        </w:tc>
        <w:tc>
          <w:tcPr/>
          <w:p>
            <w:pPr>
              <w:pStyle w:val="Compact"/>
              <w:jc w:val="right"/>
            </w:pPr>
            <w:r>
              <w:t xml:space="preserve">27.4</w:t>
            </w:r>
          </w:p>
        </w:tc>
        <w:tc>
          <w:tcPr/>
          <w:p>
            <w:pPr>
              <w:pStyle w:val="Compact"/>
              <w:jc w:val="right"/>
            </w:pPr>
            <w:r>
              <w:t xml:space="preserve">31.5</w:t>
            </w:r>
          </w:p>
        </w:tc>
        <w:tc>
          <w:tcPr/>
          <w:p>
            <w:pPr>
              <w:pStyle w:val="Compact"/>
              <w:jc w:val="right"/>
            </w:pPr>
            <w:r>
              <w:t xml:space="preserve">33.1</w:t>
            </w:r>
          </w:p>
        </w:tc>
        <w:tc>
          <w:tcPr/>
          <w:p>
            <w:pPr>
              <w:pStyle w:val="Compact"/>
              <w:jc w:val="right"/>
            </w:pPr>
            <w:r>
              <w:t xml:space="preserve">32.2</w:t>
            </w:r>
          </w:p>
        </w:tc>
        <w:tc>
          <w:tcPr/>
          <w:p>
            <w:pPr>
              <w:pStyle w:val="Compact"/>
              <w:jc w:val="right"/>
            </w:pPr>
            <w:r>
              <w:t xml:space="preserve">33.0</w:t>
            </w:r>
          </w:p>
        </w:tc>
        <w:tc>
          <w:tcPr/>
          <w:p>
            <w:pPr>
              <w:pStyle w:val="Compact"/>
              <w:jc w:val="right"/>
            </w:pPr>
            <w:r>
              <w:t xml:space="preserve">30.3</w:t>
            </w:r>
          </w:p>
        </w:tc>
        <w:tc>
          <w:tcPr/>
          <w:p>
            <w:pPr>
              <w:pStyle w:val="Compact"/>
              <w:jc w:val="right"/>
            </w:pPr>
            <w:r>
              <w:t xml:space="preserve">32.8</w:t>
            </w:r>
          </w:p>
        </w:tc>
        <w:tc>
          <w:tcPr/>
          <w:p>
            <w:pPr>
              <w:pStyle w:val="Compact"/>
              <w:jc w:val="right"/>
            </w:pPr>
            <w:r>
              <w:t xml:space="preserve">33.8</w:t>
            </w:r>
          </w:p>
        </w:tc>
        <w:tc>
          <w:tcPr/>
          <w:p>
            <w:pPr>
              <w:pStyle w:val="Compact"/>
              <w:jc w:val="right"/>
            </w:pPr>
            <w:r>
              <w:t xml:space="preserve">32.8</w:t>
            </w:r>
          </w:p>
        </w:tc>
      </w:tr>
      <w:tr>
        <w:tc>
          <w:tcPr/>
          <w:p>
            <w:pPr>
              <w:pStyle w:val="Compact"/>
              <w:jc w:val="left"/>
            </w:pPr>
            <w:r>
              <w:t xml:space="preserve">Tuvalu</w:t>
            </w:r>
          </w:p>
        </w:tc>
        <w:tc>
          <w:tcPr/>
          <w:p>
            <w:pPr>
              <w:pStyle w:val="Compact"/>
              <w:jc w:val="right"/>
            </w:pPr>
            <w:r>
              <w:t xml:space="preserve">7.2</w:t>
            </w:r>
          </w:p>
        </w:tc>
        <w:tc>
          <w:tcPr/>
          <w:p>
            <w:pPr>
              <w:pStyle w:val="Compact"/>
              <w:jc w:val="right"/>
            </w:pPr>
            <w:r>
              <w:t xml:space="preserve">7.2</w:t>
            </w:r>
          </w:p>
        </w:tc>
        <w:tc>
          <w:tcPr/>
          <w:p>
            <w:pPr>
              <w:pStyle w:val="Compact"/>
              <w:jc w:val="right"/>
            </w:pPr>
            <w:r>
              <w:t xml:space="preserve">6.6</w:t>
            </w:r>
          </w:p>
        </w:tc>
        <w:tc>
          <w:tcPr/>
          <w:p>
            <w:pPr>
              <w:pStyle w:val="Compact"/>
              <w:jc w:val="right"/>
            </w:pPr>
            <w:r>
              <w:t xml:space="preserve">9.4</w:t>
            </w:r>
          </w:p>
        </w:tc>
        <w:tc>
          <w:tcPr/>
          <w:p>
            <w:pPr>
              <w:pStyle w:val="Compact"/>
              <w:jc w:val="right"/>
            </w:pPr>
            <w:r>
              <w:t xml:space="preserve">8.7</w:t>
            </w:r>
          </w:p>
        </w:tc>
        <w:tc>
          <w:tcPr/>
          <w:p>
            <w:pPr>
              <w:pStyle w:val="Compact"/>
              <w:jc w:val="right"/>
            </w:pPr>
            <w:r>
              <w:t xml:space="preserve">17.5</w:t>
            </w:r>
          </w:p>
        </w:tc>
        <w:tc>
          <w:tcPr/>
          <w:p>
            <w:pPr>
              <w:pStyle w:val="Compact"/>
              <w:jc w:val="right"/>
            </w:pPr>
            <w:r>
              <w:t xml:space="preserve">14.4</w:t>
            </w:r>
          </w:p>
        </w:tc>
        <w:tc>
          <w:tcPr/>
          <w:p>
            <w:pPr>
              <w:pStyle w:val="Compact"/>
              <w:jc w:val="right"/>
            </w:pPr>
            <w:r>
              <w:t xml:space="preserve">22.9</w:t>
            </w:r>
          </w:p>
        </w:tc>
        <w:tc>
          <w:tcPr/>
          <w:p>
            <w:pPr>
              <w:pStyle w:val="Compact"/>
              <w:jc w:val="right"/>
            </w:pPr>
            <w:r>
              <w:t xml:space="preserve">24.6</w:t>
            </w:r>
          </w:p>
        </w:tc>
        <w:tc>
          <w:tcPr/>
          <w:p>
            <w:pPr>
              <w:pStyle w:val="Compact"/>
              <w:jc w:val="right"/>
            </w:pPr>
            <w:r>
              <w:t xml:space="preserve">20.6</w:t>
            </w:r>
          </w:p>
        </w:tc>
        <w:tc>
          <w:tcPr/>
          <w:p>
            <w:pPr>
              <w:pStyle w:val="Compact"/>
              <w:jc w:val="right"/>
            </w:pPr>
            <w:r>
              <w:t xml:space="preserve">37.5</w:t>
            </w:r>
          </w:p>
        </w:tc>
        <w:tc>
          <w:tcPr/>
          <w:p>
            <w:pPr>
              <w:pStyle w:val="Compact"/>
              <w:jc w:val="right"/>
            </w:pPr>
            <w:r>
              <w:t xml:space="preserve">25.8</w:t>
            </w:r>
          </w:p>
        </w:tc>
        <w:tc>
          <w:tcPr/>
          <w:p>
            <w:pPr>
              <w:pStyle w:val="Compact"/>
              <w:jc w:val="right"/>
            </w:pPr>
            <w:r>
              <w:t xml:space="preserve">30.4</w:t>
            </w:r>
          </w:p>
        </w:tc>
        <w:tc>
          <w:tcPr/>
          <w:p>
            <w:pPr>
              <w:pStyle w:val="Compact"/>
              <w:jc w:val="right"/>
            </w:pPr>
            <w:r>
              <w:t xml:space="preserve">32.3</w:t>
            </w:r>
          </w:p>
        </w:tc>
        <w:tc>
          <w:tcPr/>
          <w:p>
            <w:pPr>
              <w:pStyle w:val="Compact"/>
              <w:jc w:val="right"/>
            </w:pPr>
            <w:r>
              <w:t xml:space="preserve">30.6</w:t>
            </w:r>
          </w:p>
        </w:tc>
        <w:tc>
          <w:tcPr/>
          <w:p>
            <w:pPr>
              <w:pStyle w:val="Compact"/>
              <w:jc w:val="right"/>
            </w:pPr>
            <w:r>
              <w:t xml:space="preserve">29.2</w:t>
            </w:r>
          </w:p>
        </w:tc>
      </w:tr>
      <w:tr>
        <w:tc>
          <w:tcPr/>
          <w:p>
            <w:pPr>
              <w:pStyle w:val="Compact"/>
              <w:jc w:val="left"/>
            </w:pPr>
            <w:r>
              <w:t xml:space="preserve">Solomon Islands</w:t>
            </w:r>
          </w:p>
        </w:tc>
        <w:tc>
          <w:tcPr/>
          <w:p>
            <w:pPr>
              <w:pStyle w:val="Compact"/>
              <w:jc w:val="right"/>
            </w:pPr>
            <w:r>
              <w:t xml:space="preserve">18.3</w:t>
            </w:r>
          </w:p>
        </w:tc>
        <w:tc>
          <w:tcPr/>
          <w:p>
            <w:pPr>
              <w:pStyle w:val="Compact"/>
              <w:jc w:val="right"/>
            </w:pPr>
            <w:r>
              <w:t xml:space="preserve">15.3</w:t>
            </w:r>
          </w:p>
        </w:tc>
        <w:tc>
          <w:tcPr/>
          <w:p>
            <w:pPr>
              <w:pStyle w:val="Compact"/>
              <w:jc w:val="right"/>
            </w:pPr>
            <w:r>
              <w:t xml:space="preserve">19.1</w:t>
            </w:r>
          </w:p>
        </w:tc>
        <w:tc>
          <w:tcPr/>
          <w:p>
            <w:pPr>
              <w:pStyle w:val="Compact"/>
              <w:jc w:val="right"/>
            </w:pPr>
            <w:r>
              <w:t xml:space="preserve">23.5</w:t>
            </w:r>
          </w:p>
        </w:tc>
        <w:tc>
          <w:tcPr/>
          <w:p>
            <w:pPr>
              <w:pStyle w:val="Compact"/>
              <w:jc w:val="right"/>
            </w:pPr>
            <w:r>
              <w:t xml:space="preserve">22.6</w:t>
            </w:r>
          </w:p>
        </w:tc>
        <w:tc>
          <w:tcPr/>
          <w:p>
            <w:pPr>
              <w:pStyle w:val="Compact"/>
              <w:jc w:val="right"/>
            </w:pPr>
            <w:r>
              <w:t xml:space="preserve">23.4</w:t>
            </w:r>
          </w:p>
        </w:tc>
        <w:tc>
          <w:tcPr/>
          <w:p>
            <w:pPr>
              <w:pStyle w:val="Compact"/>
              <w:jc w:val="right"/>
            </w:pPr>
            <w:r>
              <w:t xml:space="preserve">29.0</w:t>
            </w:r>
          </w:p>
        </w:tc>
        <w:tc>
          <w:tcPr/>
          <w:p>
            <w:pPr>
              <w:pStyle w:val="Compact"/>
              <w:jc w:val="right"/>
            </w:pPr>
            <w:r>
              <w:t xml:space="preserve">39.5</w:t>
            </w:r>
          </w:p>
        </w:tc>
        <w:tc>
          <w:tcPr/>
          <w:p>
            <w:pPr>
              <w:pStyle w:val="Compact"/>
              <w:jc w:val="right"/>
            </w:pPr>
            <w:r>
              <w:t xml:space="preserve">33.4</w:t>
            </w:r>
          </w:p>
        </w:tc>
        <w:tc>
          <w:tcPr/>
          <w:p>
            <w:pPr>
              <w:pStyle w:val="Compact"/>
              <w:jc w:val="right"/>
            </w:pPr>
            <w:r>
              <w:t xml:space="preserve">60.2</w:t>
            </w:r>
          </w:p>
        </w:tc>
        <w:tc>
          <w:tcPr/>
          <w:p>
            <w:pPr>
              <w:pStyle w:val="Compact"/>
              <w:jc w:val="right"/>
            </w:pPr>
            <w:r>
              <w:t xml:space="preserve">35.1</w:t>
            </w:r>
          </w:p>
        </w:tc>
        <w:tc>
          <w:tcPr/>
          <w:p>
            <w:pPr>
              <w:pStyle w:val="Compact"/>
              <w:jc w:val="right"/>
            </w:pPr>
            <w:r>
              <w:t xml:space="preserve">26.8</w:t>
            </w:r>
          </w:p>
        </w:tc>
        <w:tc>
          <w:tcPr/>
          <w:p>
            <w:pPr>
              <w:pStyle w:val="Compact"/>
              <w:jc w:val="right"/>
            </w:pPr>
            <w:r>
              <w:t xml:space="preserve">38.2</w:t>
            </w:r>
          </w:p>
        </w:tc>
        <w:tc>
          <w:tcPr/>
          <w:p>
            <w:pPr>
              <w:pStyle w:val="Compact"/>
              <w:jc w:val="right"/>
            </w:pPr>
            <w:r>
              <w:t xml:space="preserve">28.5</w:t>
            </w:r>
          </w:p>
        </w:tc>
        <w:tc>
          <w:tcPr/>
          <w:p>
            <w:pPr>
              <w:pStyle w:val="Compact"/>
              <w:jc w:val="right"/>
            </w:pPr>
            <w:r>
              <w:t xml:space="preserve">24.2</w:t>
            </w:r>
          </w:p>
        </w:tc>
        <w:tc>
          <w:tcPr/>
          <w:p>
            <w:pPr>
              <w:pStyle w:val="Compact"/>
              <w:jc w:val="right"/>
            </w:pPr>
            <w:r>
              <w:t xml:space="preserve">25.5</w:t>
            </w:r>
          </w:p>
        </w:tc>
      </w:tr>
      <w:tr>
        <w:tc>
          <w:tcPr/>
          <w:p>
            <w:pPr>
              <w:pStyle w:val="Compact"/>
              <w:jc w:val="left"/>
            </w:pPr>
            <w:r>
              <w:t xml:space="preserve">Palau</w:t>
            </w:r>
          </w:p>
        </w:tc>
        <w:tc>
          <w:tcPr/>
          <w:p>
            <w:pPr>
              <w:pStyle w:val="Compact"/>
              <w:jc w:val="right"/>
            </w:pPr>
            <w:r>
              <w:t xml:space="preserve">0.2</w:t>
            </w:r>
          </w:p>
        </w:tc>
        <w:tc>
          <w:tcPr/>
          <w:p>
            <w:pPr>
              <w:pStyle w:val="Compact"/>
              <w:jc w:val="right"/>
            </w:pPr>
            <w:r>
              <w:t xml:space="preserve">0.2</w:t>
            </w:r>
          </w:p>
        </w:tc>
        <w:tc>
          <w:tcPr/>
          <w:p>
            <w:pPr>
              <w:pStyle w:val="Compact"/>
              <w:jc w:val="right"/>
            </w:pPr>
            <w:r>
              <w:t xml:space="preserve">0.2</w:t>
            </w:r>
          </w:p>
        </w:tc>
        <w:tc>
          <w:tcPr/>
          <w:p>
            <w:pPr>
              <w:pStyle w:val="Compact"/>
              <w:jc w:val="right"/>
            </w:pPr>
            <w:r>
              <w:t xml:space="preserve">1.8</w:t>
            </w:r>
          </w:p>
        </w:tc>
        <w:tc>
          <w:tcPr/>
          <w:p>
            <w:pPr>
              <w:pStyle w:val="Compact"/>
              <w:jc w:val="right"/>
            </w:pPr>
            <w:r>
              <w:t xml:space="preserve">2.7</w:t>
            </w:r>
          </w:p>
        </w:tc>
        <w:tc>
          <w:tcPr/>
          <w:p>
            <w:pPr>
              <w:pStyle w:val="Compact"/>
              <w:jc w:val="right"/>
            </w:pPr>
            <w:r>
              <w:t xml:space="preserve">3.7</w:t>
            </w:r>
          </w:p>
        </w:tc>
        <w:tc>
          <w:tcPr/>
          <w:p>
            <w:pPr>
              <w:pStyle w:val="Compact"/>
              <w:jc w:val="right"/>
            </w:pPr>
            <w:r>
              <w:t xml:space="preserve">3.5</w:t>
            </w:r>
          </w:p>
        </w:tc>
        <w:tc>
          <w:tcPr/>
          <w:p>
            <w:pPr>
              <w:pStyle w:val="Compact"/>
              <w:jc w:val="right"/>
            </w:pPr>
            <w:r>
              <w:t xml:space="preserve">7.2</w:t>
            </w:r>
          </w:p>
        </w:tc>
        <w:tc>
          <w:tcPr/>
          <w:p>
            <w:pPr>
              <w:pStyle w:val="Compact"/>
              <w:jc w:val="right"/>
            </w:pPr>
            <w:r>
              <w:t xml:space="preserve">6.1</w:t>
            </w:r>
          </w:p>
        </w:tc>
        <w:tc>
          <w:tcPr/>
          <w:p>
            <w:pPr>
              <w:pStyle w:val="Compact"/>
              <w:jc w:val="right"/>
            </w:pPr>
            <w:r>
              <w:t xml:space="preserve">9.7</w:t>
            </w:r>
          </w:p>
        </w:tc>
        <w:tc>
          <w:tcPr/>
          <w:p>
            <w:pPr>
              <w:pStyle w:val="Compact"/>
              <w:jc w:val="right"/>
            </w:pPr>
            <w:r>
              <w:t xml:space="preserve">9.4</w:t>
            </w:r>
          </w:p>
        </w:tc>
        <w:tc>
          <w:tcPr/>
          <w:p>
            <w:pPr>
              <w:pStyle w:val="Compact"/>
              <w:jc w:val="right"/>
            </w:pPr>
            <w:r>
              <w:t xml:space="preserve">9.8</w:t>
            </w:r>
          </w:p>
        </w:tc>
        <w:tc>
          <w:tcPr/>
          <w:p>
            <w:pPr>
              <w:pStyle w:val="Compact"/>
              <w:jc w:val="right"/>
            </w:pPr>
            <w:r>
              <w:t xml:space="preserve">8.4</w:t>
            </w:r>
          </w:p>
        </w:tc>
        <w:tc>
          <w:tcPr/>
          <w:p>
            <w:pPr>
              <w:pStyle w:val="Compact"/>
              <w:jc w:val="right"/>
            </w:pPr>
            <w:r>
              <w:t xml:space="preserve">7.1</w:t>
            </w:r>
          </w:p>
        </w:tc>
        <w:tc>
          <w:tcPr/>
          <w:p>
            <w:pPr>
              <w:pStyle w:val="Compact"/>
              <w:jc w:val="right"/>
            </w:pPr>
            <w:r>
              <w:t xml:space="preserve">10.6</w:t>
            </w:r>
          </w:p>
        </w:tc>
        <w:tc>
          <w:tcPr/>
          <w:p>
            <w:pPr>
              <w:pStyle w:val="Compact"/>
              <w:jc w:val="right"/>
            </w:pPr>
            <w:r>
              <w:t xml:space="preserve">9.2</w:t>
            </w:r>
          </w:p>
        </w:tc>
      </w:tr>
      <w:tr>
        <w:tc>
          <w:tcPr/>
          <w:p>
            <w:pPr>
              <w:pStyle w:val="Compact"/>
              <w:jc w:val="left"/>
            </w:pPr>
            <w:r>
              <w:t xml:space="preserve">Cook Islands</w:t>
            </w:r>
          </w:p>
        </w:tc>
        <w:tc>
          <w:tcPr/>
          <w:p>
            <w:pPr>
              <w:pStyle w:val="Compact"/>
              <w:jc w:val="right"/>
            </w:pPr>
            <w:r>
              <w:t xml:space="preserve">0.8</w:t>
            </w:r>
          </w:p>
        </w:tc>
        <w:tc>
          <w:tcPr/>
          <w:p>
            <w:pPr>
              <w:pStyle w:val="Compact"/>
              <w:jc w:val="right"/>
            </w:pPr>
            <w:r>
              <w:t xml:space="preserve">1.6</w:t>
            </w:r>
          </w:p>
        </w:tc>
        <w:tc>
          <w:tcPr/>
          <w:p>
            <w:pPr>
              <w:pStyle w:val="Compact"/>
              <w:jc w:val="right"/>
            </w:pPr>
            <w:r>
              <w:t xml:space="preserve">1.5</w:t>
            </w:r>
          </w:p>
        </w:tc>
        <w:tc>
          <w:tcPr/>
          <w:p>
            <w:pPr>
              <w:pStyle w:val="Compact"/>
              <w:jc w:val="right"/>
            </w:pPr>
            <w:r>
              <w:t xml:space="preserve">2.8</w:t>
            </w:r>
          </w:p>
        </w:tc>
        <w:tc>
          <w:tcPr/>
          <w:p>
            <w:pPr>
              <w:pStyle w:val="Compact"/>
              <w:jc w:val="right"/>
            </w:pPr>
            <w:r>
              <w:t xml:space="preserve">3.1</w:t>
            </w:r>
          </w:p>
        </w:tc>
        <w:tc>
          <w:tcPr/>
          <w:p>
            <w:pPr>
              <w:pStyle w:val="Compact"/>
              <w:jc w:val="right"/>
            </w:pPr>
            <w:r>
              <w:t xml:space="preserve">2.1</w:t>
            </w:r>
          </w:p>
        </w:tc>
        <w:tc>
          <w:tcPr/>
          <w:p>
            <w:pPr>
              <w:pStyle w:val="Compact"/>
              <w:jc w:val="right"/>
            </w:pPr>
            <w:r>
              <w:t xml:space="preserve">6.8</w:t>
            </w:r>
          </w:p>
        </w:tc>
        <w:tc>
          <w:tcPr/>
          <w:p>
            <w:pPr>
              <w:pStyle w:val="Compact"/>
              <w:jc w:val="right"/>
            </w:pPr>
            <w:r>
              <w:t xml:space="preserve">8.3</w:t>
            </w:r>
          </w:p>
        </w:tc>
        <w:tc>
          <w:tcPr/>
          <w:p>
            <w:pPr>
              <w:pStyle w:val="Compact"/>
              <w:jc w:val="right"/>
            </w:pPr>
            <w:r>
              <w:t xml:space="preserve">12.8</w:t>
            </w:r>
          </w:p>
        </w:tc>
        <w:tc>
          <w:tcPr/>
          <w:p>
            <w:pPr>
              <w:pStyle w:val="Compact"/>
              <w:jc w:val="right"/>
            </w:pPr>
            <w:r>
              <w:t xml:space="preserve">17.7</w:t>
            </w:r>
          </w:p>
        </w:tc>
        <w:tc>
          <w:tcPr/>
          <w:p>
            <w:pPr>
              <w:pStyle w:val="Compact"/>
              <w:jc w:val="right"/>
            </w:pPr>
            <w:r>
              <w:t xml:space="preserve">12.6</w:t>
            </w:r>
          </w:p>
        </w:tc>
        <w:tc>
          <w:tcPr/>
          <w:p>
            <w:pPr>
              <w:pStyle w:val="Compact"/>
              <w:jc w:val="right"/>
            </w:pPr>
            <w:r>
              <w:t xml:space="preserve">14.0</w:t>
            </w:r>
          </w:p>
        </w:tc>
        <w:tc>
          <w:tcPr/>
          <w:p>
            <w:pPr>
              <w:pStyle w:val="Compact"/>
              <w:jc w:val="right"/>
            </w:pPr>
            <w:r>
              <w:t xml:space="preserve">7.5</w:t>
            </w:r>
          </w:p>
        </w:tc>
        <w:tc>
          <w:tcPr/>
          <w:p>
            <w:pPr>
              <w:pStyle w:val="Compact"/>
              <w:jc w:val="right"/>
            </w:pPr>
            <w:r>
              <w:t xml:space="preserve">4.5</w:t>
            </w:r>
          </w:p>
        </w:tc>
        <w:tc>
          <w:tcPr/>
          <w:p>
            <w:pPr>
              <w:pStyle w:val="Compact"/>
              <w:jc w:val="right"/>
            </w:pPr>
            <w:r>
              <w:t xml:space="preserve">6.3</w:t>
            </w:r>
          </w:p>
        </w:tc>
        <w:tc>
          <w:tcPr/>
          <w:p>
            <w:pPr>
              <w:pStyle w:val="Compact"/>
              <w:jc w:val="right"/>
            </w:pPr>
            <w:r>
              <w:t xml:space="preserve">5.6</w:t>
            </w:r>
          </w:p>
        </w:tc>
      </w:tr>
      <w:tr>
        <w:tc>
          <w:tcPr/>
          <w:p>
            <w:pPr>
              <w:pStyle w:val="Compact"/>
              <w:jc w:val="left"/>
            </w:pPr>
            <w:r>
              <w:t xml:space="preserve">Tokelau</w:t>
            </w:r>
          </w:p>
        </w:tc>
        <w:tc>
          <w:tcPr/>
          <w:p>
            <w:pPr>
              <w:pStyle w:val="Compact"/>
              <w:jc w:val="right"/>
            </w:pPr>
            <w:r>
              <w:t xml:space="preserve">1.1</w:t>
            </w:r>
          </w:p>
        </w:tc>
        <w:tc>
          <w:tcPr/>
          <w:p>
            <w:pPr>
              <w:pStyle w:val="Compact"/>
              <w:jc w:val="right"/>
            </w:pPr>
            <w:r>
              <w:t xml:space="preserve">1.1</w:t>
            </w:r>
          </w:p>
        </w:tc>
        <w:tc>
          <w:tcPr/>
          <w:p>
            <w:pPr>
              <w:pStyle w:val="Compact"/>
              <w:jc w:val="right"/>
            </w:pPr>
            <w:r>
              <w:t xml:space="preserve">1.0</w:t>
            </w:r>
          </w:p>
        </w:tc>
        <w:tc>
          <w:tcPr/>
          <w:p>
            <w:pPr>
              <w:pStyle w:val="Compact"/>
              <w:jc w:val="right"/>
            </w:pPr>
            <w:r>
              <w:t xml:space="preserve">1.2</w:t>
            </w:r>
          </w:p>
        </w:tc>
        <w:tc>
          <w:tcPr/>
          <w:p>
            <w:pPr>
              <w:pStyle w:val="Compact"/>
              <w:jc w:val="right"/>
            </w:pPr>
            <w:r>
              <w:t xml:space="preserve">3.1</w:t>
            </w:r>
          </w:p>
        </w:tc>
        <w:tc>
          <w:tcPr/>
          <w:p>
            <w:pPr>
              <w:pStyle w:val="Compact"/>
              <w:jc w:val="right"/>
            </w:pPr>
            <w:r>
              <w:t xml:space="preserve">6.4</w:t>
            </w:r>
          </w:p>
        </w:tc>
        <w:tc>
          <w:tcPr/>
          <w:p>
            <w:pPr>
              <w:pStyle w:val="Compact"/>
              <w:jc w:val="right"/>
            </w:pPr>
            <w:r>
              <w:t xml:space="preserve">9.1</w:t>
            </w:r>
          </w:p>
        </w:tc>
        <w:tc>
          <w:tcPr/>
          <w:p>
            <w:pPr>
              <w:pStyle w:val="Compact"/>
              <w:jc w:val="right"/>
            </w:pPr>
            <w:r>
              <w:t xml:space="preserve">10.4</w:t>
            </w:r>
          </w:p>
        </w:tc>
        <w:tc>
          <w:tcPr/>
          <w:p>
            <w:pPr>
              <w:pStyle w:val="Compact"/>
              <w:jc w:val="right"/>
            </w:pPr>
            <w:r>
              <w:t xml:space="preserve">13.3</w:t>
            </w:r>
          </w:p>
        </w:tc>
        <w:tc>
          <w:tcPr/>
          <w:p>
            <w:pPr>
              <w:pStyle w:val="Compact"/>
              <w:jc w:val="right"/>
            </w:pPr>
            <w:r>
              <w:t xml:space="preserve">12.8</w:t>
            </w:r>
          </w:p>
        </w:tc>
        <w:tc>
          <w:tcPr/>
          <w:p>
            <w:pPr>
              <w:pStyle w:val="Compact"/>
              <w:jc w:val="right"/>
            </w:pPr>
            <w:r>
              <w:t xml:space="preserve">12.7</w:t>
            </w:r>
          </w:p>
        </w:tc>
        <w:tc>
          <w:tcPr/>
          <w:p>
            <w:pPr>
              <w:pStyle w:val="Compact"/>
              <w:jc w:val="right"/>
            </w:pPr>
            <w:r>
              <w:t xml:space="preserve">12.8</w:t>
            </w:r>
          </w:p>
        </w:tc>
        <w:tc>
          <w:tcPr/>
          <w:p>
            <w:pPr>
              <w:pStyle w:val="Compact"/>
              <w:jc w:val="right"/>
            </w:pPr>
            <w:r>
              <w:t xml:space="preserve">13.0</w:t>
            </w:r>
          </w:p>
        </w:tc>
        <w:tc>
          <w:tcPr/>
          <w:p>
            <w:pPr>
              <w:pStyle w:val="Compact"/>
              <w:jc w:val="right"/>
            </w:pPr>
            <w:r>
              <w:t xml:space="preserve">12.6</w:t>
            </w:r>
          </w:p>
        </w:tc>
        <w:tc>
          <w:tcPr/>
          <w:p>
            <w:pPr>
              <w:pStyle w:val="Compact"/>
              <w:jc w:val="right"/>
            </w:pPr>
            <w:r>
              <w:t xml:space="preserve">8.7</w:t>
            </w:r>
          </w:p>
        </w:tc>
        <w:tc>
          <w:tcPr/>
          <w:p>
            <w:pPr>
              <w:pStyle w:val="Compact"/>
              <w:jc w:val="right"/>
            </w:pPr>
            <w:r>
              <w:t xml:space="preserve">3.9</w:t>
            </w:r>
          </w:p>
        </w:tc>
      </w:tr>
      <w:tr>
        <w:tc>
          <w:tcPr/>
          <w:p>
            <w:pPr>
              <w:pStyle w:val="Compact"/>
              <w:jc w:val="left"/>
            </w:pPr>
            <w:r>
              <w:t xml:space="preserve">Vanuatu</w:t>
            </w:r>
          </w:p>
        </w:tc>
        <w:tc>
          <w:tcPr/>
          <w:p>
            <w:pPr>
              <w:pStyle w:val="Compact"/>
              <w:jc w:val="right"/>
            </w:pPr>
            <w:r>
              <w:t xml:space="preserve">1.7</w:t>
            </w:r>
          </w:p>
        </w:tc>
        <w:tc>
          <w:tcPr/>
          <w:p>
            <w:pPr>
              <w:pStyle w:val="Compact"/>
              <w:jc w:val="right"/>
            </w:pPr>
            <w:r>
              <w:t xml:space="preserve">1.8</w:t>
            </w:r>
          </w:p>
        </w:tc>
        <w:tc>
          <w:tcPr/>
          <w:p>
            <w:pPr>
              <w:pStyle w:val="Compact"/>
              <w:jc w:val="right"/>
            </w:pPr>
            <w:r>
              <w:t xml:space="preserve">1.6</w:t>
            </w:r>
          </w:p>
        </w:tc>
        <w:tc>
          <w:tcPr/>
          <w:p>
            <w:pPr>
              <w:pStyle w:val="Compact"/>
              <w:jc w:val="right"/>
            </w:pPr>
            <w:r>
              <w:t xml:space="preserve">2.3</w:t>
            </w:r>
          </w:p>
        </w:tc>
        <w:tc>
          <w:tcPr/>
          <w:p>
            <w:pPr>
              <w:pStyle w:val="Compact"/>
              <w:jc w:val="right"/>
            </w:pPr>
            <w:r>
              <w:t xml:space="preserve">2.0</w:t>
            </w:r>
          </w:p>
        </w:tc>
        <w:tc>
          <w:tcPr/>
          <w:p>
            <w:pPr>
              <w:pStyle w:val="Compact"/>
              <w:jc w:val="right"/>
            </w:pPr>
            <w:r>
              <w:t xml:space="preserve">2.2</w:t>
            </w:r>
          </w:p>
        </w:tc>
        <w:tc>
          <w:tcPr/>
          <w:p>
            <w:pPr>
              <w:pStyle w:val="Compact"/>
              <w:jc w:val="right"/>
            </w:pPr>
            <w:r>
              <w:t xml:space="preserve">2.0</w:t>
            </w:r>
          </w:p>
        </w:tc>
        <w:tc>
          <w:tcPr/>
          <w:p>
            <w:pPr>
              <w:pStyle w:val="Compact"/>
              <w:jc w:val="right"/>
            </w:pPr>
            <w:r>
              <w:t xml:space="preserve">2.3</w:t>
            </w:r>
          </w:p>
        </w:tc>
        <w:tc>
          <w:tcPr/>
          <w:p>
            <w:pPr>
              <w:pStyle w:val="Compact"/>
              <w:jc w:val="right"/>
            </w:pPr>
            <w:r>
              <w:t xml:space="preserve">2.9</w:t>
            </w:r>
          </w:p>
        </w:tc>
        <w:tc>
          <w:tcPr/>
          <w:p>
            <w:pPr>
              <w:pStyle w:val="Compact"/>
              <w:jc w:val="right"/>
            </w:pPr>
            <w:r>
              <w:t xml:space="preserve">3.4</w:t>
            </w:r>
          </w:p>
        </w:tc>
        <w:tc>
          <w:tcPr/>
          <w:p>
            <w:pPr>
              <w:pStyle w:val="Compact"/>
              <w:jc w:val="right"/>
            </w:pPr>
            <w:r>
              <w:t xml:space="preserve">2.6</w:t>
            </w:r>
          </w:p>
        </w:tc>
        <w:tc>
          <w:tcPr/>
          <w:p>
            <w:pPr>
              <w:pStyle w:val="Compact"/>
              <w:jc w:val="right"/>
            </w:pPr>
            <w:r>
              <w:t xml:space="preserve">2.6</w:t>
            </w:r>
          </w:p>
        </w:tc>
        <w:tc>
          <w:tcPr/>
          <w:p>
            <w:pPr>
              <w:pStyle w:val="Compact"/>
              <w:jc w:val="right"/>
            </w:pPr>
            <w:r>
              <w:t xml:space="preserve">2.6</w:t>
            </w:r>
          </w:p>
        </w:tc>
        <w:tc>
          <w:tcPr/>
          <w:p>
            <w:pPr>
              <w:pStyle w:val="Compact"/>
              <w:jc w:val="right"/>
            </w:pPr>
            <w:r>
              <w:t xml:space="preserve">1.6</w:t>
            </w:r>
          </w:p>
        </w:tc>
        <w:tc>
          <w:tcPr/>
          <w:p>
            <w:pPr>
              <w:pStyle w:val="Compact"/>
              <w:jc w:val="right"/>
            </w:pPr>
            <w:r>
              <w:t xml:space="preserve">2.5</w:t>
            </w:r>
          </w:p>
        </w:tc>
        <w:tc>
          <w:tcPr/>
          <w:p>
            <w:pPr>
              <w:pStyle w:val="Compact"/>
              <w:jc w:val="right"/>
            </w:pPr>
            <w:r>
              <w:t xml:space="preserve">1.9</w:t>
            </w:r>
          </w:p>
        </w:tc>
      </w:tr>
      <w:tr>
        <w:tc>
          <w:tcPr/>
          <w:p>
            <w:pPr>
              <w:pStyle w:val="Compact"/>
              <w:jc w:val="left"/>
            </w:pPr>
            <w:r>
              <w:t xml:space="preserve">Fiji</w:t>
            </w:r>
          </w:p>
        </w:tc>
        <w:tc>
          <w:tcPr/>
          <w:p>
            <w:pPr>
              <w:pStyle w:val="Compact"/>
              <w:jc w:val="right"/>
            </w:pPr>
            <w:r>
              <w:t xml:space="preserve">1.0</w:t>
            </w:r>
          </w:p>
        </w:tc>
        <w:tc>
          <w:tcPr/>
          <w:p>
            <w:pPr>
              <w:pStyle w:val="Compact"/>
              <w:jc w:val="right"/>
            </w:pPr>
            <w:r>
              <w:t xml:space="preserve">1.1</w:t>
            </w:r>
          </w:p>
        </w:tc>
        <w:tc>
          <w:tcPr/>
          <w:p>
            <w:pPr>
              <w:pStyle w:val="Compact"/>
              <w:jc w:val="right"/>
            </w:pPr>
            <w:r>
              <w:t xml:space="preserve">1.3</w:t>
            </w:r>
          </w:p>
        </w:tc>
        <w:tc>
          <w:tcPr/>
          <w:p>
            <w:pPr>
              <w:pStyle w:val="Compact"/>
              <w:jc w:val="right"/>
            </w:pPr>
            <w:r>
              <w:t xml:space="preserve">1.2</w:t>
            </w:r>
          </w:p>
        </w:tc>
        <w:tc>
          <w:tcPr/>
          <w:p>
            <w:pPr>
              <w:pStyle w:val="Compact"/>
              <w:jc w:val="right"/>
            </w:pPr>
            <w:r>
              <w:t xml:space="preserve">1.5</w:t>
            </w:r>
          </w:p>
        </w:tc>
        <w:tc>
          <w:tcPr/>
          <w:p>
            <w:pPr>
              <w:pStyle w:val="Compact"/>
              <w:jc w:val="right"/>
            </w:pPr>
            <w:r>
              <w:t xml:space="preserve">1.2</w:t>
            </w:r>
          </w:p>
        </w:tc>
        <w:tc>
          <w:tcPr/>
          <w:p>
            <w:pPr>
              <w:pStyle w:val="Compact"/>
              <w:jc w:val="right"/>
            </w:pPr>
            <w:r>
              <w:t xml:space="preserve">1.6</w:t>
            </w:r>
          </w:p>
        </w:tc>
        <w:tc>
          <w:tcPr/>
          <w:p>
            <w:pPr>
              <w:pStyle w:val="Compact"/>
              <w:jc w:val="right"/>
            </w:pPr>
            <w:r>
              <w:t xml:space="preserve">1.7</w:t>
            </w:r>
          </w:p>
        </w:tc>
        <w:tc>
          <w:tcPr/>
          <w:p>
            <w:pPr>
              <w:pStyle w:val="Compact"/>
              <w:jc w:val="right"/>
            </w:pPr>
            <w:r>
              <w:t xml:space="preserve">1.7</w:t>
            </w:r>
          </w:p>
        </w:tc>
        <w:tc>
          <w:tcPr/>
          <w:p>
            <w:pPr>
              <w:pStyle w:val="Compact"/>
              <w:jc w:val="right"/>
            </w:pPr>
            <w:r>
              <w:t xml:space="preserve">2.3</w:t>
            </w:r>
          </w:p>
        </w:tc>
        <w:tc>
          <w:tcPr/>
          <w:p>
            <w:pPr>
              <w:pStyle w:val="Compact"/>
              <w:jc w:val="right"/>
            </w:pPr>
            <w:r>
              <w:t xml:space="preserve">2.1</w:t>
            </w:r>
          </w:p>
        </w:tc>
        <w:tc>
          <w:tcPr/>
          <w:p>
            <w:pPr>
              <w:pStyle w:val="Compact"/>
              <w:jc w:val="right"/>
            </w:pPr>
            <w:r>
              <w:t xml:space="preserve">2.2</w:t>
            </w:r>
          </w:p>
        </w:tc>
        <w:tc>
          <w:tcPr/>
          <w:p>
            <w:pPr>
              <w:pStyle w:val="Compact"/>
              <w:jc w:val="right"/>
            </w:pPr>
            <w:r>
              <w:t xml:space="preserve">2.3</w:t>
            </w:r>
          </w:p>
        </w:tc>
        <w:tc>
          <w:tcPr/>
          <w:p>
            <w:pPr>
              <w:pStyle w:val="Compact"/>
              <w:jc w:val="right"/>
            </w:pPr>
            <w:r>
              <w:t xml:space="preserve">1.9</w:t>
            </w:r>
          </w:p>
        </w:tc>
        <w:tc>
          <w:tcPr/>
          <w:p>
            <w:pPr>
              <w:pStyle w:val="Compact"/>
              <w:jc w:val="right"/>
            </w:pPr>
            <w:r>
              <w:t xml:space="preserve">2.1</w:t>
            </w:r>
          </w:p>
        </w:tc>
        <w:tc>
          <w:tcPr/>
          <w:p>
            <w:pPr>
              <w:pStyle w:val="Compact"/>
              <w:jc w:val="right"/>
            </w:pPr>
            <w:r>
              <w:t xml:space="preserve">1.8</w:t>
            </w:r>
          </w:p>
        </w:tc>
      </w:tr>
      <w:tr>
        <w:tc>
          <w:tcPr/>
          <w:p>
            <w:pPr>
              <w:pStyle w:val="Compact"/>
              <w:jc w:val="left"/>
            </w:pPr>
            <w:r>
              <w:t xml:space="preserve">Tonga</w:t>
            </w:r>
          </w:p>
        </w:tc>
        <w:tc>
          <w:tcPr/>
          <w:p>
            <w:pPr>
              <w:pStyle w:val="Compact"/>
              <w:jc w:val="right"/>
            </w:pPr>
            <w:r>
              <w:t xml:space="preserve">0.4</w:t>
            </w:r>
          </w:p>
        </w:tc>
        <w:tc>
          <w:tcPr/>
          <w:p>
            <w:pPr>
              <w:pStyle w:val="Compact"/>
              <w:jc w:val="right"/>
            </w:pPr>
            <w:r>
              <w:t xml:space="preserve">0.4</w:t>
            </w:r>
          </w:p>
        </w:tc>
        <w:tc>
          <w:tcPr/>
          <w:p>
            <w:pPr>
              <w:pStyle w:val="Compact"/>
              <w:jc w:val="right"/>
            </w:pPr>
            <w:r>
              <w:t xml:space="preserve">0.3</w:t>
            </w:r>
          </w:p>
        </w:tc>
        <w:tc>
          <w:tcPr/>
          <w:p>
            <w:pPr>
              <w:pStyle w:val="Compact"/>
              <w:jc w:val="right"/>
            </w:pPr>
            <w:r>
              <w:t xml:space="preserve">0.4</w:t>
            </w:r>
          </w:p>
        </w:tc>
        <w:tc>
          <w:tcPr/>
          <w:p>
            <w:pPr>
              <w:pStyle w:val="Compact"/>
              <w:jc w:val="right"/>
            </w:pPr>
            <w:r>
              <w:t xml:space="preserve">0.9</w:t>
            </w:r>
          </w:p>
        </w:tc>
        <w:tc>
          <w:tcPr/>
          <w:p>
            <w:pPr>
              <w:pStyle w:val="Compact"/>
              <w:jc w:val="right"/>
            </w:pPr>
            <w:r>
              <w:t xml:space="preserve">1.2</w:t>
            </w:r>
          </w:p>
        </w:tc>
        <w:tc>
          <w:tcPr/>
          <w:p>
            <w:pPr>
              <w:pStyle w:val="Compact"/>
              <w:jc w:val="right"/>
            </w:pPr>
            <w:r>
              <w:t xml:space="preserve">0.8</w:t>
            </w:r>
          </w:p>
        </w:tc>
        <w:tc>
          <w:tcPr/>
          <w:p>
            <w:pPr>
              <w:pStyle w:val="Compact"/>
              <w:jc w:val="right"/>
            </w:pPr>
            <w:r>
              <w:t xml:space="preserve">1.0</w:t>
            </w:r>
          </w:p>
        </w:tc>
        <w:tc>
          <w:tcPr/>
          <w:p>
            <w:pPr>
              <w:pStyle w:val="Compact"/>
              <w:jc w:val="right"/>
            </w:pPr>
            <w:r>
              <w:t xml:space="preserve">1.1</w:t>
            </w:r>
          </w:p>
        </w:tc>
        <w:tc>
          <w:tcPr/>
          <w:p>
            <w:pPr>
              <w:pStyle w:val="Compact"/>
              <w:jc w:val="right"/>
            </w:pPr>
            <w:r>
              <w:t xml:space="preserve">1.5</w:t>
            </w:r>
          </w:p>
        </w:tc>
        <w:tc>
          <w:tcPr/>
          <w:p>
            <w:pPr>
              <w:pStyle w:val="Compact"/>
              <w:jc w:val="right"/>
            </w:pPr>
            <w:r>
              <w:t xml:space="preserve">1.4</w:t>
            </w:r>
          </w:p>
        </w:tc>
        <w:tc>
          <w:tcPr/>
          <w:p>
            <w:pPr>
              <w:pStyle w:val="Compact"/>
              <w:jc w:val="right"/>
            </w:pPr>
            <w:r>
              <w:t xml:space="preserve">1.7</w:t>
            </w:r>
          </w:p>
        </w:tc>
        <w:tc>
          <w:tcPr/>
          <w:p>
            <w:pPr>
              <w:pStyle w:val="Compact"/>
              <w:jc w:val="right"/>
            </w:pPr>
            <w:r>
              <w:t xml:space="preserve">1.7</w:t>
            </w:r>
          </w:p>
        </w:tc>
        <w:tc>
          <w:tcPr/>
          <w:p>
            <w:pPr>
              <w:pStyle w:val="Compact"/>
              <w:jc w:val="right"/>
            </w:pPr>
            <w:r>
              <w:t xml:space="preserve">1.7</w:t>
            </w:r>
          </w:p>
        </w:tc>
        <w:tc>
          <w:tcPr/>
          <w:p>
            <w:pPr>
              <w:pStyle w:val="Compact"/>
              <w:jc w:val="right"/>
            </w:pPr>
            <w:r>
              <w:t xml:space="preserve">1.6</w:t>
            </w:r>
          </w:p>
        </w:tc>
        <w:tc>
          <w:tcPr/>
          <w:p>
            <w:pPr>
              <w:pStyle w:val="Compact"/>
              <w:jc w:val="right"/>
            </w:pPr>
            <w:r>
              <w:t xml:space="preserve">1.7</w:t>
            </w:r>
          </w:p>
        </w:tc>
      </w:tr>
      <w:tr>
        <w:tc>
          <w:tcPr/>
          <w:p>
            <w:pPr>
              <w:pStyle w:val="Compact"/>
              <w:jc w:val="left"/>
            </w:pPr>
            <w:r>
              <w:t xml:space="preserve">Samoa</w:t>
            </w:r>
          </w:p>
        </w:tc>
        <w:tc>
          <w:tcPr/>
          <w:p>
            <w:pPr>
              <w:pStyle w:val="Compact"/>
              <w:jc w:val="right"/>
            </w:pPr>
            <w:r>
              <w:t xml:space="preserve">0.6</w:t>
            </w:r>
          </w:p>
        </w:tc>
        <w:tc>
          <w:tcPr/>
          <w:p>
            <w:pPr>
              <w:pStyle w:val="Compact"/>
              <w:jc w:val="right"/>
            </w:pPr>
            <w:r>
              <w:t xml:space="preserve">0.6</w:t>
            </w:r>
          </w:p>
        </w:tc>
        <w:tc>
          <w:tcPr/>
          <w:p>
            <w:pPr>
              <w:pStyle w:val="Compact"/>
              <w:jc w:val="right"/>
            </w:pPr>
            <w:r>
              <w:t xml:space="preserve">0.7</w:t>
            </w:r>
          </w:p>
        </w:tc>
        <w:tc>
          <w:tcPr/>
          <w:p>
            <w:pPr>
              <w:pStyle w:val="Compact"/>
              <w:jc w:val="right"/>
            </w:pPr>
            <w:r>
              <w:t xml:space="preserve">0.6</w:t>
            </w:r>
          </w:p>
        </w:tc>
        <w:tc>
          <w:tcPr/>
          <w:p>
            <w:pPr>
              <w:pStyle w:val="Compact"/>
              <w:jc w:val="right"/>
            </w:pPr>
            <w:r>
              <w:t xml:space="preserve">0.8</w:t>
            </w:r>
          </w:p>
        </w:tc>
        <w:tc>
          <w:tcPr/>
          <w:p>
            <w:pPr>
              <w:pStyle w:val="Compact"/>
              <w:jc w:val="right"/>
            </w:pPr>
            <w:r>
              <w:t xml:space="preserve">0.9</w:t>
            </w:r>
          </w:p>
        </w:tc>
        <w:tc>
          <w:tcPr/>
          <w:p>
            <w:pPr>
              <w:pStyle w:val="Compact"/>
              <w:jc w:val="right"/>
            </w:pPr>
            <w:r>
              <w:t xml:space="preserve">0.7</w:t>
            </w:r>
          </w:p>
        </w:tc>
        <w:tc>
          <w:tcPr/>
          <w:p>
            <w:pPr>
              <w:pStyle w:val="Compact"/>
              <w:jc w:val="right"/>
            </w:pPr>
            <w:r>
              <w:t xml:space="preserve">1.3</w:t>
            </w:r>
          </w:p>
        </w:tc>
        <w:tc>
          <w:tcPr/>
          <w:p>
            <w:pPr>
              <w:pStyle w:val="Compact"/>
              <w:jc w:val="right"/>
            </w:pPr>
            <w:r>
              <w:t xml:space="preserve">0.7</w:t>
            </w:r>
          </w:p>
        </w:tc>
        <w:tc>
          <w:tcPr/>
          <w:p>
            <w:pPr>
              <w:pStyle w:val="Compact"/>
              <w:jc w:val="right"/>
            </w:pPr>
            <w:r>
              <w:t xml:space="preserve">1.2</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1.2</w:t>
            </w:r>
          </w:p>
        </w:tc>
        <w:tc>
          <w:tcPr/>
          <w:p>
            <w:pPr>
              <w:pStyle w:val="Compact"/>
              <w:jc w:val="right"/>
            </w:pPr>
            <w:r>
              <w:t xml:space="preserve">1.2</w:t>
            </w:r>
          </w:p>
        </w:tc>
        <w:tc>
          <w:tcPr/>
          <w:p>
            <w:pPr>
              <w:pStyle w:val="Compact"/>
              <w:jc w:val="right"/>
            </w:pPr>
            <w:r>
              <w:t xml:space="preserve">1.2</w:t>
            </w:r>
          </w:p>
        </w:tc>
      </w:tr>
      <w:tr>
        <w:tc>
          <w:tcPr/>
          <w:p>
            <w:pPr>
              <w:pStyle w:val="Compact"/>
              <w:jc w:val="left"/>
            </w:pPr>
            <w:r>
              <w:t xml:space="preserve">Niue</w:t>
            </w:r>
          </w:p>
        </w:tc>
        <w:tc>
          <w:tcPr/>
          <w:p>
            <w:pPr>
              <w:pStyle w:val="Compact"/>
              <w:jc w:val="right"/>
            </w:pPr>
            <w:r>
              <w:t xml:space="preserve">0.4</w:t>
            </w:r>
          </w:p>
        </w:tc>
        <w:tc>
          <w:tcPr/>
          <w:p>
            <w:pPr>
              <w:pStyle w:val="Compact"/>
              <w:jc w:val="right"/>
            </w:pPr>
            <w:r>
              <w:t xml:space="preserve">0.4</w:t>
            </w:r>
          </w:p>
        </w:tc>
        <w:tc>
          <w:tcPr/>
          <w:p>
            <w:pPr>
              <w:pStyle w:val="Compact"/>
              <w:jc w:val="right"/>
            </w:pPr>
            <w:r>
              <w:t xml:space="preserve">0.3</w:t>
            </w:r>
          </w:p>
        </w:tc>
        <w:tc>
          <w:tcPr/>
          <w:p>
            <w:pPr>
              <w:pStyle w:val="Compact"/>
              <w:jc w:val="right"/>
            </w:pPr>
            <w:r>
              <w:t xml:space="preserve">0.3</w:t>
            </w:r>
          </w:p>
        </w:tc>
        <w:tc>
          <w:tcPr/>
          <w:p>
            <w:pPr>
              <w:pStyle w:val="Compact"/>
              <w:jc w:val="right"/>
            </w:pPr>
            <w:r>
              <w:t xml:space="preserve">0.5</w:t>
            </w:r>
          </w:p>
        </w:tc>
        <w:tc>
          <w:tcPr/>
          <w:p>
            <w:pPr>
              <w:pStyle w:val="Compact"/>
              <w:jc w:val="right"/>
            </w:pPr>
            <w:r>
              <w:t xml:space="preserve">0.8</w:t>
            </w:r>
          </w:p>
        </w:tc>
        <w:tc>
          <w:tcPr/>
          <w:p>
            <w:pPr>
              <w:pStyle w:val="Compact"/>
              <w:jc w:val="right"/>
            </w:pPr>
            <w:r>
              <w:t xml:space="preserve">0.8</w:t>
            </w:r>
          </w:p>
        </w:tc>
        <w:tc>
          <w:tcPr/>
          <w:p>
            <w:pPr>
              <w:pStyle w:val="Compact"/>
              <w:jc w:val="right"/>
            </w:pPr>
            <w:r>
              <w:t xml:space="preserve">0.7</w:t>
            </w:r>
          </w:p>
        </w:tc>
        <w:tc>
          <w:tcPr/>
          <w:p>
            <w:pPr>
              <w:pStyle w:val="Compact"/>
              <w:jc w:val="right"/>
            </w:pPr>
            <w:r>
              <w:t xml:space="preserve">0.7</w:t>
            </w:r>
          </w:p>
        </w:tc>
        <w:tc>
          <w:tcPr/>
          <w:p>
            <w:pPr>
              <w:pStyle w:val="Compact"/>
              <w:jc w:val="right"/>
            </w:pPr>
            <w:r>
              <w:t xml:space="preserve">1.0</w:t>
            </w:r>
          </w:p>
        </w:tc>
        <w:tc>
          <w:tcPr/>
          <w:p>
            <w:pPr>
              <w:pStyle w:val="Compact"/>
              <w:jc w:val="right"/>
            </w:pPr>
            <w:r>
              <w:t xml:space="preserve">1.2</w:t>
            </w:r>
          </w:p>
        </w:tc>
        <w:tc>
          <w:tcPr/>
          <w:p>
            <w:pPr>
              <w:pStyle w:val="Compact"/>
              <w:jc w:val="right"/>
            </w:pPr>
            <w:r>
              <w:t xml:space="preserve">1.2</w:t>
            </w:r>
          </w:p>
        </w:tc>
        <w:tc>
          <w:tcPr/>
          <w:p>
            <w:pPr>
              <w:pStyle w:val="Compact"/>
              <w:jc w:val="right"/>
            </w:pPr>
            <w:r>
              <w:t xml:space="preserve">1.2</w:t>
            </w:r>
          </w:p>
        </w:tc>
        <w:tc>
          <w:tcPr/>
          <w:p>
            <w:pPr>
              <w:pStyle w:val="Compact"/>
              <w:jc w:val="right"/>
            </w:pPr>
            <w:r>
              <w:t xml:space="preserve">1.1</w:t>
            </w:r>
          </w:p>
        </w:tc>
        <w:tc>
          <w:tcPr/>
          <w:p>
            <w:pPr>
              <w:pStyle w:val="Compact"/>
              <w:jc w:val="right"/>
            </w:pPr>
            <w:r>
              <w:t xml:space="preserve">1.1</w:t>
            </w:r>
          </w:p>
        </w:tc>
        <w:tc>
          <w:tcPr/>
          <w:p>
            <w:pPr>
              <w:pStyle w:val="Compact"/>
              <w:jc w:val="right"/>
            </w:pPr>
            <w:r>
              <w:t xml:space="preserve">1.1</w:t>
            </w:r>
          </w:p>
        </w:tc>
      </w:tr>
      <w:tr>
        <w:tc>
          <w:tcPr/>
          <w:p>
            <w:pPr>
              <w:pStyle w:val="Compact"/>
              <w:jc w:val="left"/>
            </w:pPr>
            <w:r>
              <w:t xml:space="preserve">Total</w:t>
            </w:r>
          </w:p>
        </w:tc>
        <w:tc>
          <w:tcPr/>
          <w:p>
            <w:pPr>
              <w:pStyle w:val="Compact"/>
              <w:jc w:val="right"/>
            </w:pPr>
            <w:r>
              <w:t xml:space="preserve">134.3</w:t>
            </w:r>
          </w:p>
        </w:tc>
        <w:tc>
          <w:tcPr/>
          <w:p>
            <w:pPr>
              <w:pStyle w:val="Compact"/>
              <w:jc w:val="right"/>
            </w:pPr>
            <w:r>
              <w:t xml:space="preserve">114.3</w:t>
            </w:r>
          </w:p>
        </w:tc>
        <w:tc>
          <w:tcPr/>
          <w:p>
            <w:pPr>
              <w:pStyle w:val="Compact"/>
              <w:jc w:val="right"/>
            </w:pPr>
            <w:r>
              <w:t xml:space="preserve">159.6</w:t>
            </w:r>
          </w:p>
        </w:tc>
        <w:tc>
          <w:tcPr/>
          <w:p>
            <w:pPr>
              <w:pStyle w:val="Compact"/>
              <w:jc w:val="right"/>
            </w:pPr>
            <w:r>
              <w:t xml:space="preserve">174.1</w:t>
            </w:r>
          </w:p>
        </w:tc>
        <w:tc>
          <w:tcPr/>
          <w:p>
            <w:pPr>
              <w:pStyle w:val="Compact"/>
              <w:jc w:val="right"/>
            </w:pPr>
            <w:r>
              <w:t xml:space="preserve">224.8</w:t>
            </w:r>
          </w:p>
        </w:tc>
        <w:tc>
          <w:tcPr/>
          <w:p>
            <w:pPr>
              <w:pStyle w:val="Compact"/>
              <w:jc w:val="right"/>
            </w:pPr>
            <w:r>
              <w:t xml:space="preserve">289.6</w:t>
            </w:r>
          </w:p>
        </w:tc>
        <w:tc>
          <w:tcPr/>
          <w:p>
            <w:pPr>
              <w:pStyle w:val="Compact"/>
              <w:jc w:val="right"/>
            </w:pPr>
            <w:r>
              <w:t xml:space="preserve">370.6</w:t>
            </w:r>
          </w:p>
        </w:tc>
        <w:tc>
          <w:tcPr/>
          <w:p>
            <w:pPr>
              <w:pStyle w:val="Compact"/>
              <w:jc w:val="right"/>
            </w:pPr>
            <w:r>
              <w:t xml:space="preserve">454.4</w:t>
            </w:r>
          </w:p>
        </w:tc>
        <w:tc>
          <w:tcPr/>
          <w:p>
            <w:pPr>
              <w:pStyle w:val="Compact"/>
              <w:jc w:val="right"/>
            </w:pPr>
            <w:r>
              <w:t xml:space="preserve">446.5</w:t>
            </w:r>
          </w:p>
        </w:tc>
        <w:tc>
          <w:tcPr/>
          <w:p>
            <w:pPr>
              <w:pStyle w:val="Compact"/>
              <w:jc w:val="right"/>
            </w:pPr>
            <w:r>
              <w:t xml:space="preserve">496.1</w:t>
            </w:r>
          </w:p>
        </w:tc>
        <w:tc>
          <w:tcPr/>
          <w:p>
            <w:pPr>
              <w:pStyle w:val="Compact"/>
              <w:jc w:val="right"/>
            </w:pPr>
            <w:r>
              <w:t xml:space="preserve">496.9</w:t>
            </w:r>
          </w:p>
        </w:tc>
        <w:tc>
          <w:tcPr/>
          <w:p>
            <w:pPr>
              <w:pStyle w:val="Compact"/>
              <w:jc w:val="right"/>
            </w:pPr>
            <w:r>
              <w:t xml:space="preserve">490.3</w:t>
            </w:r>
          </w:p>
        </w:tc>
        <w:tc>
          <w:tcPr/>
          <w:p>
            <w:pPr>
              <w:pStyle w:val="Compact"/>
              <w:jc w:val="right"/>
            </w:pPr>
            <w:r>
              <w:t xml:space="preserve">481.0</w:t>
            </w:r>
          </w:p>
        </w:tc>
        <w:tc>
          <w:tcPr/>
          <w:p>
            <w:pPr>
              <w:pStyle w:val="Compact"/>
              <w:jc w:val="right"/>
            </w:pPr>
            <w:r>
              <w:t xml:space="preserve">483.5</w:t>
            </w:r>
          </w:p>
        </w:tc>
        <w:tc>
          <w:tcPr/>
          <w:p>
            <w:pPr>
              <w:pStyle w:val="Compact"/>
              <w:jc w:val="right"/>
            </w:pPr>
            <w:r>
              <w:t xml:space="preserve">458.3</w:t>
            </w:r>
          </w:p>
        </w:tc>
        <w:tc>
          <w:tcPr/>
          <w:p>
            <w:pPr>
              <w:pStyle w:val="Compact"/>
              <w:jc w:val="right"/>
            </w:pPr>
            <w:r>
              <w:t xml:space="preserve">459.0</w:t>
            </w:r>
          </w:p>
        </w:tc>
      </w:tr>
    </w:tbl>
    <w:p>
      <w:pPr>
        <w:pStyle w:val="BodyText"/>
      </w:pPr>
      <w:r>
        <w:t xml:space="preserve">No report prior to the Benefish Study 1 compiled the fishing access fees from SPC countries into a single table. However, from Table</w:t>
      </w:r>
      <w:r>
        <w:t xml:space="preserve"> </w:t>
      </w:r>
      <w:r>
        <w:t xml:space="preserve">2</w:t>
      </w:r>
      <w:r>
        <w:t xml:space="preserve">, the Vessel Day Scheme (VDS), developed and implemented by the Parties to the Nauru Agreement (PNA)</w:t>
      </w:r>
      <w:r>
        <w:rPr>
          <w:rStyle w:val="FootnoteReference"/>
        </w:rPr>
        <w:footnoteReference w:id="37"/>
      </w:r>
      <w:r>
        <w:t xml:space="preserve"> </w:t>
      </w:r>
      <w:r>
        <w:t xml:space="preserve">and introduced in 2007, significantly increased the proportion of the fisheries economic value returned to Pacific Island governments.</w:t>
      </w:r>
    </w:p>
    <w:p>
      <w:pPr>
        <w:pStyle w:val="BodyText"/>
      </w:pPr>
      <w:r>
        <w:t xml:space="preserve">Although VDS commenced in December 2007, it wasn’t fully implemented until 2012.</w:t>
      </w:r>
      <w:r>
        <w:rPr>
          <w:rStyle w:val="FootnoteReference"/>
        </w:rPr>
        <w:footnoteReference w:id="40"/>
      </w:r>
      <w:r>
        <w:t xml:space="preserve"> </w:t>
      </w:r>
      <w:r>
        <w:t xml:space="preserve">Early in the scheme, access fees were derived from predominately foreign fleets as governments sought to encourage their domestic offshore fishing industries. However, with the growth in domestic vessel numbers (Figure</w:t>
      </w:r>
      <w:r>
        <w:t xml:space="preserve"> </w:t>
      </w:r>
      <w:r>
        <w:t xml:space="preserve">1</w:t>
      </w:r>
      <w:r>
        <w:t xml:space="preserve">), governments are now receiving annually over US$500 million in access fees from vessels active in their waters, and have successfully created regional fishing industries providing income and employment for their countries.</w:t>
      </w:r>
    </w:p>
    <w:p>
      <w:pPr>
        <w:pStyle w:val="BodyText"/>
      </w:pPr>
      <w:r>
        <w:t xml:space="preserve">And all of this started with US$3 million from donor funding received in 1977 to support the fundamental work of the Skipjack Survey and Assessment Programme.</w:t>
      </w:r>
    </w:p>
    <w:bookmarkEnd w:id="41"/>
    <w:bookmarkStart w:id="42" w:name="from-science-springs-wealth"/>
    <w:p>
      <w:pPr>
        <w:pStyle w:val="Heading3"/>
      </w:pPr>
      <w:r>
        <w:rPr>
          <w:rStyle w:val="SectionNumber"/>
        </w:rPr>
        <w:t xml:space="preserve">0.0.4</w:t>
      </w:r>
      <w:r>
        <w:tab/>
      </w:r>
      <w:r>
        <w:t xml:space="preserve">From Science Springs Wealth</w:t>
      </w:r>
    </w:p>
    <w:p>
      <w:pPr>
        <w:pStyle w:val="FirstParagraph"/>
      </w:pPr>
      <w:r>
        <w:t xml:space="preserve">As the Rockefeller Foundation wrote in 1980:</w:t>
      </w:r>
    </w:p>
    <w:p>
      <w:pPr>
        <w:pStyle w:val="BlockText"/>
      </w:pPr>
      <w:r>
        <w:t xml:space="preserve">“It might be noted that had this grant been evaluated shortly following its termination in May 1976, few if any of the above comments concerning its success could have been made. Seed grants need time to grow. [Rockefeller Foundation, September 29, 1980]”</w:t>
      </w:r>
      <w:r>
        <w:t xml:space="preserve"> </w:t>
      </w:r>
      <w:r>
        <w:t xml:space="preserve">—</w:t>
      </w:r>
      <w:r>
        <w:t xml:space="preserve"> </w:t>
      </w:r>
      <w:r>
        <w:t xml:space="preserve">Judd (2016b)</w:t>
      </w:r>
      <w:r>
        <w:t xml:space="preserve"> </w:t>
      </w:r>
      <w:r>
        <w:t xml:space="preserve">at page 44</w:t>
      </w:r>
    </w:p>
    <w:p>
      <w:r>
        <w:br w:type="page"/>
      </w:r>
    </w:p>
    <w:bookmarkEnd w:id="42"/>
    <w:bookmarkStart w:id="58" w:name="references"/>
    <w:p>
      <w:pPr>
        <w:pStyle w:val="Heading1"/>
      </w:pPr>
      <w:r>
        <w:t xml:space="preserve">References</w:t>
      </w:r>
    </w:p>
    <w:bookmarkStart w:id="57" w:name="refs"/>
    <w:bookmarkStart w:id="44" w:name="ref-StkAss2022"/>
    <w:p>
      <w:pPr>
        <w:pStyle w:val="Bibliography"/>
      </w:pPr>
      <w:r>
        <w:t xml:space="preserve">Castillo-Jordan, C, T Tears, J Hampton, Davies, J Day, A Magnusson, R Scott, G Pilling, F Scott, and P Hamer. 2022.</w:t>
      </w:r>
      <w:r>
        <w:t xml:space="preserve"> </w:t>
      </w:r>
      <w:r>
        <w:t xml:space="preserve">“Stock Assessment of Skipjack Tuna in the Western and Central Pacific Ocean: 2022”</w:t>
      </w:r>
      <w:r>
        <w:t xml:space="preserve"> </w:t>
      </w:r>
      <w:r>
        <w:t xml:space="preserve">WCPFC-SC18-2022/SA-WP-01 (August).</w:t>
      </w:r>
      <w:r>
        <w:t xml:space="preserve"> </w:t>
      </w:r>
      <w:hyperlink r:id="rId43">
        <w:r>
          <w:rPr>
            <w:rStyle w:val="Hyperlink"/>
          </w:rPr>
          <w:t xml:space="preserve">https://meetings.wcpfc.int/node/16242</w:t>
        </w:r>
      </w:hyperlink>
      <w:r>
        <w:t xml:space="preserve">.</w:t>
      </w:r>
    </w:p>
    <w:bookmarkEnd w:id="44"/>
    <w:bookmarkStart w:id="46" w:name="ref-FFA"/>
    <w:p>
      <w:pPr>
        <w:pStyle w:val="Bibliography"/>
      </w:pPr>
      <w:r>
        <w:t xml:space="preserve">FFA. 2023.</w:t>
      </w:r>
      <w:r>
        <w:t xml:space="preserve"> </w:t>
      </w:r>
      <w:r>
        <w:t xml:space="preserve">“Value of WCPFC-CA Tuna Fisheries 2024.”</w:t>
      </w:r>
      <w:r>
        <w:t xml:space="preserve"> </w:t>
      </w:r>
      <w:r>
        <w:t xml:space="preserve">Pacific Island Forum Fisheries Agency.</w:t>
      </w:r>
      <w:r>
        <w:t xml:space="preserve"> </w:t>
      </w:r>
      <w:hyperlink r:id="rId45">
        <w:r>
          <w:rPr>
            <w:rStyle w:val="Hyperlink"/>
          </w:rPr>
          <w:t xml:space="preserve">https://www.ffa.int/download/wcpfc-area-catch-value-estimates/</w:t>
        </w:r>
      </w:hyperlink>
      <w:r>
        <w:t xml:space="preserve">.</w:t>
      </w:r>
    </w:p>
    <w:bookmarkEnd w:id="46"/>
    <w:bookmarkStart w:id="48" w:name="ref-Benefish4"/>
    <w:p>
      <w:pPr>
        <w:pStyle w:val="Bibliography"/>
      </w:pPr>
      <w:r>
        <w:t xml:space="preserve">Gillett, R, and M Fong. 2023.</w:t>
      </w:r>
      <w:r>
        <w:t xml:space="preserve"> </w:t>
      </w:r>
      <w:r>
        <w:t xml:space="preserve">“Fisheries in the Economies of Pacific Island Countries and Territories (Benefish Study 4).”</w:t>
      </w:r>
      <w:r>
        <w:t xml:space="preserve"> </w:t>
      </w:r>
      <w:r>
        <w:t xml:space="preserve">The Pacific Community.</w:t>
      </w:r>
      <w:r>
        <w:t xml:space="preserve"> </w:t>
      </w:r>
      <w:hyperlink r:id="rId47">
        <w:r>
          <w:rPr>
            <w:rStyle w:val="Hyperlink"/>
          </w:rPr>
          <w:t xml:space="preserve">https:// purl.org/spc/digilib/doc/ppizh</w:t>
        </w:r>
      </w:hyperlink>
      <w:r>
        <w:t xml:space="preserve">.</w:t>
      </w:r>
    </w:p>
    <w:bookmarkEnd w:id="48"/>
    <w:bookmarkStart w:id="50" w:name="ref-Benefish1"/>
    <w:p>
      <w:pPr>
        <w:pStyle w:val="Bibliography"/>
      </w:pPr>
      <w:r>
        <w:t xml:space="preserve">Gillett, R, and C Lightfoot. 2001.</w:t>
      </w:r>
      <w:r>
        <w:t xml:space="preserve"> </w:t>
      </w:r>
      <w:r>
        <w:t xml:space="preserve">“The Contribution of Fisheries to the Economies of Pacific Island Countries.”</w:t>
      </w:r>
      <w:r>
        <w:t xml:space="preserve"> </w:t>
      </w:r>
      <w:r>
        <w:t xml:space="preserve">The Asian Development Bank.</w:t>
      </w:r>
      <w:r>
        <w:t xml:space="preserve"> </w:t>
      </w:r>
      <w:hyperlink r:id="rId49">
        <w:r>
          <w:rPr>
            <w:rStyle w:val="Hyperlink"/>
          </w:rPr>
          <w:t xml:space="preserve">https://www.adb.org/sites/default/files/publication/28819/contribution-fisheries.pdf</w:t>
        </w:r>
      </w:hyperlink>
      <w:r>
        <w:t xml:space="preserve">.</w:t>
      </w:r>
    </w:p>
    <w:bookmarkEnd w:id="50"/>
    <w:bookmarkStart w:id="52" w:name="ref-Judd1"/>
    <w:p>
      <w:pPr>
        <w:pStyle w:val="Bibliography"/>
      </w:pPr>
      <w:r>
        <w:t xml:space="preserve">Judd, Paul. 2016a.</w:t>
      </w:r>
      <w:r>
        <w:t xml:space="preserve"> </w:t>
      </w:r>
      <w:r>
        <w:t xml:space="preserve">“A Short History of the Skipjack Survey and Assessment Programme (SSAP) [Part 1].”</w:t>
      </w:r>
      <w:r>
        <w:t xml:space="preserve"> </w:t>
      </w:r>
      <w:r>
        <w:t xml:space="preserve">The Pacific Community.</w:t>
      </w:r>
      <w:r>
        <w:t xml:space="preserve"> </w:t>
      </w:r>
      <w:hyperlink r:id="rId51">
        <w:r>
          <w:rPr>
            <w:rStyle w:val="Hyperlink"/>
          </w:rPr>
          <w:t xml:space="preserve">https://purl.org/spc/digilib/doc/e66zt</w:t>
        </w:r>
      </w:hyperlink>
      <w:r>
        <w:t xml:space="preserve">.</w:t>
      </w:r>
    </w:p>
    <w:bookmarkEnd w:id="52"/>
    <w:bookmarkStart w:id="54" w:name="ref-Judd2"/>
    <w:p>
      <w:pPr>
        <w:pStyle w:val="Bibliography"/>
      </w:pPr>
      <w:r>
        <w:t xml:space="preserve">———. 2016b.</w:t>
      </w:r>
      <w:r>
        <w:t xml:space="preserve"> </w:t>
      </w:r>
      <w:r>
        <w:t xml:space="preserve">“A Short History of the Skipjack Survey and Assessment Programme (SSAP) [Part 2].”</w:t>
      </w:r>
      <w:r>
        <w:t xml:space="preserve"> </w:t>
      </w:r>
      <w:r>
        <w:t xml:space="preserve">The Pacific Community.</w:t>
      </w:r>
      <w:r>
        <w:t xml:space="preserve"> </w:t>
      </w:r>
      <w:hyperlink r:id="rId53">
        <w:r>
          <w:rPr>
            <w:rStyle w:val="Hyperlink"/>
          </w:rPr>
          <w:t xml:space="preserve">https://purl.org/spc/digilib/doc/d28qz</w:t>
        </w:r>
      </w:hyperlink>
      <w:r>
        <w:t xml:space="preserve">.</w:t>
      </w:r>
    </w:p>
    <w:bookmarkEnd w:id="54"/>
    <w:bookmarkStart w:id="56" w:name="ref-Outcomes"/>
    <w:p>
      <w:pPr>
        <w:pStyle w:val="Bibliography"/>
      </w:pPr>
      <w:r>
        <w:t xml:space="preserve">WCPFC. 2022.</w:t>
      </w:r>
      <w:r>
        <w:t xml:space="preserve"> </w:t>
      </w:r>
      <w:r>
        <w:t xml:space="preserve">“Eighth Regular Session of the WCPFC Scientific Committee (SC18) Outcomes Document,”</w:t>
      </w:r>
      <w:r>
        <w:t xml:space="preserve"> </w:t>
      </w:r>
      <w:r>
        <w:t xml:space="preserve">August.</w:t>
      </w:r>
      <w:r>
        <w:t xml:space="preserve"> </w:t>
      </w:r>
      <w:hyperlink r:id="rId55">
        <w:r>
          <w:rPr>
            <w:rStyle w:val="Hyperlink"/>
          </w:rPr>
          <w:t xml:space="preserve">https://meetings.wcpfc.int/node/17118</w:t>
        </w:r>
      </w:hyperlink>
      <w:r>
        <w:t xml:space="preserve">.</w:t>
      </w:r>
    </w:p>
    <w:bookmarkEnd w:id="56"/>
    <w:bookmarkEnd w:id="57"/>
    <w:bookmarkEnd w:id="58"/>
    <w:sectPr w:rsidR="002C6215" w:rsidRPr="002C6215" w:rsidSect="00302AD9">
      <w:headerReference r:id="rId9" w:type="even"/>
      <w:headerReference r:id="rId11" w:type="default"/>
      <w:footerReference r:id="rId14" w:type="even"/>
      <w:footerReference r:id="rId13" w:type="default"/>
      <w:headerReference r:id="rId10" w:type="first"/>
      <w:footerReference r:id="rId12" w:type="first"/>
      <w:pgSz w:code="9" w:h="16838" w:w="11906"/>
      <w:pgMar w:bottom="1440" w:footer="720" w:gutter="0" w:header="720" w:left="1800" w:right="1800" w:top="1440"/>
      <w:pgBorders w:offsetFrom="page">
        <w:bottom w:color="auto" w:space="24" w:sz="4" w:val="single"/>
      </w:pgBorders>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yriad Pro Light">
    <w:panose1 w:val="020B0403030403020204"/>
    <w:charset w:val="00"/>
    <w:family w:val="swiss"/>
    <w:notTrueType/>
    <w:pitch w:val="variable"/>
    <w:sig w:usb0="20000287" w:usb1="00000001" w:usb2="00000000" w:usb3="00000000" w:csb0="0000019F" w:csb1="00000000"/>
  </w:font>
  <w:font w:name="Mukta Malar">
    <w:altName w:val="Vijaya"/>
    <w:charset w:val="00"/>
    <w:family w:val="swiss"/>
    <w:pitch w:val="variable"/>
    <w:sig w:usb0="A010002F" w:usb1="4000204A" w:usb2="00000000" w:usb3="00000000" w:csb0="00000093" w:csb1="00000000"/>
  </w:font>
  <w:font w:name="Kalinga">
    <w:charset w:val="00"/>
    <w:family w:val="swiss"/>
    <w:pitch w:val="variable"/>
    <w:sig w:usb0="0008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ukta Malar Light">
    <w:altName w:val="Vijaya"/>
    <w:charset w:val="00"/>
    <w:family w:val="swiss"/>
    <w:pitch w:val="variable"/>
    <w:sig w:usb0="A010002F" w:usb1="4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41FAB7" w14:textId="606971A0" w:rsidR="00FE0BE0" w:rsidRPr="00FE0BE0" w:rsidRDefault="00000000" w:rsidP="000625BA">
    <w:pPr>
      <w:pStyle w:val="Footer"/>
      <w:pBdr>
        <w:top w:val="single" w:sz="4" w:space="1" w:color="auto"/>
      </w:pBdr>
      <w:ind w:right="-999"/>
      <w:rPr>
        <w:sz w:val="20"/>
        <w:szCs w:val="20"/>
      </w:rPr>
    </w:pPr>
    <w:sdt>
      <w:sdtPr>
        <w:rPr>
          <w:sz w:val="20"/>
          <w:szCs w:val="20"/>
        </w:rPr>
        <w:id w:val="2098972954"/>
        <w:docPartObj>
          <w:docPartGallery w:val="Page Numbers (Bottom of Page)"/>
          <w:docPartUnique/>
        </w:docPartObj>
      </w:sdtPr>
      <w:sdtEndPr>
        <w:rPr>
          <w:noProof/>
        </w:rPr>
      </w:sdtEndPr>
      <w:sdtContent>
        <w:r w:rsidR="00FE0BE0" w:rsidRPr="00FE0BE0">
          <w:rPr>
            <w:sz w:val="20"/>
            <w:szCs w:val="20"/>
          </w:rPr>
          <w:t xml:space="preserve">Page  </w:t>
        </w:r>
        <w:r w:rsidR="00FE0BE0" w:rsidRPr="00FE0BE0">
          <w:rPr>
            <w:sz w:val="20"/>
            <w:szCs w:val="20"/>
          </w:rPr>
          <w:fldChar w:fldCharType="begin"/>
        </w:r>
        <w:r w:rsidR="00FE0BE0" w:rsidRPr="00FE0BE0">
          <w:rPr>
            <w:sz w:val="20"/>
            <w:szCs w:val="20"/>
          </w:rPr>
          <w:instrText xml:space="preserve"> PAGE   \* MERGEFORMAT </w:instrText>
        </w:r>
        <w:r w:rsidR="00FE0BE0" w:rsidRPr="00FE0BE0">
          <w:rPr>
            <w:sz w:val="20"/>
            <w:szCs w:val="20"/>
          </w:rPr>
          <w:fldChar w:fldCharType="separate"/>
        </w:r>
        <w:r w:rsidR="00FE0BE0" w:rsidRPr="00FE0BE0">
          <w:rPr>
            <w:noProof/>
            <w:sz w:val="20"/>
            <w:szCs w:val="20"/>
          </w:rPr>
          <w:t>2</w:t>
        </w:r>
        <w:r w:rsidR="00FE0BE0" w:rsidRPr="00FE0BE0">
          <w:rPr>
            <w:noProof/>
            <w:sz w:val="20"/>
            <w:szCs w:val="20"/>
          </w:rPr>
          <w:fldChar w:fldCharType="end"/>
        </w:r>
      </w:sdtContent>
    </w:sdt>
    <w:r w:rsidR="00FE0BE0" w:rsidRPr="00FE0BE0">
      <w:rPr>
        <w:noProof/>
        <w:sz w:val="20"/>
        <w:szCs w:val="20"/>
      </w:rPr>
      <w:t xml:space="preserve"> of </w:t>
    </w:r>
    <w:r w:rsidR="00FE0BE0" w:rsidRPr="00FE0BE0">
      <w:rPr>
        <w:noProof/>
        <w:sz w:val="20"/>
        <w:szCs w:val="20"/>
      </w:rPr>
      <w:fldChar w:fldCharType="begin"/>
    </w:r>
    <w:r w:rsidR="00FE0BE0" w:rsidRPr="00FE0BE0">
      <w:rPr>
        <w:noProof/>
        <w:sz w:val="20"/>
        <w:szCs w:val="20"/>
      </w:rPr>
      <w:instrText xml:space="preserve"> NUMPAGES   \* MERGEFORMAT </w:instrText>
    </w:r>
    <w:r w:rsidR="00FE0BE0" w:rsidRPr="00FE0BE0">
      <w:rPr>
        <w:noProof/>
        <w:sz w:val="20"/>
        <w:szCs w:val="20"/>
      </w:rPr>
      <w:fldChar w:fldCharType="separate"/>
    </w:r>
    <w:r w:rsidR="00FE0BE0" w:rsidRPr="00FE0BE0">
      <w:rPr>
        <w:noProof/>
        <w:sz w:val="20"/>
        <w:szCs w:val="20"/>
      </w:rPr>
      <w:t>6</w:t>
    </w:r>
    <w:r w:rsidR="00FE0BE0" w:rsidRPr="00FE0BE0">
      <w:rPr>
        <w:noProof/>
        <w:sz w:val="20"/>
        <w:szCs w:val="20"/>
      </w:rPr>
      <w:fldChar w:fldCharType="end"/>
    </w:r>
  </w:p>
  <w:p w14:paraId="0B927F3F" w14:textId="77777777" w:rsidR="00FE0BE0" w:rsidRDefault="00FE0B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11881222"/>
      <w:docPartObj>
        <w:docPartGallery w:val="Page Numbers (Bottom of Page)"/>
        <w:docPartUnique/>
      </w:docPartObj>
    </w:sdtPr>
    <w:sdtEndPr>
      <w:rPr>
        <w:noProof/>
        <w:sz w:val="20"/>
        <w:szCs w:val="20"/>
      </w:rPr>
    </w:sdtEndPr>
    <w:sdtContent>
      <w:p w14:paraId="57D12364" w14:textId="071F884D" w:rsidR="00FE0BE0" w:rsidRPr="00FE0BE0" w:rsidRDefault="00FE0BE0" w:rsidP="000625BA">
        <w:pPr>
          <w:pStyle w:val="Footer"/>
          <w:pBdr>
            <w:top w:val="single" w:sz="4" w:space="1" w:color="auto"/>
          </w:pBdr>
          <w:ind w:hanging="1134"/>
          <w:jc w:val="right"/>
          <w:rPr>
            <w:sz w:val="20"/>
            <w:szCs w:val="20"/>
          </w:rPr>
        </w:pPr>
        <w:r w:rsidRPr="00FE0BE0">
          <w:rPr>
            <w:sz w:val="20"/>
            <w:szCs w:val="20"/>
          </w:rPr>
          <w:t xml:space="preserve">Page  </w:t>
        </w:r>
        <w:r w:rsidRPr="00FE0BE0">
          <w:rPr>
            <w:sz w:val="20"/>
            <w:szCs w:val="20"/>
          </w:rPr>
          <w:fldChar w:fldCharType="begin"/>
        </w:r>
        <w:r w:rsidRPr="00FE0BE0">
          <w:rPr>
            <w:sz w:val="20"/>
            <w:szCs w:val="20"/>
          </w:rPr>
          <w:instrText xml:space="preserve"> PAGE   \* MERGEFORMAT </w:instrText>
        </w:r>
        <w:r w:rsidRPr="00FE0BE0">
          <w:rPr>
            <w:sz w:val="20"/>
            <w:szCs w:val="20"/>
          </w:rPr>
          <w:fldChar w:fldCharType="separate"/>
        </w:r>
        <w:r w:rsidRPr="00FE0BE0">
          <w:rPr>
            <w:noProof/>
            <w:sz w:val="20"/>
            <w:szCs w:val="20"/>
          </w:rPr>
          <w:t>2</w:t>
        </w:r>
        <w:r w:rsidRPr="00FE0BE0">
          <w:rPr>
            <w:noProof/>
            <w:sz w:val="20"/>
            <w:szCs w:val="20"/>
          </w:rPr>
          <w:fldChar w:fldCharType="end"/>
        </w:r>
        <w:r w:rsidRPr="00FE0BE0">
          <w:rPr>
            <w:noProof/>
            <w:sz w:val="20"/>
            <w:szCs w:val="20"/>
          </w:rPr>
          <w:t xml:space="preserve"> of </w:t>
        </w:r>
        <w:r w:rsidRPr="00FE0BE0">
          <w:rPr>
            <w:noProof/>
            <w:sz w:val="20"/>
            <w:szCs w:val="20"/>
          </w:rPr>
          <w:fldChar w:fldCharType="begin"/>
        </w:r>
        <w:r w:rsidRPr="00FE0BE0">
          <w:rPr>
            <w:noProof/>
            <w:sz w:val="20"/>
            <w:szCs w:val="20"/>
          </w:rPr>
          <w:instrText xml:space="preserve"> NUMPAGES   \* MERGEFORMAT </w:instrText>
        </w:r>
        <w:r w:rsidRPr="00FE0BE0">
          <w:rPr>
            <w:noProof/>
            <w:sz w:val="20"/>
            <w:szCs w:val="20"/>
          </w:rPr>
          <w:fldChar w:fldCharType="separate"/>
        </w:r>
        <w:r w:rsidRPr="00FE0BE0">
          <w:rPr>
            <w:noProof/>
            <w:sz w:val="20"/>
            <w:szCs w:val="20"/>
          </w:rPr>
          <w:t>6</w:t>
        </w:r>
        <w:r w:rsidRPr="00FE0BE0">
          <w:rPr>
            <w:noProof/>
            <w:sz w:val="20"/>
            <w:szCs w:val="20"/>
          </w:rPr>
          <w:fldChar w:fldCharType="end"/>
        </w:r>
      </w:p>
    </w:sdtContent>
  </w:sdt>
  <w:p w14:paraId="3C0F97E5" w14:textId="77777777" w:rsidR="00FE0BE0" w:rsidRDefault="00FE0B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9097C4" w14:textId="77777777" w:rsidR="00302AD9" w:rsidRDefault="00302AD9">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The history is extensively documented in</w:t>
      </w:r>
      <w:r>
        <w:t xml:space="preserve"> </w:t>
      </w:r>
      <w:r>
        <w:t xml:space="preserve">Judd (2016a)</w:t>
      </w:r>
      <w:r>
        <w:t xml:space="preserve"> </w:t>
      </w:r>
      <w:r>
        <w:t xml:space="preserve">and</w:t>
      </w:r>
      <w:r>
        <w:t xml:space="preserve"> </w:t>
      </w:r>
      <w:r>
        <w:t xml:space="preserve">Judd (2016b)</w:t>
      </w:r>
      <w:r>
        <w:t xml:space="preserve">.</w:t>
      </w:r>
    </w:p>
  </w:footnote>
  <w:footnote w:id="25">
    <w:p>
      <w:pPr>
        <w:pStyle w:val="FootnoteText"/>
      </w:pPr>
      <w:r>
        <w:rPr>
          <w:rStyle w:val="FootnoteReference"/>
        </w:rPr>
        <w:footnoteRef/>
      </w:r>
      <w:r>
        <w:t xml:space="preserve"> </w:t>
      </w:r>
      <w:r>
        <w:t xml:space="preserve">See</w:t>
      </w:r>
      <w:r>
        <w:t xml:space="preserve"> </w:t>
      </w:r>
      <w:r>
        <w:t xml:space="preserve">Castillo-Jordan et al. (2022)</w:t>
      </w:r>
      <w:r>
        <w:t xml:space="preserve">, and</w:t>
      </w:r>
      <w:r>
        <w:t xml:space="preserve"> </w:t>
      </w:r>
      <w:r>
        <w:t xml:space="preserve">WCPFC (2022)</w:t>
      </w:r>
    </w:p>
  </w:footnote>
  <w:footnote w:id="31">
    <w:p>
      <w:pPr>
        <w:pStyle w:val="FootnoteText"/>
      </w:pPr>
      <w:r>
        <w:rPr>
          <w:rStyle w:val="FootnoteReference"/>
        </w:rPr>
        <w:footnoteRef/>
      </w:r>
      <w:r>
        <w:t xml:space="preserve"> </w:t>
      </w:r>
      <w:r>
        <w:t xml:space="preserve">FFA (2023)</w:t>
      </w:r>
    </w:p>
  </w:footnote>
  <w:footnote w:id="34">
    <w:p>
      <w:pPr>
        <w:pStyle w:val="FootnoteText"/>
      </w:pPr>
      <w:r>
        <w:rPr>
          <w:rStyle w:val="FootnoteReference"/>
        </w:rPr>
        <w:footnoteRef/>
      </w:r>
      <w:r>
        <w:t xml:space="preserve"> </w:t>
      </w:r>
      <w:r>
        <w:t xml:space="preserve">Gillett and Lightfoot (2001)</w:t>
      </w:r>
    </w:p>
  </w:footnote>
  <w:footnote w:id="35">
    <w:p>
      <w:pPr>
        <w:pStyle w:val="FootnoteText"/>
      </w:pPr>
      <w:r>
        <w:rPr>
          <w:rStyle w:val="FootnoteReference"/>
        </w:rPr>
        <w:footnoteRef/>
      </w:r>
      <w:r>
        <w:t xml:space="preserve"> </w:t>
      </w:r>
      <w:r>
        <w:t xml:space="preserve">Gillett and Fong (2023)</w:t>
      </w:r>
    </w:p>
  </w:footnote>
  <w:footnote w:id="37">
    <w:p>
      <w:pPr>
        <w:pStyle w:val="FootnoteText"/>
      </w:pPr>
      <w:r>
        <w:rPr>
          <w:rStyle w:val="FootnoteReference"/>
        </w:rPr>
        <w:footnoteRef/>
      </w:r>
      <w:r>
        <w:t xml:space="preserve"> </w:t>
      </w:r>
      <w:r>
        <w:t xml:space="preserve">The</w:t>
      </w:r>
      <w:r>
        <w:t xml:space="preserve"> </w:t>
      </w:r>
      <w:hyperlink r:id="rId38">
        <w:r>
          <w:rPr>
            <w:rStyle w:val="Hyperlink"/>
          </w:rPr>
          <w:t xml:space="preserve">Vessel Day Scheme</w:t>
        </w:r>
      </w:hyperlink>
      <w:r>
        <w:t xml:space="preserve"> </w:t>
      </w:r>
      <w:r>
        <w:t xml:space="preserve">is a fisheries licensing scheme overseen by the</w:t>
      </w:r>
      <w:r>
        <w:t xml:space="preserve"> </w:t>
      </w:r>
      <w:hyperlink r:id="rId39">
        <w:r>
          <w:rPr>
            <w:rStyle w:val="Hyperlink"/>
          </w:rPr>
          <w:t xml:space="preserve">Parties to the Nauru Agreement</w:t>
        </w:r>
      </w:hyperlink>
      <w:r>
        <w:t xml:space="preserve">.</w:t>
      </w:r>
    </w:p>
  </w:footnote>
  <w:footnote w:id="40">
    <w:p>
      <w:pPr>
        <w:pStyle w:val="FootnoteText"/>
      </w:pPr>
      <w:r>
        <w:rPr>
          <w:rStyle w:val="FootnoteReference"/>
        </w:rPr>
        <w:footnoteRef/>
      </w:r>
      <w:r>
        <w:t xml:space="preserve"> </w:t>
      </w:r>
      <w:r>
        <w:t xml:space="preserve">Gillett and Fong (2023)</w:t>
      </w:r>
      <w:r>
        <w:t xml:space="preserve"> </w:t>
      </w:r>
      <w:r>
        <w:t xml:space="preserve">on page 495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4D6886" w14:textId="4750C9FB" w:rsidR="000625BA" w:rsidRPr="000625BA" w:rsidRDefault="00000000" w:rsidP="000625BA">
    <w:pPr>
      <w:pStyle w:val="Header"/>
      <w:jc w:val="right"/>
      <w:rPr>
        <w:color w:val="A6A6A6" w:themeColor="background1" w:themeShade="A6"/>
      </w:rPr>
    </w:pPr>
    <w:sdt>
      <w:sdtPr>
        <w:rPr>
          <w:color w:val="A6A6A6" w:themeColor="background1" w:themeShade="A6"/>
        </w:rPr>
        <w:alias w:val="Title"/>
        <w:tag w:val=""/>
        <w:id w:val="454683203"/>
        <w:placeholder>
          <w:docPart w:val="246EC56E8EF34030B9E7BB0FFC7B24F5"/>
        </w:placeholder>
        <w:showingPlcHdr/>
        <w:dataBinding w:prefixMappings="xmlns:ns0='http://purl.org/dc/elements/1.1/' xmlns:ns1='http://schemas.openxmlformats.org/package/2006/metadata/core-properties' " w:xpath="/ns1:coreProperties[1]/ns0:title[1]" w:storeItemID="{6C3C8BC8-F283-45AE-878A-BAB7291924A1}"/>
        <w:text/>
      </w:sdtPr>
      <w:sdtContent>
        <w:r w:rsidR="000625BA" w:rsidRPr="000625BA">
          <w:rPr>
            <w:rStyle w:val="PlaceholderText"/>
            <w:color w:val="A6A6A6" w:themeColor="background1" w:themeShade="A6"/>
          </w:rPr>
          <w:t>[Title]</w:t>
        </w:r>
      </w:sdtContent>
    </w:sdt>
    <w:r w:rsidR="00302AD9" w:rsidRPr="000625BA">
      <w:rPr>
        <w:color w:val="A6A6A6" w:themeColor="background1" w:themeShade="A6"/>
      </w:rPr>
      <w:t xml:space="preserve"> </w:t>
    </w:r>
  </w:p>
  <w:p w14:paraId="1D928028" w14:textId="01618C96" w:rsidR="00FE0BE0" w:rsidRDefault="00000000" w:rsidP="000625BA">
    <w:pPr>
      <w:pStyle w:val="Header"/>
    </w:pPr>
    <w:r>
      <w:rPr>
        <w:noProof/>
        <w:color w:val="A6A6A6" w:themeColor="background1" w:themeShade="A6"/>
      </w:rPr>
      <w:pict w14:anchorId="6EFD7C0D">
        <v:shapetype id="_x0000_t32" coordsize="21600,21600" o:spt="32" o:oned="t" path="m,l21600,21600e" filled="f">
          <v:path arrowok="t" fillok="f" o:connecttype="none"/>
          <o:lock v:ext="edit" shapetype="t"/>
        </v:shapetype>
        <v:shape id="_x0000_s1027" type="#_x0000_t32" style="position:absolute;margin-left:-5.8pt;margin-top:11.65pt;width:490.5pt;height:0;z-index:251661312" o:connectortype="straigh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A6A6A6" w:themeColor="background1" w:themeShade="A6"/>
      </w:rPr>
      <w:alias w:val="Title"/>
      <w:tag w:val=""/>
      <w:id w:val="-1889716350"/>
      <w:placeholder>
        <w:docPart w:val="79E0AC8E209C4D15A991076C02255397"/>
      </w:placeholder>
      <w:showingPlcHdr/>
      <w:dataBinding w:prefixMappings="xmlns:ns0='http://purl.org/dc/elements/1.1/' xmlns:ns1='http://schemas.openxmlformats.org/package/2006/metadata/core-properties' " w:xpath="/ns1:coreProperties[1]/ns0:title[1]" w:storeItemID="{6C3C8BC8-F283-45AE-878A-BAB7291924A1}"/>
      <w:text/>
    </w:sdtPr>
    <w:sdtContent>
      <w:p w14:paraId="1BDDB975" w14:textId="74BD9015" w:rsidR="00FE0BE0" w:rsidRPr="000625BA" w:rsidRDefault="00FE0BE0">
        <w:pPr>
          <w:pStyle w:val="Header"/>
          <w:rPr>
            <w:color w:val="A6A6A6" w:themeColor="background1" w:themeShade="A6"/>
          </w:rPr>
        </w:pPr>
        <w:r w:rsidRPr="000625BA">
          <w:rPr>
            <w:rStyle w:val="PlaceholderText"/>
            <w:color w:val="A6A6A6" w:themeColor="background1" w:themeShade="A6"/>
          </w:rPr>
          <w:t>[Title]</w:t>
        </w:r>
      </w:p>
    </w:sdtContent>
  </w:sdt>
  <w:p w14:paraId="274D71B6" w14:textId="1A4C10E4" w:rsidR="00FE0BE0" w:rsidRPr="000625BA" w:rsidRDefault="00000000">
    <w:pPr>
      <w:pStyle w:val="Header"/>
      <w:rPr>
        <w:color w:val="A6A6A6" w:themeColor="background1" w:themeShade="A6"/>
      </w:rPr>
    </w:pPr>
    <w:r>
      <w:rPr>
        <w:noProof/>
        <w:color w:val="A6A6A6" w:themeColor="background1" w:themeShade="A6"/>
      </w:rPr>
      <w:pict w14:anchorId="02D86A9A">
        <v:shapetype id="_x0000_t32" coordsize="21600,21600" o:spt="32" o:oned="t" path="m,l21600,21600e" filled="f">
          <v:path arrowok="t" fillok="f" o:connecttype="none"/>
          <o:lock v:ext="edit" shapetype="t"/>
        </v:shapetype>
        <v:shape id="_x0000_s1026" type="#_x0000_t32" style="position:absolute;margin-left:-59.25pt;margin-top:14.45pt;width:490.5pt;height:0;z-index:251659264" o:connectortype="straight"/>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CC0AF1" w14:textId="77777777" w:rsidR="00302AD9" w:rsidRDefault="00302AD9">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2C1AE401"/>
    <w:multiLevelType w:val="multilevel"/>
    <w:tmpl w:val="A8E29AC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50667902" w:numId="1">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evenAndOddHeaders/>
  <w:drawingGridHorizontalSpacing w:val="360"/>
  <w:drawingGridVerticalSpacing w:val="360"/>
  <w:displayHorizontalDrawingGridEvery w:val="0"/>
  <w:displayVerticalDrawingGridEvery w:val="0"/>
  <w:characterSpacingControl w:val="doNotCompress"/>
  <w:savePreviewPicture/>
  <w:hdrShapeDefaults>
    <o:shapedefaults spidmax="2050" v:ext="edit"/>
    <o:shapelayout v:ext="edit">
      <o:idmap data="1" v:ext="edit"/>
      <o:rules v:ext="edit">
        <o:r id="V:Rule1" idref="#_x0000_s1026" type="connector"/>
        <o:r id="V:Rule2" idref="#_x0000_s1027" type="connector"/>
      </o:rules>
    </o:shapelayout>
  </w:hdrShapeDefaults>
  <w:compat>
    <w:compatSetting w:name="compatibilityMode" w:uri="http://schemas.microsoft.com/office/word" w:val="12"/>
    <w:compatSetting w:name="useWord2013TrackBottomHyphenation" w:uri="http://schemas.microsoft.com/office/word" w:val="1"/>
  </w:compat>
  <w:rsids>
    <w:rsidRoot w:val="00590D07"/>
    <w:rsid w:val="00011C8B"/>
    <w:rsid w:val="00022BC3"/>
    <w:rsid w:val="000625BA"/>
    <w:rsid w:val="002A7B38"/>
    <w:rsid w:val="002C6215"/>
    <w:rsid w:val="00302AD9"/>
    <w:rsid w:val="004E29B3"/>
    <w:rsid w:val="00550F77"/>
    <w:rsid w:val="00590D07"/>
    <w:rsid w:val="005E4326"/>
    <w:rsid w:val="00784D58"/>
    <w:rsid w:val="007A25E4"/>
    <w:rsid w:val="007F6E58"/>
    <w:rsid w:val="008408D6"/>
    <w:rsid w:val="008D6863"/>
    <w:rsid w:val="00901A09"/>
    <w:rsid w:val="009116AE"/>
    <w:rsid w:val="009A1802"/>
    <w:rsid w:val="009C3922"/>
    <w:rsid w:val="00A517C0"/>
    <w:rsid w:val="00A66767"/>
    <w:rsid w:val="00A91C46"/>
    <w:rsid w:val="00B34274"/>
    <w:rsid w:val="00B45535"/>
    <w:rsid w:val="00B86B75"/>
    <w:rsid w:val="00BC48D5"/>
    <w:rsid w:val="00C1614F"/>
    <w:rsid w:val="00C36279"/>
    <w:rsid w:val="00C71DE2"/>
    <w:rsid w:val="00D265AF"/>
    <w:rsid w:val="00E315A3"/>
    <w:rsid w:val="00E46F2B"/>
    <w:rsid w:val="00FE0BE0"/>
    <w:rsid w:val="00FF4E2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D265AF"/>
    <w:rPr>
      <w:rFonts w:ascii="Calibri" w:hAnsi="Calibri"/>
    </w:rPr>
  </w:style>
  <w:style w:styleId="Heading1" w:type="paragraph">
    <w:name w:val="heading 1"/>
    <w:basedOn w:val="Normal"/>
    <w:next w:val="BodyText"/>
    <w:uiPriority w:val="9"/>
    <w:qFormat/>
    <w:rsid w:val="00E46F2B"/>
    <w:pPr>
      <w:keepNext/>
      <w:keepLines/>
      <w:spacing w:after="0" w:before="240"/>
      <w:outlineLvl w:val="0"/>
    </w:pPr>
    <w:rPr>
      <w:rFonts w:ascii="Myriad Pro Light" w:cstheme="majorBidi" w:eastAsiaTheme="majorEastAsia" w:hAnsi="Myriad Pro Light"/>
      <w:bCs/>
      <w:sz w:val="44"/>
      <w:szCs w:val="32"/>
    </w:rPr>
  </w:style>
  <w:style w:styleId="Heading2" w:type="paragraph">
    <w:name w:val="heading 2"/>
    <w:basedOn w:val="Heading1"/>
    <w:next w:val="BodyText"/>
    <w:uiPriority w:val="9"/>
    <w:unhideWhenUsed/>
    <w:qFormat/>
    <w:rsid w:val="00D265AF"/>
    <w:pPr>
      <w:spacing w:before="200"/>
      <w:outlineLvl w:val="1"/>
    </w:pPr>
    <w:rPr>
      <w:bCs w:val="0"/>
      <w:sz w:val="36"/>
      <w:szCs w:val="28"/>
    </w:rPr>
  </w:style>
  <w:style w:styleId="Heading3" w:type="paragraph">
    <w:name w:val="heading 3"/>
    <w:basedOn w:val="Heading1"/>
    <w:next w:val="BodyText"/>
    <w:uiPriority w:val="9"/>
    <w:unhideWhenUsed/>
    <w:qFormat/>
    <w:rsid w:val="00E46F2B"/>
    <w:pPr>
      <w:spacing w:before="200"/>
      <w:outlineLvl w:val="2"/>
    </w:pPr>
    <w:rPr>
      <w:bCs w:val="0"/>
      <w:sz w:val="28"/>
    </w:rPr>
  </w:style>
  <w:style w:styleId="Heading4" w:type="paragraph">
    <w:name w:val="heading 4"/>
    <w:basedOn w:val="Normal"/>
    <w:next w:val="BodyText"/>
    <w:uiPriority w:val="9"/>
    <w:unhideWhenUsed/>
    <w:qFormat/>
    <w:rsid w:val="002C6215"/>
    <w:pPr>
      <w:keepNext/>
      <w:keepLines/>
      <w:spacing w:after="0" w:before="200"/>
      <w:outlineLvl w:val="3"/>
    </w:pPr>
    <w:rPr>
      <w:rFonts w:ascii="Mukta Malar" w:cstheme="majorBidi" w:eastAsiaTheme="majorEastAsia" w:hAnsi="Mukta Malar"/>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D265AF"/>
    <w:pPr>
      <w:spacing w:after="180" w:line="288" w:lineRule="auto"/>
      <w:jc w:val="both"/>
    </w:pPr>
    <w:rPr>
      <w:rFonts w:cs="Kalinga"/>
      <w:sz w:val="22"/>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8408D6"/>
    <w:pPr>
      <w:keepNext/>
      <w:keepLines/>
      <w:spacing w:after="240" w:before="480"/>
      <w:jc w:val="center"/>
    </w:pPr>
    <w:rPr>
      <w:rFonts w:ascii="Myriad Pro Light" w:cstheme="majorBidi" w:eastAsiaTheme="majorEastAsia" w:hAnsi="Myriad Pro Light"/>
      <w:bCs/>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D265AF"/>
    <w:pPr>
      <w:keepNext/>
      <w:keepLines/>
      <w:jc w:val="center"/>
    </w:pPr>
    <w:rPr>
      <w:rFonts w:ascii="Calibri" w:hAnsi="Calibri"/>
    </w:r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8408D6"/>
    <w:pPr>
      <w:spacing w:line="259" w:lineRule="auto"/>
      <w:outlineLvl w:val="9"/>
    </w:pPr>
    <w:rPr>
      <w:rFonts w:asciiTheme="majorHAnsi" w:hAnsiTheme="majorHAnsi"/>
      <w:bCs w:val="0"/>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Header" w:type="paragraph">
    <w:name w:val="header"/>
    <w:basedOn w:val="Normal"/>
    <w:link w:val="HeaderChar"/>
    <w:uiPriority w:val="99"/>
    <w:unhideWhenUsed/>
    <w:rsid w:val="00FE0BE0"/>
    <w:pPr>
      <w:tabs>
        <w:tab w:pos="4513" w:val="center"/>
        <w:tab w:pos="9026" w:val="right"/>
      </w:tabs>
      <w:spacing w:after="0"/>
    </w:pPr>
  </w:style>
  <w:style w:customStyle="1" w:styleId="HeaderChar" w:type="character">
    <w:name w:val="Header Char"/>
    <w:basedOn w:val="DefaultParagraphFont"/>
    <w:link w:val="Header"/>
    <w:uiPriority w:val="99"/>
    <w:rsid w:val="00FE0BE0"/>
  </w:style>
  <w:style w:styleId="Footer" w:type="paragraph">
    <w:name w:val="footer"/>
    <w:basedOn w:val="Normal"/>
    <w:link w:val="FooterChar"/>
    <w:uiPriority w:val="99"/>
    <w:unhideWhenUsed/>
    <w:rsid w:val="00FE0BE0"/>
    <w:pPr>
      <w:tabs>
        <w:tab w:pos="4513" w:val="center"/>
        <w:tab w:pos="9026" w:val="right"/>
      </w:tabs>
      <w:spacing w:after="0"/>
    </w:pPr>
  </w:style>
  <w:style w:customStyle="1" w:styleId="FooterChar" w:type="character">
    <w:name w:val="Footer Char"/>
    <w:basedOn w:val="DefaultParagraphFont"/>
    <w:link w:val="Footer"/>
    <w:uiPriority w:val="99"/>
    <w:rsid w:val="00FE0BE0"/>
  </w:style>
  <w:style w:styleId="PlaceholderText" w:type="character">
    <w:name w:val="Placeholder Text"/>
    <w:basedOn w:val="DefaultParagraphFont"/>
    <w:semiHidden/>
    <w:rsid w:val="00FE0BE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hyperlink" Id="rId60" Target="https://" TargetMode="External" /><Relationship Type="http://schemas.openxmlformats.org/officeDocument/2006/relationships/hyperlink" Id="rId47" Target="https:// purl.org/spc/digilib/doc/ppizh" TargetMode="External" /><Relationship Type="http://schemas.openxmlformats.org/officeDocument/2006/relationships/hyperlink" Id="rId59" Target="https://doi.org/10.1016/j.techfore.2016.03.007" TargetMode="External" /><Relationship Type="http://schemas.openxmlformats.org/officeDocument/2006/relationships/hyperlink" Id="rId43" Target="https://meetings.wcpfc.int/node/16242" TargetMode="External" /><Relationship Type="http://schemas.openxmlformats.org/officeDocument/2006/relationships/hyperlink" Id="rId55" Target="https://meetings.wcpfc.int/node/17118" TargetMode="External" /><Relationship Type="http://schemas.openxmlformats.org/officeDocument/2006/relationships/hyperlink" Id="rId53" Target="https://purl.org/spc/digilib/doc/d28qz" TargetMode="External" /><Relationship Type="http://schemas.openxmlformats.org/officeDocument/2006/relationships/hyperlink" Id="rId51" Target="https://purl.org/spc/digilib/doc/e66zt" TargetMode="External" /><Relationship Type="http://schemas.openxmlformats.org/officeDocument/2006/relationships/hyperlink" Id="rId49" Target="https://www.adb.org/sites/default/files/publication/28819/contribution-fisheries.pdf" TargetMode="External" /><Relationship Type="http://schemas.openxmlformats.org/officeDocument/2006/relationships/hyperlink" Id="rId45" Target="https://www.ffa.int/download/wcpfc-area-catch-value-estimates/" TargetMode="External" /><Relationship Type="http://schemas.openxmlformats.org/officeDocument/2006/relationships/hyperlink" Id="rId38" Target="https://www.pnatuna.com/content/pna-vessel-day-scheme" TargetMode="External" /><Relationship Type="http://schemas.openxmlformats.org/officeDocument/2006/relationships/hyperlink" Id="rId39" Target="https://www.pnatuna.com/our-members" TargetMode="External" /></Relationships>
</file>

<file path=word/_rels/footnotes.xml.rels><?xml version="1.0" encoding="UTF-8"?><Relationships xmlns="http://schemas.openxmlformats.org/package/2006/relationships"><Relationship Type="http://schemas.openxmlformats.org/officeDocument/2006/relationships/hyperlink" Id="rId60" Target="https://" TargetMode="External" /><Relationship Type="http://schemas.openxmlformats.org/officeDocument/2006/relationships/hyperlink" Id="rId47" Target="https:// purl.org/spc/digilib/doc/ppizh" TargetMode="External" /><Relationship Type="http://schemas.openxmlformats.org/officeDocument/2006/relationships/hyperlink" Id="rId59" Target="https://doi.org/10.1016/j.techfore.2016.03.007" TargetMode="External" /><Relationship Type="http://schemas.openxmlformats.org/officeDocument/2006/relationships/hyperlink" Id="rId43" Target="https://meetings.wcpfc.int/node/16242" TargetMode="External" /><Relationship Type="http://schemas.openxmlformats.org/officeDocument/2006/relationships/hyperlink" Id="rId55" Target="https://meetings.wcpfc.int/node/17118" TargetMode="External" /><Relationship Type="http://schemas.openxmlformats.org/officeDocument/2006/relationships/hyperlink" Id="rId53" Target="https://purl.org/spc/digilib/doc/d28qz" TargetMode="External" /><Relationship Type="http://schemas.openxmlformats.org/officeDocument/2006/relationships/hyperlink" Id="rId51" Target="https://purl.org/spc/digilib/doc/e66zt" TargetMode="External" /><Relationship Type="http://schemas.openxmlformats.org/officeDocument/2006/relationships/hyperlink" Id="rId49" Target="https://www.adb.org/sites/default/files/publication/28819/contribution-fisheries.pdf" TargetMode="External" /><Relationship Type="http://schemas.openxmlformats.org/officeDocument/2006/relationships/hyperlink" Id="rId45" Target="https://www.ffa.int/download/wcpfc-area-catch-value-estimates/" TargetMode="External" /><Relationship Type="http://schemas.openxmlformats.org/officeDocument/2006/relationships/hyperlink" Id="rId38" Target="https://www.pnatuna.com/content/pna-vessel-day-scheme" TargetMode="External" /><Relationship Type="http://schemas.openxmlformats.org/officeDocument/2006/relationships/hyperlink" Id="rId39" Target="https://www.pnatuna.com/our-memb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6</Pages>
  <Words>80</Words>
  <Characters>461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Seeds of the Skipjack Survey and Assessment Programme Spawns the Development of Regional Tuna Fisheries</dc:title>
  <dc:creator>James Hogan, FAME - SPC</dc:creator>
  <cp:keywords/>
  <dcterms:created xsi:type="dcterms:W3CDTF">2025-06-20T06:16:47Z</dcterms:created>
  <dcterms:modified xsi:type="dcterms:W3CDTF">2025-06-20T06:16:47Z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option">
    <vt:lpwstr>a4paper</vt:lpwstr>
  </property>
  <property fmtid="{D5CDD505-2E9C-101B-9397-08002B2CF9AE}" pid="3" name="date">
    <vt:lpwstr>20 June 2025</vt:lpwstr>
  </property>
  <property fmtid="{D5CDD505-2E9C-101B-9397-08002B2CF9AE}" pid="4" name="fig_caption">
    <vt:lpwstr>True</vt:lpwstr>
  </property>
  <property fmtid="{D5CDD505-2E9C-101B-9397-08002B2CF9AE}" pid="5" name="fontsize">
    <vt:lpwstr>11pt</vt:lpwstr>
  </property>
  <property fmtid="{D5CDD505-2E9C-101B-9397-08002B2CF9AE}" pid="6" name="geometry">
    <vt:lpwstr>margin = 1in</vt:lpwstr>
  </property>
  <property fmtid="{D5CDD505-2E9C-101B-9397-08002B2CF9AE}" pid="7" name="header-includes">
    <vt:lpwstr/>
  </property>
  <property fmtid="{D5CDD505-2E9C-101B-9397-08002B2CF9AE}" pid="8" name="output">
    <vt:lpwstr/>
  </property>
  <property fmtid="{D5CDD505-2E9C-101B-9397-08002B2CF9AE}" pid="9" name="references">
    <vt:lpwstr/>
  </property>
  <property fmtid="{D5CDD505-2E9C-101B-9397-08002B2CF9AE}" pid="10" name="subtitle">
    <vt:lpwstr>Final Version</vt:lpwstr>
  </property>
  <property fmtid="{D5CDD505-2E9C-101B-9397-08002B2CF9AE}" pid="11" name="urlcolor">
    <vt:lpwstr>blue</vt:lpwstr>
  </property>
</Properties>
</file>