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BCAFF" w14:textId="77777777" w:rsidR="00710555" w:rsidRDefault="00000000">
      <w:pPr>
        <w:pStyle w:val="Title"/>
      </w:pPr>
      <w:r>
        <w:t>The Seeds of the Skipjack Survey and Assessment Programme Spawns the Development of Regional Tuna Fisheries</w:t>
      </w:r>
    </w:p>
    <w:p w14:paraId="14B75AF4" w14:textId="77777777" w:rsidR="00710555" w:rsidRDefault="00000000">
      <w:pPr>
        <w:pStyle w:val="Author"/>
      </w:pPr>
      <w:r>
        <w:t>James Hogan, FAME - SPC</w:t>
      </w:r>
    </w:p>
    <w:p w14:paraId="5928EC99" w14:textId="77777777" w:rsidR="00710555" w:rsidRDefault="00000000">
      <w:pPr>
        <w:pStyle w:val="Date"/>
      </w:pPr>
      <w:r>
        <w:t>03 October 2024</w:t>
      </w:r>
    </w:p>
    <w:p w14:paraId="12099EFF" w14:textId="77777777" w:rsidR="00710555" w:rsidRDefault="00000000">
      <w:r>
        <w:br w:type="page"/>
      </w:r>
    </w:p>
    <w:p w14:paraId="16256851" w14:textId="57DC1600" w:rsidR="00710555" w:rsidRDefault="00000000">
      <w:pPr>
        <w:pStyle w:val="Heading3"/>
      </w:pPr>
      <w:bookmarkStart w:id="0" w:name="Xe9a036b7bd22362b36dfde584c7697bfded04df"/>
      <w:r>
        <w:lastRenderedPageBreak/>
        <w:t>Skipjack Science Lifting the Pacific Region’s Economic Ceiling</w:t>
      </w:r>
    </w:p>
    <w:p w14:paraId="341FB070" w14:textId="77777777" w:rsidR="00710555" w:rsidRDefault="00000000">
      <w:pPr>
        <w:pStyle w:val="FirstParagraph"/>
      </w:pPr>
      <w:r>
        <w:t>The Pacific Community (SPC)’s Skipjack Survey and Assessment Programme (SSAP), which ran from 1977 until 1981, measured for the first time the size of the Western and Central Pacific Ocean (WCPO) skipjack tuna stock and laid the foundations for what has become a US$81 billion regional fishing industry.</w:t>
      </w:r>
      <w:r>
        <w:rPr>
          <w:rStyle w:val="FootnoteReference"/>
        </w:rPr>
        <w:footnoteReference w:id="1"/>
      </w:r>
    </w:p>
    <w:p w14:paraId="3EC07754" w14:textId="77777777" w:rsidR="00710555" w:rsidRDefault="00000000">
      <w:pPr>
        <w:pStyle w:val="BodyText"/>
      </w:pPr>
      <w:r>
        <w:t>The Programme, led by Dr Robert (Bob) Kearney, was funded from approximately US$3 million of donor funding, which was 33% of SPC’s total funding at the time. In 1977, SPC was a small organisation which had no previous experience in undertaking such an ambitious piece of advanced applied scientific research. Nor was it organisationally equipped or experienced with undertaking technical work of this size.</w:t>
      </w:r>
    </w:p>
    <w:p w14:paraId="78AEA5A8" w14:textId="77777777" w:rsidR="00710555" w:rsidRDefault="00000000">
      <w:pPr>
        <w:pStyle w:val="BodyText"/>
      </w:pPr>
      <w:r>
        <w:t>SSAP greatly expanded the world’s knowledge of the biology of skipjack and other tuna species. It quantified for the first time the large size of the skipjack resource in the Western and Central Pacific, estimated at around 3 million tonnes of fishing biomass.</w:t>
      </w:r>
    </w:p>
    <w:p w14:paraId="5F161D8F" w14:textId="77777777" w:rsidR="00710555" w:rsidRDefault="00000000">
      <w:pPr>
        <w:pStyle w:val="BodyText"/>
      </w:pPr>
      <w:r>
        <w:t>The value of the 1977 work to Pacific Island countries, producers and consumers has been immense.</w:t>
      </w:r>
    </w:p>
    <w:p w14:paraId="6E78D6C8" w14:textId="77777777" w:rsidR="00710555" w:rsidRDefault="00000000">
      <w:pPr>
        <w:pStyle w:val="BodyText"/>
      </w:pPr>
      <w:r>
        <w:t>The overwhelming growth in WCPO fishing activity is shown in Figures 1 and 2.</w:t>
      </w:r>
    </w:p>
    <w:p w14:paraId="738CB4E0" w14:textId="1CCE4B98" w:rsidR="00710555" w:rsidRDefault="00000000">
      <w:pPr>
        <w:pStyle w:val="ImageCaption"/>
      </w:pPr>
      <w:bookmarkStart w:id="1" w:name="fig:PurseSeineBoats"/>
      <w:bookmarkEnd w:id="1"/>
      <w:r>
        <w:t>Figure 1: Number of Purse Seine Vessels Operating in the WCPO Purse Seine Fishery</w:t>
      </w:r>
      <w:r w:rsidR="003A1256">
        <w:rPr>
          <w:noProof/>
        </w:rPr>
        <w:drawing>
          <wp:inline distT="0" distB="0" distL="0" distR="0" wp14:anchorId="3136C7DB" wp14:editId="1EE04363">
            <wp:extent cx="5622878" cy="4380931"/>
            <wp:effectExtent l="0" t="0" r="0" b="0"/>
            <wp:docPr id="22" name="Picture" descr="Figure 1: Number of Purse Seine Vessels Operating in the WCPO Purse Seine Fishery"/>
            <wp:cNvGraphicFramePr/>
            <a:graphic xmlns:a="http://schemas.openxmlformats.org/drawingml/2006/main">
              <a:graphicData uri="http://schemas.openxmlformats.org/drawingml/2006/picture">
                <pic:pic xmlns:pic="http://schemas.openxmlformats.org/drawingml/2006/picture">
                  <pic:nvPicPr>
                    <pic:cNvPr id="23" name="Picture" descr="../Graphical_Output/Number_of_Purse_Seine_Vessels_Operating_within_the_WCPFC_NoTitles.png"/>
                    <pic:cNvPicPr>
                      <a:picLocks noChangeAspect="1" noChangeArrowheads="1"/>
                    </pic:cNvPicPr>
                  </pic:nvPicPr>
                  <pic:blipFill>
                    <a:blip r:embed="rId7"/>
                    <a:stretch>
                      <a:fillRect/>
                    </a:stretch>
                  </pic:blipFill>
                  <pic:spPr bwMode="auto">
                    <a:xfrm>
                      <a:off x="0" y="0"/>
                      <a:ext cx="5626762" cy="4383957"/>
                    </a:xfrm>
                    <a:prstGeom prst="rect">
                      <a:avLst/>
                    </a:prstGeom>
                    <a:noFill/>
                    <a:ln w="9525">
                      <a:noFill/>
                      <a:headEnd/>
                      <a:tailEnd/>
                    </a:ln>
                  </pic:spPr>
                </pic:pic>
              </a:graphicData>
            </a:graphic>
          </wp:inline>
        </w:drawing>
      </w:r>
    </w:p>
    <w:p w14:paraId="7803EF81" w14:textId="77777777" w:rsidR="00710555" w:rsidRDefault="00000000">
      <w:pPr>
        <w:pStyle w:val="BodyText"/>
      </w:pPr>
      <w:r>
        <w:lastRenderedPageBreak/>
        <w:t>The growth in fishing activity far exceeded any indicative comparative growth rates. Figure 1 presents comparative growth rates from either:</w:t>
      </w:r>
    </w:p>
    <w:p w14:paraId="4A082B10" w14:textId="77777777" w:rsidR="00710555" w:rsidRDefault="00000000">
      <w:pPr>
        <w:pStyle w:val="Compact"/>
        <w:numPr>
          <w:ilvl w:val="0"/>
          <w:numId w:val="3"/>
        </w:numPr>
      </w:pPr>
      <w:r>
        <w:t>Pre-SSAP (1972 – 1977) vessel growth rates additively extrapolated into the future, and</w:t>
      </w:r>
    </w:p>
    <w:p w14:paraId="3668E0C0" w14:textId="77777777" w:rsidR="00710555" w:rsidRDefault="00000000">
      <w:pPr>
        <w:pStyle w:val="Compact"/>
        <w:numPr>
          <w:ilvl w:val="0"/>
          <w:numId w:val="3"/>
        </w:numPr>
      </w:pPr>
      <w:r>
        <w:t>Exponential vessel growth rates from between 1977 – 2023.</w:t>
      </w:r>
    </w:p>
    <w:p w14:paraId="7082FAB7" w14:textId="77777777" w:rsidR="00710555" w:rsidRDefault="00000000">
      <w:pPr>
        <w:pStyle w:val="FirstParagraph"/>
      </w:pPr>
      <w:r>
        <w:t>Between 1977 and 1980, the number of distant water nation purse seine vessels fishing the WCPO area increased from 15 to 33. Between 1980 and 1982, they had increased again by a further 36 vessels. And in 1983 the total number of purse seine vessels working in the WCPO area became 113.</w:t>
      </w:r>
    </w:p>
    <w:p w14:paraId="6BD93DEE" w14:textId="77777777" w:rsidR="00710555" w:rsidRDefault="00000000">
      <w:pPr>
        <w:pStyle w:val="BodyText"/>
      </w:pPr>
      <w:r>
        <w:t>Increased fishing activity extracted increasing volumes of mainly skipjack tuna from the WCPO, making the WCPO the overwhelming source of the world’s skipjack tuna supply (Figure 2). While recent annual catches of skipjack tuna are currently amongst the highest ever, the WCPFC scientific advice from the most recent WCPO skipjack tuna stock assessment (2022) continues to show that the stock is currently moderately exploited and the level of fishing mortality is sustainable; the skipjack tuna stock is not overfished and is not experiencing overfishing.</w:t>
      </w:r>
      <w:r>
        <w:rPr>
          <w:rStyle w:val="FootnoteReference"/>
        </w:rPr>
        <w:footnoteReference w:id="2"/>
      </w:r>
    </w:p>
    <w:p w14:paraId="4781B451" w14:textId="3C0A0797" w:rsidR="00710555" w:rsidRDefault="00000000">
      <w:pPr>
        <w:pStyle w:val="ImageCaption"/>
      </w:pPr>
      <w:bookmarkStart w:id="2" w:name="fig:WorldVolumes"/>
      <w:bookmarkEnd w:id="2"/>
      <w:r>
        <w:t>Figure 2: Global Annual Skipjack Tuna Catch Volumes</w:t>
      </w:r>
      <w:r w:rsidR="003A1256">
        <w:rPr>
          <w:noProof/>
        </w:rPr>
        <w:drawing>
          <wp:inline distT="0" distB="0" distL="0" distR="0" wp14:anchorId="67D21128" wp14:editId="0498294F">
            <wp:extent cx="5704764" cy="4531056"/>
            <wp:effectExtent l="0" t="0" r="0" b="0"/>
            <wp:docPr id="27" name="Picture" descr="Figure 2: Global Annual Skipjack Tuna Catch Volumes"/>
            <wp:cNvGraphicFramePr/>
            <a:graphic xmlns:a="http://schemas.openxmlformats.org/drawingml/2006/main">
              <a:graphicData uri="http://schemas.openxmlformats.org/drawingml/2006/picture">
                <pic:pic xmlns:pic="http://schemas.openxmlformats.org/drawingml/2006/picture">
                  <pic:nvPicPr>
                    <pic:cNvPr id="28" name="Picture" descr="../Graphical_Output/World_Volumes_WithoutTitles.png"/>
                    <pic:cNvPicPr>
                      <a:picLocks noChangeAspect="1" noChangeArrowheads="1"/>
                    </pic:cNvPicPr>
                  </pic:nvPicPr>
                  <pic:blipFill>
                    <a:blip r:embed="rId8"/>
                    <a:stretch>
                      <a:fillRect/>
                    </a:stretch>
                  </pic:blipFill>
                  <pic:spPr bwMode="auto">
                    <a:xfrm>
                      <a:off x="0" y="0"/>
                      <a:ext cx="5709746" cy="4535013"/>
                    </a:xfrm>
                    <a:prstGeom prst="rect">
                      <a:avLst/>
                    </a:prstGeom>
                    <a:noFill/>
                    <a:ln w="9525">
                      <a:noFill/>
                      <a:headEnd/>
                      <a:tailEnd/>
                    </a:ln>
                  </pic:spPr>
                </pic:pic>
              </a:graphicData>
            </a:graphic>
          </wp:inline>
        </w:drawing>
      </w:r>
    </w:p>
    <w:p w14:paraId="599334F9" w14:textId="338F7522" w:rsidR="00710555" w:rsidRDefault="00000000">
      <w:pPr>
        <w:pStyle w:val="Heading3"/>
      </w:pPr>
      <w:bookmarkStart w:id="3" w:name="the-value-of-harvested-wcpo-skipjack"/>
      <w:bookmarkEnd w:id="0"/>
      <w:r>
        <w:lastRenderedPageBreak/>
        <w:t>The Value of Harvested WCPO Skipjack</w:t>
      </w:r>
    </w:p>
    <w:p w14:paraId="7F640B85" w14:textId="77777777" w:rsidR="00710555" w:rsidRDefault="00000000">
      <w:pPr>
        <w:pStyle w:val="FirstParagraph"/>
      </w:pPr>
      <w:r>
        <w:t>The Pacific Islands Forum Fisheries Agency (FFA) estimates the value of skipjack tuna extracted from the WCPO.</w:t>
      </w:r>
      <w:r>
        <w:rPr>
          <w:rStyle w:val="FootnoteReference"/>
        </w:rPr>
        <w:footnoteReference w:id="3"/>
      </w:r>
      <w:r>
        <w:t xml:space="preserve"> Unfortunately, value information prior to 1997 is unavailable, so the FFA metrics only provide a partial picture of the value of the fisheries since 1977.</w:t>
      </w:r>
    </w:p>
    <w:p w14:paraId="3C1AF011" w14:textId="77777777" w:rsidR="00710555" w:rsidRDefault="00000000">
      <w:pPr>
        <w:pStyle w:val="TableCaption"/>
      </w:pPr>
      <w:bookmarkStart w:id="4" w:name="tab:PresentValue"/>
      <w:bookmarkEnd w:id="4"/>
      <w:r>
        <w:t>Table 1: Present Value of Historical Catch Value for Skipjack Tuna</w:t>
      </w:r>
    </w:p>
    <w:tbl>
      <w:tblPr>
        <w:tblStyle w:val="Table"/>
        <w:tblW w:w="3973" w:type="pct"/>
        <w:tblInd w:w="108"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1102"/>
        <w:gridCol w:w="1559"/>
        <w:gridCol w:w="1417"/>
        <w:gridCol w:w="2694"/>
      </w:tblGrid>
      <w:tr w:rsidR="00710555" w:rsidRPr="003A1256" w14:paraId="22533F79" w14:textId="77777777" w:rsidTr="003A1256">
        <w:trPr>
          <w:tblHeader/>
        </w:trPr>
        <w:tc>
          <w:tcPr>
            <w:tcW w:w="1101" w:type="dxa"/>
            <w:tcBorders>
              <w:top w:val="single" w:sz="4" w:space="0" w:color="auto"/>
              <w:bottom w:val="single" w:sz="4" w:space="0" w:color="auto"/>
            </w:tcBorders>
          </w:tcPr>
          <w:p w14:paraId="707894AA" w14:textId="77777777" w:rsidR="00710555" w:rsidRPr="003A1256" w:rsidRDefault="00000000" w:rsidP="003A1256">
            <w:pPr>
              <w:pStyle w:val="Compact"/>
              <w:spacing w:before="0" w:after="0" w:line="240" w:lineRule="auto"/>
              <w:jc w:val="left"/>
              <w:rPr>
                <w:b/>
                <w:bCs/>
              </w:rPr>
            </w:pPr>
            <w:r w:rsidRPr="003A1256">
              <w:rPr>
                <w:b/>
                <w:bCs/>
              </w:rPr>
              <w:t>Year</w:t>
            </w:r>
          </w:p>
        </w:tc>
        <w:tc>
          <w:tcPr>
            <w:tcW w:w="1559" w:type="dxa"/>
            <w:tcBorders>
              <w:top w:val="single" w:sz="4" w:space="0" w:color="auto"/>
              <w:bottom w:val="single" w:sz="4" w:space="0" w:color="auto"/>
            </w:tcBorders>
          </w:tcPr>
          <w:p w14:paraId="5CEC2B74" w14:textId="77777777" w:rsidR="00710555" w:rsidRPr="003A1256" w:rsidRDefault="00000000" w:rsidP="003A1256">
            <w:pPr>
              <w:pStyle w:val="Compact"/>
              <w:spacing w:before="0" w:after="0" w:line="240" w:lineRule="auto"/>
              <w:jc w:val="center"/>
              <w:rPr>
                <w:b/>
                <w:bCs/>
              </w:rPr>
            </w:pPr>
            <w:r w:rsidRPr="003A1256">
              <w:rPr>
                <w:b/>
                <w:bCs/>
              </w:rPr>
              <w:t>Volume - Tonnes (Mill)</w:t>
            </w:r>
          </w:p>
        </w:tc>
        <w:tc>
          <w:tcPr>
            <w:tcW w:w="1417" w:type="dxa"/>
            <w:tcBorders>
              <w:top w:val="single" w:sz="4" w:space="0" w:color="auto"/>
              <w:bottom w:val="single" w:sz="4" w:space="0" w:color="auto"/>
            </w:tcBorders>
          </w:tcPr>
          <w:p w14:paraId="6B4BD7FB" w14:textId="77777777" w:rsidR="00710555" w:rsidRPr="003A1256" w:rsidRDefault="00000000" w:rsidP="003A1256">
            <w:pPr>
              <w:pStyle w:val="Compact"/>
              <w:spacing w:before="0" w:after="0" w:line="240" w:lineRule="auto"/>
              <w:jc w:val="center"/>
              <w:rPr>
                <w:b/>
                <w:bCs/>
              </w:rPr>
            </w:pPr>
            <w:r w:rsidRPr="003A1256">
              <w:rPr>
                <w:b/>
                <w:bCs/>
              </w:rPr>
              <w:t>Value - USD (Mill)</w:t>
            </w:r>
          </w:p>
        </w:tc>
        <w:tc>
          <w:tcPr>
            <w:tcW w:w="2694" w:type="dxa"/>
            <w:tcBorders>
              <w:top w:val="single" w:sz="4" w:space="0" w:color="auto"/>
              <w:bottom w:val="single" w:sz="4" w:space="0" w:color="auto"/>
            </w:tcBorders>
          </w:tcPr>
          <w:p w14:paraId="57A9A607" w14:textId="77777777" w:rsidR="00710555" w:rsidRPr="003A1256" w:rsidRDefault="00000000" w:rsidP="003A1256">
            <w:pPr>
              <w:pStyle w:val="Compact"/>
              <w:spacing w:before="0" w:after="0" w:line="240" w:lineRule="auto"/>
              <w:jc w:val="center"/>
              <w:rPr>
                <w:b/>
                <w:bCs/>
              </w:rPr>
            </w:pPr>
            <w:r w:rsidRPr="003A1256">
              <w:rPr>
                <w:b/>
                <w:bCs/>
              </w:rPr>
              <w:t>Present Value - USD(Mill) in 2024 Dollars</w:t>
            </w:r>
          </w:p>
        </w:tc>
      </w:tr>
      <w:tr w:rsidR="00710555" w14:paraId="04DF63A6" w14:textId="77777777" w:rsidTr="003A1256">
        <w:tc>
          <w:tcPr>
            <w:tcW w:w="1101" w:type="dxa"/>
            <w:tcBorders>
              <w:top w:val="single" w:sz="4" w:space="0" w:color="auto"/>
            </w:tcBorders>
          </w:tcPr>
          <w:p w14:paraId="6EB6D221" w14:textId="77777777" w:rsidR="00710555" w:rsidRDefault="00000000" w:rsidP="003A1256">
            <w:pPr>
              <w:pStyle w:val="Compact"/>
              <w:spacing w:before="0" w:after="0" w:line="240" w:lineRule="auto"/>
              <w:jc w:val="left"/>
            </w:pPr>
            <w:r>
              <w:t>1997</w:t>
            </w:r>
          </w:p>
        </w:tc>
        <w:tc>
          <w:tcPr>
            <w:tcW w:w="1559" w:type="dxa"/>
            <w:tcBorders>
              <w:top w:val="single" w:sz="4" w:space="0" w:color="auto"/>
            </w:tcBorders>
          </w:tcPr>
          <w:p w14:paraId="76A83FA2" w14:textId="77777777" w:rsidR="00710555" w:rsidRDefault="00000000" w:rsidP="003A1256">
            <w:pPr>
              <w:pStyle w:val="Compact"/>
              <w:spacing w:before="0" w:after="0" w:line="240" w:lineRule="auto"/>
              <w:jc w:val="center"/>
            </w:pPr>
            <w:r>
              <w:t>933,912</w:t>
            </w:r>
          </w:p>
        </w:tc>
        <w:tc>
          <w:tcPr>
            <w:tcW w:w="1417" w:type="dxa"/>
            <w:tcBorders>
              <w:top w:val="single" w:sz="4" w:space="0" w:color="auto"/>
            </w:tcBorders>
          </w:tcPr>
          <w:p w14:paraId="2F9E2F9A" w14:textId="77777777" w:rsidR="00710555" w:rsidRDefault="00000000" w:rsidP="003A1256">
            <w:pPr>
              <w:pStyle w:val="Compact"/>
              <w:spacing w:before="0" w:after="0" w:line="240" w:lineRule="auto"/>
              <w:jc w:val="center"/>
            </w:pPr>
            <w:r>
              <w:t>$1,167</w:t>
            </w:r>
          </w:p>
        </w:tc>
        <w:tc>
          <w:tcPr>
            <w:tcW w:w="2694" w:type="dxa"/>
            <w:tcBorders>
              <w:top w:val="single" w:sz="4" w:space="0" w:color="auto"/>
            </w:tcBorders>
          </w:tcPr>
          <w:p w14:paraId="6294E343" w14:textId="77777777" w:rsidR="00710555" w:rsidRDefault="00000000" w:rsidP="003A1256">
            <w:pPr>
              <w:pStyle w:val="Compact"/>
              <w:spacing w:before="0" w:after="0" w:line="240" w:lineRule="auto"/>
              <w:jc w:val="center"/>
            </w:pPr>
            <w:r>
              <w:t>$2,592</w:t>
            </w:r>
          </w:p>
        </w:tc>
      </w:tr>
      <w:tr w:rsidR="00710555" w14:paraId="0380AF06" w14:textId="77777777" w:rsidTr="003A1256">
        <w:tc>
          <w:tcPr>
            <w:tcW w:w="1101" w:type="dxa"/>
          </w:tcPr>
          <w:p w14:paraId="08FE96C6" w14:textId="77777777" w:rsidR="00710555" w:rsidRDefault="00000000" w:rsidP="003A1256">
            <w:pPr>
              <w:pStyle w:val="Compact"/>
              <w:spacing w:before="0" w:after="0" w:line="240" w:lineRule="auto"/>
              <w:jc w:val="left"/>
            </w:pPr>
            <w:r>
              <w:t>1998</w:t>
            </w:r>
          </w:p>
        </w:tc>
        <w:tc>
          <w:tcPr>
            <w:tcW w:w="1559" w:type="dxa"/>
          </w:tcPr>
          <w:p w14:paraId="29EAD7A3" w14:textId="77777777" w:rsidR="00710555" w:rsidRDefault="00000000" w:rsidP="003A1256">
            <w:pPr>
              <w:pStyle w:val="Compact"/>
              <w:spacing w:before="0" w:after="0" w:line="240" w:lineRule="auto"/>
              <w:jc w:val="center"/>
            </w:pPr>
            <w:r>
              <w:t>1,234,264</w:t>
            </w:r>
          </w:p>
        </w:tc>
        <w:tc>
          <w:tcPr>
            <w:tcW w:w="1417" w:type="dxa"/>
          </w:tcPr>
          <w:p w14:paraId="315F5A6A" w14:textId="77777777" w:rsidR="00710555" w:rsidRDefault="00000000" w:rsidP="003A1256">
            <w:pPr>
              <w:pStyle w:val="Compact"/>
              <w:spacing w:before="0" w:after="0" w:line="240" w:lineRule="auto"/>
              <w:jc w:val="center"/>
            </w:pPr>
            <w:r>
              <w:t>$1,366</w:t>
            </w:r>
          </w:p>
        </w:tc>
        <w:tc>
          <w:tcPr>
            <w:tcW w:w="2694" w:type="dxa"/>
          </w:tcPr>
          <w:p w14:paraId="321C51F3" w14:textId="77777777" w:rsidR="00710555" w:rsidRDefault="00000000" w:rsidP="003A1256">
            <w:pPr>
              <w:pStyle w:val="Compact"/>
              <w:spacing w:before="0" w:after="0" w:line="240" w:lineRule="auto"/>
              <w:jc w:val="center"/>
            </w:pPr>
            <w:r>
              <w:t>$2,946</w:t>
            </w:r>
          </w:p>
        </w:tc>
      </w:tr>
      <w:tr w:rsidR="00710555" w14:paraId="210D0E4A" w14:textId="77777777" w:rsidTr="003A1256">
        <w:tc>
          <w:tcPr>
            <w:tcW w:w="1101" w:type="dxa"/>
          </w:tcPr>
          <w:p w14:paraId="7AC72130" w14:textId="77777777" w:rsidR="00710555" w:rsidRDefault="00000000" w:rsidP="003A1256">
            <w:pPr>
              <w:pStyle w:val="Compact"/>
              <w:spacing w:before="0" w:after="0" w:line="240" w:lineRule="auto"/>
              <w:jc w:val="left"/>
            </w:pPr>
            <w:r>
              <w:t>1999</w:t>
            </w:r>
          </w:p>
        </w:tc>
        <w:tc>
          <w:tcPr>
            <w:tcW w:w="1559" w:type="dxa"/>
          </w:tcPr>
          <w:p w14:paraId="44512E7D" w14:textId="77777777" w:rsidR="00710555" w:rsidRDefault="00000000" w:rsidP="003A1256">
            <w:pPr>
              <w:pStyle w:val="Compact"/>
              <w:spacing w:before="0" w:after="0" w:line="240" w:lineRule="auto"/>
              <w:jc w:val="center"/>
            </w:pPr>
            <w:r>
              <w:t>1,065,651</w:t>
            </w:r>
          </w:p>
        </w:tc>
        <w:tc>
          <w:tcPr>
            <w:tcW w:w="1417" w:type="dxa"/>
          </w:tcPr>
          <w:p w14:paraId="79715B95" w14:textId="77777777" w:rsidR="00710555" w:rsidRDefault="00000000" w:rsidP="003A1256">
            <w:pPr>
              <w:pStyle w:val="Compact"/>
              <w:spacing w:before="0" w:after="0" w:line="240" w:lineRule="auto"/>
              <w:jc w:val="center"/>
            </w:pPr>
            <w:r>
              <w:t>$911</w:t>
            </w:r>
          </w:p>
        </w:tc>
        <w:tc>
          <w:tcPr>
            <w:tcW w:w="2694" w:type="dxa"/>
          </w:tcPr>
          <w:p w14:paraId="0CD34BBB" w14:textId="77777777" w:rsidR="00710555" w:rsidRDefault="00000000" w:rsidP="003A1256">
            <w:pPr>
              <w:pStyle w:val="Compact"/>
              <w:spacing w:before="0" w:after="0" w:line="240" w:lineRule="auto"/>
              <w:jc w:val="center"/>
            </w:pPr>
            <w:r>
              <w:t>$1,907</w:t>
            </w:r>
          </w:p>
        </w:tc>
      </w:tr>
      <w:tr w:rsidR="00710555" w14:paraId="11CD5AE5" w14:textId="77777777" w:rsidTr="003A1256">
        <w:tc>
          <w:tcPr>
            <w:tcW w:w="1101" w:type="dxa"/>
          </w:tcPr>
          <w:p w14:paraId="0CEA000F" w14:textId="77777777" w:rsidR="00710555" w:rsidRDefault="00000000" w:rsidP="003A1256">
            <w:pPr>
              <w:pStyle w:val="Compact"/>
              <w:spacing w:before="0" w:after="0" w:line="240" w:lineRule="auto"/>
              <w:jc w:val="left"/>
            </w:pPr>
            <w:r>
              <w:t>2000</w:t>
            </w:r>
          </w:p>
        </w:tc>
        <w:tc>
          <w:tcPr>
            <w:tcW w:w="1559" w:type="dxa"/>
          </w:tcPr>
          <w:p w14:paraId="0810E465" w14:textId="77777777" w:rsidR="00710555" w:rsidRDefault="00000000" w:rsidP="003A1256">
            <w:pPr>
              <w:pStyle w:val="Compact"/>
              <w:spacing w:before="0" w:after="0" w:line="240" w:lineRule="auto"/>
              <w:jc w:val="center"/>
            </w:pPr>
            <w:r>
              <w:t>1,184,584</w:t>
            </w:r>
          </w:p>
        </w:tc>
        <w:tc>
          <w:tcPr>
            <w:tcW w:w="1417" w:type="dxa"/>
          </w:tcPr>
          <w:p w14:paraId="0B1698DD" w14:textId="77777777" w:rsidR="00710555" w:rsidRDefault="00000000" w:rsidP="003A1256">
            <w:pPr>
              <w:pStyle w:val="Compact"/>
              <w:spacing w:before="0" w:after="0" w:line="240" w:lineRule="auto"/>
              <w:jc w:val="center"/>
            </w:pPr>
            <w:r>
              <w:t>$808</w:t>
            </w:r>
          </w:p>
        </w:tc>
        <w:tc>
          <w:tcPr>
            <w:tcW w:w="2694" w:type="dxa"/>
          </w:tcPr>
          <w:p w14:paraId="7CF3032A" w14:textId="77777777" w:rsidR="00710555" w:rsidRDefault="00000000" w:rsidP="003A1256">
            <w:pPr>
              <w:pStyle w:val="Compact"/>
              <w:spacing w:before="0" w:after="0" w:line="240" w:lineRule="auto"/>
              <w:jc w:val="center"/>
            </w:pPr>
            <w:r>
              <w:t>$1,642</w:t>
            </w:r>
          </w:p>
        </w:tc>
      </w:tr>
      <w:tr w:rsidR="00710555" w14:paraId="0BEC0D70" w14:textId="77777777" w:rsidTr="003A1256">
        <w:tc>
          <w:tcPr>
            <w:tcW w:w="1101" w:type="dxa"/>
          </w:tcPr>
          <w:p w14:paraId="0E24C7C1" w14:textId="77777777" w:rsidR="00710555" w:rsidRDefault="00000000" w:rsidP="003A1256">
            <w:pPr>
              <w:pStyle w:val="Compact"/>
              <w:spacing w:before="0" w:after="0" w:line="240" w:lineRule="auto"/>
              <w:jc w:val="left"/>
            </w:pPr>
            <w:r>
              <w:t>2001</w:t>
            </w:r>
          </w:p>
        </w:tc>
        <w:tc>
          <w:tcPr>
            <w:tcW w:w="1559" w:type="dxa"/>
          </w:tcPr>
          <w:p w14:paraId="340FF24F" w14:textId="77777777" w:rsidR="00710555" w:rsidRDefault="00000000" w:rsidP="003A1256">
            <w:pPr>
              <w:pStyle w:val="Compact"/>
              <w:spacing w:before="0" w:after="0" w:line="240" w:lineRule="auto"/>
              <w:jc w:val="center"/>
            </w:pPr>
            <w:r>
              <w:t>1,091,485</w:t>
            </w:r>
          </w:p>
        </w:tc>
        <w:tc>
          <w:tcPr>
            <w:tcW w:w="1417" w:type="dxa"/>
          </w:tcPr>
          <w:p w14:paraId="62CF8734" w14:textId="77777777" w:rsidR="00710555" w:rsidRDefault="00000000" w:rsidP="003A1256">
            <w:pPr>
              <w:pStyle w:val="Compact"/>
              <w:spacing w:before="0" w:after="0" w:line="240" w:lineRule="auto"/>
              <w:jc w:val="center"/>
            </w:pPr>
            <w:r>
              <w:t>$934</w:t>
            </w:r>
          </w:p>
        </w:tc>
        <w:tc>
          <w:tcPr>
            <w:tcW w:w="2694" w:type="dxa"/>
          </w:tcPr>
          <w:p w14:paraId="4E82D32C" w14:textId="77777777" w:rsidR="00710555" w:rsidRDefault="00000000" w:rsidP="003A1256">
            <w:pPr>
              <w:pStyle w:val="Compact"/>
              <w:spacing w:before="0" w:after="0" w:line="240" w:lineRule="auto"/>
              <w:jc w:val="center"/>
            </w:pPr>
            <w:r>
              <w:t>$1,843</w:t>
            </w:r>
          </w:p>
        </w:tc>
      </w:tr>
      <w:tr w:rsidR="00710555" w14:paraId="2D229475" w14:textId="77777777" w:rsidTr="003A1256">
        <w:tc>
          <w:tcPr>
            <w:tcW w:w="1101" w:type="dxa"/>
          </w:tcPr>
          <w:p w14:paraId="79CC3BFA" w14:textId="77777777" w:rsidR="00710555" w:rsidRDefault="00000000" w:rsidP="003A1256">
            <w:pPr>
              <w:pStyle w:val="Compact"/>
              <w:spacing w:before="0" w:after="0" w:line="240" w:lineRule="auto"/>
              <w:jc w:val="left"/>
            </w:pPr>
            <w:r>
              <w:t>2002</w:t>
            </w:r>
          </w:p>
        </w:tc>
        <w:tc>
          <w:tcPr>
            <w:tcW w:w="1559" w:type="dxa"/>
          </w:tcPr>
          <w:p w14:paraId="2B25F22A" w14:textId="77777777" w:rsidR="00710555" w:rsidRDefault="00000000" w:rsidP="003A1256">
            <w:pPr>
              <w:pStyle w:val="Compact"/>
              <w:spacing w:before="0" w:after="0" w:line="240" w:lineRule="auto"/>
              <w:jc w:val="center"/>
            </w:pPr>
            <w:r>
              <w:t>1,241,775</w:t>
            </w:r>
          </w:p>
        </w:tc>
        <w:tc>
          <w:tcPr>
            <w:tcW w:w="1417" w:type="dxa"/>
          </w:tcPr>
          <w:p w14:paraId="69C7F0F9" w14:textId="77777777" w:rsidR="00710555" w:rsidRDefault="00000000" w:rsidP="003A1256">
            <w:pPr>
              <w:pStyle w:val="Compact"/>
              <w:spacing w:before="0" w:after="0" w:line="240" w:lineRule="auto"/>
              <w:jc w:val="center"/>
            </w:pPr>
            <w:r>
              <w:t>$1,009</w:t>
            </w:r>
          </w:p>
        </w:tc>
        <w:tc>
          <w:tcPr>
            <w:tcW w:w="2694" w:type="dxa"/>
          </w:tcPr>
          <w:p w14:paraId="367477BE" w14:textId="77777777" w:rsidR="00710555" w:rsidRDefault="00000000" w:rsidP="003A1256">
            <w:pPr>
              <w:pStyle w:val="Compact"/>
              <w:spacing w:before="0" w:after="0" w:line="240" w:lineRule="auto"/>
              <w:jc w:val="center"/>
            </w:pPr>
            <w:r>
              <w:t>$1,933</w:t>
            </w:r>
          </w:p>
        </w:tc>
      </w:tr>
      <w:tr w:rsidR="00710555" w14:paraId="72E4965E" w14:textId="77777777" w:rsidTr="003A1256">
        <w:tc>
          <w:tcPr>
            <w:tcW w:w="1101" w:type="dxa"/>
          </w:tcPr>
          <w:p w14:paraId="22A61D94" w14:textId="77777777" w:rsidR="00710555" w:rsidRDefault="00000000" w:rsidP="003A1256">
            <w:pPr>
              <w:pStyle w:val="Compact"/>
              <w:spacing w:before="0" w:after="0" w:line="240" w:lineRule="auto"/>
              <w:jc w:val="left"/>
            </w:pPr>
            <w:r>
              <w:t>2003</w:t>
            </w:r>
          </w:p>
        </w:tc>
        <w:tc>
          <w:tcPr>
            <w:tcW w:w="1559" w:type="dxa"/>
          </w:tcPr>
          <w:p w14:paraId="59C97EC5" w14:textId="77777777" w:rsidR="00710555" w:rsidRDefault="00000000" w:rsidP="003A1256">
            <w:pPr>
              <w:pStyle w:val="Compact"/>
              <w:spacing w:before="0" w:after="0" w:line="240" w:lineRule="auto"/>
              <w:jc w:val="center"/>
            </w:pPr>
            <w:r>
              <w:t>1,235,177</w:t>
            </w:r>
          </w:p>
        </w:tc>
        <w:tc>
          <w:tcPr>
            <w:tcW w:w="1417" w:type="dxa"/>
          </w:tcPr>
          <w:p w14:paraId="22113AC3" w14:textId="77777777" w:rsidR="00710555" w:rsidRDefault="00000000" w:rsidP="003A1256">
            <w:pPr>
              <w:pStyle w:val="Compact"/>
              <w:spacing w:before="0" w:after="0" w:line="240" w:lineRule="auto"/>
              <w:jc w:val="center"/>
            </w:pPr>
            <w:r>
              <w:t>$942</w:t>
            </w:r>
          </w:p>
        </w:tc>
        <w:tc>
          <w:tcPr>
            <w:tcW w:w="2694" w:type="dxa"/>
          </w:tcPr>
          <w:p w14:paraId="0A081399" w14:textId="77777777" w:rsidR="00710555" w:rsidRDefault="00000000" w:rsidP="003A1256">
            <w:pPr>
              <w:pStyle w:val="Compact"/>
              <w:spacing w:before="0" w:after="0" w:line="240" w:lineRule="auto"/>
              <w:jc w:val="center"/>
            </w:pPr>
            <w:r>
              <w:t>$1,752</w:t>
            </w:r>
          </w:p>
        </w:tc>
      </w:tr>
      <w:tr w:rsidR="00710555" w14:paraId="5FA32A4C" w14:textId="77777777" w:rsidTr="003A1256">
        <w:tc>
          <w:tcPr>
            <w:tcW w:w="1101" w:type="dxa"/>
          </w:tcPr>
          <w:p w14:paraId="4669806B" w14:textId="77777777" w:rsidR="00710555" w:rsidRDefault="00000000" w:rsidP="003A1256">
            <w:pPr>
              <w:pStyle w:val="Compact"/>
              <w:spacing w:before="0" w:after="0" w:line="240" w:lineRule="auto"/>
              <w:jc w:val="left"/>
            </w:pPr>
            <w:r>
              <w:t>2004</w:t>
            </w:r>
          </w:p>
        </w:tc>
        <w:tc>
          <w:tcPr>
            <w:tcW w:w="1559" w:type="dxa"/>
          </w:tcPr>
          <w:p w14:paraId="587074D7" w14:textId="77777777" w:rsidR="00710555" w:rsidRDefault="00000000" w:rsidP="003A1256">
            <w:pPr>
              <w:pStyle w:val="Compact"/>
              <w:spacing w:before="0" w:after="0" w:line="240" w:lineRule="auto"/>
              <w:jc w:val="center"/>
            </w:pPr>
            <w:r>
              <w:t>1,349,004</w:t>
            </w:r>
          </w:p>
        </w:tc>
        <w:tc>
          <w:tcPr>
            <w:tcW w:w="1417" w:type="dxa"/>
          </w:tcPr>
          <w:p w14:paraId="6D3F527D" w14:textId="77777777" w:rsidR="00710555" w:rsidRDefault="00000000" w:rsidP="003A1256">
            <w:pPr>
              <w:pStyle w:val="Compact"/>
              <w:spacing w:before="0" w:after="0" w:line="240" w:lineRule="auto"/>
              <w:jc w:val="center"/>
            </w:pPr>
            <w:r>
              <w:t>$1,259</w:t>
            </w:r>
          </w:p>
        </w:tc>
        <w:tc>
          <w:tcPr>
            <w:tcW w:w="2694" w:type="dxa"/>
          </w:tcPr>
          <w:p w14:paraId="314C8550" w14:textId="77777777" w:rsidR="00710555" w:rsidRDefault="00000000" w:rsidP="003A1256">
            <w:pPr>
              <w:pStyle w:val="Compact"/>
              <w:spacing w:before="0" w:after="0" w:line="240" w:lineRule="auto"/>
              <w:jc w:val="center"/>
            </w:pPr>
            <w:r>
              <w:t>$2,274</w:t>
            </w:r>
          </w:p>
        </w:tc>
      </w:tr>
      <w:tr w:rsidR="00710555" w14:paraId="0B7FE6DF" w14:textId="77777777" w:rsidTr="003A1256">
        <w:tc>
          <w:tcPr>
            <w:tcW w:w="1101" w:type="dxa"/>
          </w:tcPr>
          <w:p w14:paraId="119A9674" w14:textId="77777777" w:rsidR="00710555" w:rsidRDefault="00000000" w:rsidP="003A1256">
            <w:pPr>
              <w:pStyle w:val="Compact"/>
              <w:spacing w:before="0" w:after="0" w:line="240" w:lineRule="auto"/>
              <w:jc w:val="left"/>
            </w:pPr>
            <w:r>
              <w:t>2005</w:t>
            </w:r>
          </w:p>
        </w:tc>
        <w:tc>
          <w:tcPr>
            <w:tcW w:w="1559" w:type="dxa"/>
          </w:tcPr>
          <w:p w14:paraId="728AA8BE" w14:textId="77777777" w:rsidR="00710555" w:rsidRDefault="00000000" w:rsidP="003A1256">
            <w:pPr>
              <w:pStyle w:val="Compact"/>
              <w:spacing w:before="0" w:after="0" w:line="240" w:lineRule="auto"/>
              <w:jc w:val="center"/>
            </w:pPr>
            <w:r>
              <w:t>1,413,215</w:t>
            </w:r>
          </w:p>
        </w:tc>
        <w:tc>
          <w:tcPr>
            <w:tcW w:w="1417" w:type="dxa"/>
          </w:tcPr>
          <w:p w14:paraId="4C78819A" w14:textId="77777777" w:rsidR="00710555" w:rsidRDefault="00000000" w:rsidP="003A1256">
            <w:pPr>
              <w:pStyle w:val="Compact"/>
              <w:spacing w:before="0" w:after="0" w:line="240" w:lineRule="auto"/>
              <w:jc w:val="center"/>
            </w:pPr>
            <w:r>
              <w:t>$1,288</w:t>
            </w:r>
          </w:p>
        </w:tc>
        <w:tc>
          <w:tcPr>
            <w:tcW w:w="2694" w:type="dxa"/>
          </w:tcPr>
          <w:p w14:paraId="4610BF18" w14:textId="77777777" w:rsidR="00710555" w:rsidRDefault="00000000" w:rsidP="003A1256">
            <w:pPr>
              <w:pStyle w:val="Compact"/>
              <w:spacing w:before="0" w:after="0" w:line="240" w:lineRule="auto"/>
              <w:jc w:val="center"/>
            </w:pPr>
            <w:r>
              <w:t>$2,259</w:t>
            </w:r>
          </w:p>
        </w:tc>
      </w:tr>
      <w:tr w:rsidR="00710555" w14:paraId="2E020DC8" w14:textId="77777777" w:rsidTr="003A1256">
        <w:tc>
          <w:tcPr>
            <w:tcW w:w="1101" w:type="dxa"/>
          </w:tcPr>
          <w:p w14:paraId="44C8A2BF" w14:textId="77777777" w:rsidR="00710555" w:rsidRDefault="00000000" w:rsidP="003A1256">
            <w:pPr>
              <w:pStyle w:val="Compact"/>
              <w:spacing w:before="0" w:after="0" w:line="240" w:lineRule="auto"/>
              <w:jc w:val="left"/>
            </w:pPr>
            <w:r>
              <w:t>2006</w:t>
            </w:r>
          </w:p>
        </w:tc>
        <w:tc>
          <w:tcPr>
            <w:tcW w:w="1559" w:type="dxa"/>
          </w:tcPr>
          <w:p w14:paraId="601859E5" w14:textId="77777777" w:rsidR="00710555" w:rsidRDefault="00000000" w:rsidP="003A1256">
            <w:pPr>
              <w:pStyle w:val="Compact"/>
              <w:spacing w:before="0" w:after="0" w:line="240" w:lineRule="auto"/>
              <w:jc w:val="center"/>
            </w:pPr>
            <w:r>
              <w:t>1,482,275</w:t>
            </w:r>
          </w:p>
        </w:tc>
        <w:tc>
          <w:tcPr>
            <w:tcW w:w="1417" w:type="dxa"/>
          </w:tcPr>
          <w:p w14:paraId="213D7E3C" w14:textId="77777777" w:rsidR="00710555" w:rsidRDefault="00000000" w:rsidP="003A1256">
            <w:pPr>
              <w:pStyle w:val="Compact"/>
              <w:spacing w:before="0" w:after="0" w:line="240" w:lineRule="auto"/>
              <w:jc w:val="center"/>
            </w:pPr>
            <w:r>
              <w:t>$1,467</w:t>
            </w:r>
          </w:p>
        </w:tc>
        <w:tc>
          <w:tcPr>
            <w:tcW w:w="2694" w:type="dxa"/>
          </w:tcPr>
          <w:p w14:paraId="4F2087AE" w14:textId="77777777" w:rsidR="00710555" w:rsidRDefault="00000000" w:rsidP="003A1256">
            <w:pPr>
              <w:pStyle w:val="Compact"/>
              <w:spacing w:before="0" w:after="0" w:line="240" w:lineRule="auto"/>
              <w:jc w:val="center"/>
            </w:pPr>
            <w:r>
              <w:t>$2,497</w:t>
            </w:r>
          </w:p>
        </w:tc>
      </w:tr>
      <w:tr w:rsidR="00710555" w14:paraId="5105EFE8" w14:textId="77777777" w:rsidTr="003A1256">
        <w:tc>
          <w:tcPr>
            <w:tcW w:w="1101" w:type="dxa"/>
          </w:tcPr>
          <w:p w14:paraId="1FD776E4" w14:textId="77777777" w:rsidR="00710555" w:rsidRDefault="00000000" w:rsidP="003A1256">
            <w:pPr>
              <w:pStyle w:val="Compact"/>
              <w:spacing w:before="0" w:after="0" w:line="240" w:lineRule="auto"/>
              <w:jc w:val="left"/>
            </w:pPr>
            <w:r>
              <w:t>2007</w:t>
            </w:r>
          </w:p>
        </w:tc>
        <w:tc>
          <w:tcPr>
            <w:tcW w:w="1559" w:type="dxa"/>
          </w:tcPr>
          <w:p w14:paraId="27F8DC60" w14:textId="77777777" w:rsidR="00710555" w:rsidRDefault="00000000" w:rsidP="003A1256">
            <w:pPr>
              <w:pStyle w:val="Compact"/>
              <w:spacing w:before="0" w:after="0" w:line="240" w:lineRule="auto"/>
              <w:jc w:val="center"/>
            </w:pPr>
            <w:r>
              <w:t>1,673,462</w:t>
            </w:r>
          </w:p>
        </w:tc>
        <w:tc>
          <w:tcPr>
            <w:tcW w:w="1417" w:type="dxa"/>
          </w:tcPr>
          <w:p w14:paraId="112B16A9" w14:textId="77777777" w:rsidR="00710555" w:rsidRDefault="00000000" w:rsidP="003A1256">
            <w:pPr>
              <w:pStyle w:val="Compact"/>
              <w:spacing w:before="0" w:after="0" w:line="240" w:lineRule="auto"/>
              <w:jc w:val="center"/>
            </w:pPr>
            <w:r>
              <w:t>$2,247</w:t>
            </w:r>
          </w:p>
        </w:tc>
        <w:tc>
          <w:tcPr>
            <w:tcW w:w="2694" w:type="dxa"/>
          </w:tcPr>
          <w:p w14:paraId="3D110552" w14:textId="77777777" w:rsidR="00710555" w:rsidRDefault="00000000" w:rsidP="003A1256">
            <w:pPr>
              <w:pStyle w:val="Compact"/>
              <w:spacing w:before="0" w:after="0" w:line="240" w:lineRule="auto"/>
              <w:jc w:val="center"/>
            </w:pPr>
            <w:r>
              <w:t>$3,714</w:t>
            </w:r>
          </w:p>
        </w:tc>
      </w:tr>
      <w:tr w:rsidR="00710555" w14:paraId="715606E1" w14:textId="77777777" w:rsidTr="003A1256">
        <w:tc>
          <w:tcPr>
            <w:tcW w:w="1101" w:type="dxa"/>
          </w:tcPr>
          <w:p w14:paraId="6BD17E4E" w14:textId="77777777" w:rsidR="00710555" w:rsidRDefault="00000000" w:rsidP="003A1256">
            <w:pPr>
              <w:pStyle w:val="Compact"/>
              <w:spacing w:before="0" w:after="0" w:line="240" w:lineRule="auto"/>
              <w:jc w:val="left"/>
            </w:pPr>
            <w:r>
              <w:t>2008</w:t>
            </w:r>
          </w:p>
        </w:tc>
        <w:tc>
          <w:tcPr>
            <w:tcW w:w="1559" w:type="dxa"/>
          </w:tcPr>
          <w:p w14:paraId="5EE76D2C" w14:textId="77777777" w:rsidR="00710555" w:rsidRDefault="00000000" w:rsidP="003A1256">
            <w:pPr>
              <w:pStyle w:val="Compact"/>
              <w:spacing w:before="0" w:after="0" w:line="240" w:lineRule="auto"/>
              <w:jc w:val="center"/>
            </w:pPr>
            <w:r>
              <w:t>1,674,934</w:t>
            </w:r>
          </w:p>
        </w:tc>
        <w:tc>
          <w:tcPr>
            <w:tcW w:w="1417" w:type="dxa"/>
          </w:tcPr>
          <w:p w14:paraId="6F540E1E" w14:textId="77777777" w:rsidR="00710555" w:rsidRDefault="00000000" w:rsidP="003A1256">
            <w:pPr>
              <w:pStyle w:val="Compact"/>
              <w:spacing w:before="0" w:after="0" w:line="240" w:lineRule="auto"/>
              <w:jc w:val="center"/>
            </w:pPr>
            <w:r>
              <w:t>$2,927</w:t>
            </w:r>
          </w:p>
        </w:tc>
        <w:tc>
          <w:tcPr>
            <w:tcW w:w="2694" w:type="dxa"/>
          </w:tcPr>
          <w:p w14:paraId="06AE8CA3" w14:textId="77777777" w:rsidR="00710555" w:rsidRDefault="00000000" w:rsidP="003A1256">
            <w:pPr>
              <w:pStyle w:val="Compact"/>
              <w:spacing w:before="0" w:after="0" w:line="240" w:lineRule="auto"/>
              <w:jc w:val="center"/>
            </w:pPr>
            <w:r>
              <w:t>$4,697</w:t>
            </w:r>
          </w:p>
        </w:tc>
      </w:tr>
      <w:tr w:rsidR="00710555" w14:paraId="1DC30C8D" w14:textId="77777777" w:rsidTr="003A1256">
        <w:tc>
          <w:tcPr>
            <w:tcW w:w="1101" w:type="dxa"/>
          </w:tcPr>
          <w:p w14:paraId="0C52D263" w14:textId="77777777" w:rsidR="00710555" w:rsidRDefault="00000000" w:rsidP="003A1256">
            <w:pPr>
              <w:pStyle w:val="Compact"/>
              <w:spacing w:before="0" w:after="0" w:line="240" w:lineRule="auto"/>
              <w:jc w:val="left"/>
            </w:pPr>
            <w:r>
              <w:t>2009</w:t>
            </w:r>
          </w:p>
        </w:tc>
        <w:tc>
          <w:tcPr>
            <w:tcW w:w="1559" w:type="dxa"/>
          </w:tcPr>
          <w:p w14:paraId="605DE220" w14:textId="77777777" w:rsidR="00710555" w:rsidRDefault="00000000" w:rsidP="003A1256">
            <w:pPr>
              <w:pStyle w:val="Compact"/>
              <w:spacing w:before="0" w:after="0" w:line="240" w:lineRule="auto"/>
              <w:jc w:val="center"/>
            </w:pPr>
            <w:r>
              <w:t>1,788,036</w:t>
            </w:r>
          </w:p>
        </w:tc>
        <w:tc>
          <w:tcPr>
            <w:tcW w:w="1417" w:type="dxa"/>
          </w:tcPr>
          <w:p w14:paraId="0CB8CE61" w14:textId="77777777" w:rsidR="00710555" w:rsidRDefault="00000000" w:rsidP="003A1256">
            <w:pPr>
              <w:pStyle w:val="Compact"/>
              <w:spacing w:before="0" w:after="0" w:line="240" w:lineRule="auto"/>
              <w:jc w:val="center"/>
            </w:pPr>
            <w:r>
              <w:t>$2,192</w:t>
            </w:r>
          </w:p>
        </w:tc>
        <w:tc>
          <w:tcPr>
            <w:tcW w:w="2694" w:type="dxa"/>
          </w:tcPr>
          <w:p w14:paraId="28D2102B" w14:textId="77777777" w:rsidR="00710555" w:rsidRDefault="00000000" w:rsidP="003A1256">
            <w:pPr>
              <w:pStyle w:val="Compact"/>
              <w:spacing w:before="0" w:after="0" w:line="240" w:lineRule="auto"/>
              <w:jc w:val="center"/>
            </w:pPr>
            <w:r>
              <w:t>$3,415</w:t>
            </w:r>
          </w:p>
        </w:tc>
      </w:tr>
      <w:tr w:rsidR="00710555" w14:paraId="0BDD06DE" w14:textId="77777777" w:rsidTr="003A1256">
        <w:tc>
          <w:tcPr>
            <w:tcW w:w="1101" w:type="dxa"/>
          </w:tcPr>
          <w:p w14:paraId="5EC54946" w14:textId="77777777" w:rsidR="00710555" w:rsidRDefault="00000000" w:rsidP="003A1256">
            <w:pPr>
              <w:pStyle w:val="Compact"/>
              <w:spacing w:before="0" w:after="0" w:line="240" w:lineRule="auto"/>
              <w:jc w:val="left"/>
            </w:pPr>
            <w:r>
              <w:t>2010</w:t>
            </w:r>
          </w:p>
        </w:tc>
        <w:tc>
          <w:tcPr>
            <w:tcW w:w="1559" w:type="dxa"/>
          </w:tcPr>
          <w:p w14:paraId="5198EA48" w14:textId="77777777" w:rsidR="00710555" w:rsidRDefault="00000000" w:rsidP="003A1256">
            <w:pPr>
              <w:pStyle w:val="Compact"/>
              <w:spacing w:before="0" w:after="0" w:line="240" w:lineRule="auto"/>
              <w:jc w:val="center"/>
            </w:pPr>
            <w:r>
              <w:t>1,687,594</w:t>
            </w:r>
          </w:p>
        </w:tc>
        <w:tc>
          <w:tcPr>
            <w:tcW w:w="1417" w:type="dxa"/>
          </w:tcPr>
          <w:p w14:paraId="72609C8D" w14:textId="77777777" w:rsidR="00710555" w:rsidRDefault="00000000" w:rsidP="003A1256">
            <w:pPr>
              <w:pStyle w:val="Compact"/>
              <w:spacing w:before="0" w:after="0" w:line="240" w:lineRule="auto"/>
              <w:jc w:val="center"/>
            </w:pPr>
            <w:r>
              <w:t>$2,218</w:t>
            </w:r>
          </w:p>
        </w:tc>
        <w:tc>
          <w:tcPr>
            <w:tcW w:w="2694" w:type="dxa"/>
          </w:tcPr>
          <w:p w14:paraId="7F62C99A" w14:textId="77777777" w:rsidR="00710555" w:rsidRDefault="00000000" w:rsidP="003A1256">
            <w:pPr>
              <w:pStyle w:val="Compact"/>
              <w:spacing w:before="0" w:after="0" w:line="240" w:lineRule="auto"/>
              <w:jc w:val="center"/>
            </w:pPr>
            <w:r>
              <w:t>$3,355</w:t>
            </w:r>
          </w:p>
        </w:tc>
      </w:tr>
      <w:tr w:rsidR="00710555" w14:paraId="7A813761" w14:textId="77777777" w:rsidTr="003A1256">
        <w:tc>
          <w:tcPr>
            <w:tcW w:w="1101" w:type="dxa"/>
          </w:tcPr>
          <w:p w14:paraId="395D381C" w14:textId="77777777" w:rsidR="00710555" w:rsidRDefault="00000000" w:rsidP="003A1256">
            <w:pPr>
              <w:pStyle w:val="Compact"/>
              <w:spacing w:before="0" w:after="0" w:line="240" w:lineRule="auto"/>
              <w:jc w:val="left"/>
            </w:pPr>
            <w:r>
              <w:t>2011</w:t>
            </w:r>
          </w:p>
        </w:tc>
        <w:tc>
          <w:tcPr>
            <w:tcW w:w="1559" w:type="dxa"/>
          </w:tcPr>
          <w:p w14:paraId="483E4C42" w14:textId="77777777" w:rsidR="00710555" w:rsidRDefault="00000000" w:rsidP="003A1256">
            <w:pPr>
              <w:pStyle w:val="Compact"/>
              <w:spacing w:before="0" w:after="0" w:line="240" w:lineRule="auto"/>
              <w:jc w:val="center"/>
            </w:pPr>
            <w:r>
              <w:t>1,544,851</w:t>
            </w:r>
          </w:p>
        </w:tc>
        <w:tc>
          <w:tcPr>
            <w:tcW w:w="1417" w:type="dxa"/>
          </w:tcPr>
          <w:p w14:paraId="190061C3" w14:textId="77777777" w:rsidR="00710555" w:rsidRDefault="00000000" w:rsidP="003A1256">
            <w:pPr>
              <w:pStyle w:val="Compact"/>
              <w:spacing w:before="0" w:after="0" w:line="240" w:lineRule="auto"/>
              <w:jc w:val="center"/>
            </w:pPr>
            <w:r>
              <w:t>$2,671</w:t>
            </w:r>
          </w:p>
        </w:tc>
        <w:tc>
          <w:tcPr>
            <w:tcW w:w="2694" w:type="dxa"/>
          </w:tcPr>
          <w:p w14:paraId="3EB32AE4" w14:textId="77777777" w:rsidR="00710555" w:rsidRDefault="00000000" w:rsidP="003A1256">
            <w:pPr>
              <w:pStyle w:val="Compact"/>
              <w:spacing w:before="0" w:after="0" w:line="240" w:lineRule="auto"/>
              <w:jc w:val="center"/>
            </w:pPr>
            <w:r>
              <w:t>$3,922</w:t>
            </w:r>
          </w:p>
        </w:tc>
      </w:tr>
      <w:tr w:rsidR="00710555" w14:paraId="7F4544CD" w14:textId="77777777" w:rsidTr="003A1256">
        <w:tc>
          <w:tcPr>
            <w:tcW w:w="1101" w:type="dxa"/>
          </w:tcPr>
          <w:p w14:paraId="4A367A2D" w14:textId="77777777" w:rsidR="00710555" w:rsidRDefault="00000000" w:rsidP="003A1256">
            <w:pPr>
              <w:pStyle w:val="Compact"/>
              <w:spacing w:before="0" w:after="0" w:line="240" w:lineRule="auto"/>
              <w:jc w:val="left"/>
            </w:pPr>
            <w:r>
              <w:t>2012</w:t>
            </w:r>
          </w:p>
        </w:tc>
        <w:tc>
          <w:tcPr>
            <w:tcW w:w="1559" w:type="dxa"/>
          </w:tcPr>
          <w:p w14:paraId="26F9E698" w14:textId="77777777" w:rsidR="00710555" w:rsidRDefault="00000000" w:rsidP="003A1256">
            <w:pPr>
              <w:pStyle w:val="Compact"/>
              <w:spacing w:before="0" w:after="0" w:line="240" w:lineRule="auto"/>
              <w:jc w:val="center"/>
            </w:pPr>
            <w:r>
              <w:t>1,741,929</w:t>
            </w:r>
          </w:p>
        </w:tc>
        <w:tc>
          <w:tcPr>
            <w:tcW w:w="1417" w:type="dxa"/>
          </w:tcPr>
          <w:p w14:paraId="5C100B51" w14:textId="77777777" w:rsidR="00710555" w:rsidRDefault="00000000" w:rsidP="003A1256">
            <w:pPr>
              <w:pStyle w:val="Compact"/>
              <w:spacing w:before="0" w:after="0" w:line="240" w:lineRule="auto"/>
              <w:jc w:val="center"/>
            </w:pPr>
            <w:r>
              <w:t>$3,765</w:t>
            </w:r>
          </w:p>
        </w:tc>
        <w:tc>
          <w:tcPr>
            <w:tcW w:w="2694" w:type="dxa"/>
          </w:tcPr>
          <w:p w14:paraId="6E8F01CF" w14:textId="77777777" w:rsidR="00710555" w:rsidRDefault="00000000" w:rsidP="003A1256">
            <w:pPr>
              <w:pStyle w:val="Compact"/>
              <w:spacing w:before="0" w:after="0" w:line="240" w:lineRule="auto"/>
              <w:jc w:val="center"/>
            </w:pPr>
            <w:r>
              <w:t>$5,368</w:t>
            </w:r>
          </w:p>
        </w:tc>
      </w:tr>
      <w:tr w:rsidR="00710555" w14:paraId="7B60C684" w14:textId="77777777" w:rsidTr="003A1256">
        <w:tc>
          <w:tcPr>
            <w:tcW w:w="1101" w:type="dxa"/>
          </w:tcPr>
          <w:p w14:paraId="1F6D6E2D" w14:textId="77777777" w:rsidR="00710555" w:rsidRDefault="00000000" w:rsidP="003A1256">
            <w:pPr>
              <w:pStyle w:val="Compact"/>
              <w:spacing w:before="0" w:after="0" w:line="240" w:lineRule="auto"/>
              <w:jc w:val="left"/>
            </w:pPr>
            <w:r>
              <w:t>2013</w:t>
            </w:r>
          </w:p>
        </w:tc>
        <w:tc>
          <w:tcPr>
            <w:tcW w:w="1559" w:type="dxa"/>
          </w:tcPr>
          <w:p w14:paraId="44287802" w14:textId="77777777" w:rsidR="00710555" w:rsidRDefault="00000000" w:rsidP="003A1256">
            <w:pPr>
              <w:pStyle w:val="Compact"/>
              <w:spacing w:before="0" w:after="0" w:line="240" w:lineRule="auto"/>
              <w:jc w:val="center"/>
            </w:pPr>
            <w:r>
              <w:t>1,848,614</w:t>
            </w:r>
          </w:p>
        </w:tc>
        <w:tc>
          <w:tcPr>
            <w:tcW w:w="1417" w:type="dxa"/>
          </w:tcPr>
          <w:p w14:paraId="5F90BF63" w14:textId="77777777" w:rsidR="00710555" w:rsidRDefault="00000000" w:rsidP="003A1256">
            <w:pPr>
              <w:pStyle w:val="Compact"/>
              <w:spacing w:before="0" w:after="0" w:line="240" w:lineRule="auto"/>
              <w:jc w:val="center"/>
            </w:pPr>
            <w:r>
              <w:t>$3,822</w:t>
            </w:r>
          </w:p>
        </w:tc>
        <w:tc>
          <w:tcPr>
            <w:tcW w:w="2694" w:type="dxa"/>
          </w:tcPr>
          <w:p w14:paraId="4F0B30ED" w14:textId="77777777" w:rsidR="00710555" w:rsidRDefault="00000000" w:rsidP="003A1256">
            <w:pPr>
              <w:pStyle w:val="Compact"/>
              <w:spacing w:before="0" w:after="0" w:line="240" w:lineRule="auto"/>
              <w:jc w:val="center"/>
            </w:pPr>
            <w:r>
              <w:t>$5,291</w:t>
            </w:r>
          </w:p>
        </w:tc>
      </w:tr>
      <w:tr w:rsidR="00710555" w14:paraId="1A174CA9" w14:textId="77777777" w:rsidTr="003A1256">
        <w:tc>
          <w:tcPr>
            <w:tcW w:w="1101" w:type="dxa"/>
          </w:tcPr>
          <w:p w14:paraId="4AACAEAA" w14:textId="77777777" w:rsidR="00710555" w:rsidRDefault="00000000" w:rsidP="003A1256">
            <w:pPr>
              <w:pStyle w:val="Compact"/>
              <w:spacing w:before="0" w:after="0" w:line="240" w:lineRule="auto"/>
              <w:jc w:val="left"/>
            </w:pPr>
            <w:r>
              <w:t>2014</w:t>
            </w:r>
          </w:p>
        </w:tc>
        <w:tc>
          <w:tcPr>
            <w:tcW w:w="1559" w:type="dxa"/>
          </w:tcPr>
          <w:p w14:paraId="5DB57B36" w14:textId="77777777" w:rsidR="00710555" w:rsidRDefault="00000000" w:rsidP="003A1256">
            <w:pPr>
              <w:pStyle w:val="Compact"/>
              <w:spacing w:before="0" w:after="0" w:line="240" w:lineRule="auto"/>
              <w:jc w:val="center"/>
            </w:pPr>
            <w:r>
              <w:t>1,991,600</w:t>
            </w:r>
          </w:p>
        </w:tc>
        <w:tc>
          <w:tcPr>
            <w:tcW w:w="1417" w:type="dxa"/>
          </w:tcPr>
          <w:p w14:paraId="16449D16" w14:textId="77777777" w:rsidR="00710555" w:rsidRDefault="00000000" w:rsidP="003A1256">
            <w:pPr>
              <w:pStyle w:val="Compact"/>
              <w:spacing w:before="0" w:after="0" w:line="240" w:lineRule="auto"/>
              <w:jc w:val="center"/>
            </w:pPr>
            <w:r>
              <w:t>$2,934</w:t>
            </w:r>
          </w:p>
        </w:tc>
        <w:tc>
          <w:tcPr>
            <w:tcW w:w="2694" w:type="dxa"/>
          </w:tcPr>
          <w:p w14:paraId="614B1FFE" w14:textId="77777777" w:rsidR="00710555" w:rsidRDefault="00000000" w:rsidP="003A1256">
            <w:pPr>
              <w:pStyle w:val="Compact"/>
              <w:spacing w:before="0" w:after="0" w:line="240" w:lineRule="auto"/>
              <w:jc w:val="center"/>
            </w:pPr>
            <w:r>
              <w:t>$3,943</w:t>
            </w:r>
          </w:p>
        </w:tc>
      </w:tr>
      <w:tr w:rsidR="00710555" w14:paraId="20D4238B" w14:textId="77777777" w:rsidTr="003A1256">
        <w:tc>
          <w:tcPr>
            <w:tcW w:w="1101" w:type="dxa"/>
          </w:tcPr>
          <w:p w14:paraId="0AE4ACC4" w14:textId="77777777" w:rsidR="00710555" w:rsidRDefault="00000000" w:rsidP="003A1256">
            <w:pPr>
              <w:pStyle w:val="Compact"/>
              <w:spacing w:before="0" w:after="0" w:line="240" w:lineRule="auto"/>
              <w:jc w:val="left"/>
            </w:pPr>
            <w:r>
              <w:t>2015</w:t>
            </w:r>
          </w:p>
        </w:tc>
        <w:tc>
          <w:tcPr>
            <w:tcW w:w="1559" w:type="dxa"/>
          </w:tcPr>
          <w:p w14:paraId="01C4859E" w14:textId="77777777" w:rsidR="00710555" w:rsidRDefault="00000000" w:rsidP="003A1256">
            <w:pPr>
              <w:pStyle w:val="Compact"/>
              <w:spacing w:before="0" w:after="0" w:line="240" w:lineRule="auto"/>
              <w:jc w:val="center"/>
            </w:pPr>
            <w:r>
              <w:t>1,795,007</w:t>
            </w:r>
          </w:p>
        </w:tc>
        <w:tc>
          <w:tcPr>
            <w:tcW w:w="1417" w:type="dxa"/>
          </w:tcPr>
          <w:p w14:paraId="6B46AA87" w14:textId="77777777" w:rsidR="00710555" w:rsidRDefault="00000000" w:rsidP="003A1256">
            <w:pPr>
              <w:pStyle w:val="Compact"/>
              <w:spacing w:before="0" w:after="0" w:line="240" w:lineRule="auto"/>
              <w:jc w:val="center"/>
            </w:pPr>
            <w:r>
              <w:t>$2,229</w:t>
            </w:r>
          </w:p>
        </w:tc>
        <w:tc>
          <w:tcPr>
            <w:tcW w:w="2694" w:type="dxa"/>
          </w:tcPr>
          <w:p w14:paraId="1108FCBA" w14:textId="77777777" w:rsidR="00710555" w:rsidRDefault="00000000" w:rsidP="003A1256">
            <w:pPr>
              <w:pStyle w:val="Compact"/>
              <w:spacing w:before="0" w:after="0" w:line="240" w:lineRule="auto"/>
              <w:jc w:val="center"/>
            </w:pPr>
            <w:r>
              <w:t>$2,908</w:t>
            </w:r>
          </w:p>
        </w:tc>
      </w:tr>
      <w:tr w:rsidR="00710555" w14:paraId="26A93181" w14:textId="77777777" w:rsidTr="003A1256">
        <w:tc>
          <w:tcPr>
            <w:tcW w:w="1101" w:type="dxa"/>
          </w:tcPr>
          <w:p w14:paraId="05645947" w14:textId="77777777" w:rsidR="00710555" w:rsidRDefault="00000000" w:rsidP="003A1256">
            <w:pPr>
              <w:pStyle w:val="Compact"/>
              <w:spacing w:before="0" w:after="0" w:line="240" w:lineRule="auto"/>
              <w:jc w:val="left"/>
            </w:pPr>
            <w:r>
              <w:t>2016</w:t>
            </w:r>
          </w:p>
        </w:tc>
        <w:tc>
          <w:tcPr>
            <w:tcW w:w="1559" w:type="dxa"/>
          </w:tcPr>
          <w:p w14:paraId="75C19ABC" w14:textId="77777777" w:rsidR="00710555" w:rsidRDefault="00000000" w:rsidP="003A1256">
            <w:pPr>
              <w:pStyle w:val="Compact"/>
              <w:spacing w:before="0" w:after="0" w:line="240" w:lineRule="auto"/>
              <w:jc w:val="center"/>
            </w:pPr>
            <w:r>
              <w:t>1,797,447</w:t>
            </w:r>
          </w:p>
        </w:tc>
        <w:tc>
          <w:tcPr>
            <w:tcW w:w="1417" w:type="dxa"/>
          </w:tcPr>
          <w:p w14:paraId="1F5A0301" w14:textId="77777777" w:rsidR="00710555" w:rsidRDefault="00000000" w:rsidP="003A1256">
            <w:pPr>
              <w:pStyle w:val="Compact"/>
              <w:spacing w:before="0" w:after="0" w:line="240" w:lineRule="auto"/>
              <w:jc w:val="center"/>
            </w:pPr>
            <w:r>
              <w:t>$2,653</w:t>
            </w:r>
          </w:p>
        </w:tc>
        <w:tc>
          <w:tcPr>
            <w:tcW w:w="2694" w:type="dxa"/>
          </w:tcPr>
          <w:p w14:paraId="5B31F5A2" w14:textId="77777777" w:rsidR="00710555" w:rsidRDefault="00000000" w:rsidP="003A1256">
            <w:pPr>
              <w:pStyle w:val="Compact"/>
              <w:spacing w:before="0" w:after="0" w:line="240" w:lineRule="auto"/>
              <w:jc w:val="center"/>
            </w:pPr>
            <w:r>
              <w:t>$3,361</w:t>
            </w:r>
          </w:p>
        </w:tc>
      </w:tr>
      <w:tr w:rsidR="00710555" w14:paraId="60454721" w14:textId="77777777" w:rsidTr="003A1256">
        <w:tc>
          <w:tcPr>
            <w:tcW w:w="1101" w:type="dxa"/>
          </w:tcPr>
          <w:p w14:paraId="43DCD9AF" w14:textId="77777777" w:rsidR="00710555" w:rsidRDefault="00000000" w:rsidP="003A1256">
            <w:pPr>
              <w:pStyle w:val="Compact"/>
              <w:spacing w:before="0" w:after="0" w:line="240" w:lineRule="auto"/>
              <w:jc w:val="left"/>
            </w:pPr>
            <w:r>
              <w:t>2017</w:t>
            </w:r>
          </w:p>
        </w:tc>
        <w:tc>
          <w:tcPr>
            <w:tcW w:w="1559" w:type="dxa"/>
          </w:tcPr>
          <w:p w14:paraId="0A97F4C8" w14:textId="77777777" w:rsidR="00710555" w:rsidRDefault="00000000" w:rsidP="003A1256">
            <w:pPr>
              <w:pStyle w:val="Compact"/>
              <w:spacing w:before="0" w:after="0" w:line="240" w:lineRule="auto"/>
              <w:jc w:val="center"/>
            </w:pPr>
            <w:r>
              <w:t>1,618,962</w:t>
            </w:r>
          </w:p>
        </w:tc>
        <w:tc>
          <w:tcPr>
            <w:tcW w:w="1417" w:type="dxa"/>
          </w:tcPr>
          <w:p w14:paraId="029646D8" w14:textId="77777777" w:rsidR="00710555" w:rsidRDefault="00000000" w:rsidP="003A1256">
            <w:pPr>
              <w:pStyle w:val="Compact"/>
              <w:spacing w:before="0" w:after="0" w:line="240" w:lineRule="auto"/>
              <w:jc w:val="center"/>
            </w:pPr>
            <w:r>
              <w:t>$2,980</w:t>
            </w:r>
          </w:p>
        </w:tc>
        <w:tc>
          <w:tcPr>
            <w:tcW w:w="2694" w:type="dxa"/>
          </w:tcPr>
          <w:p w14:paraId="5A288A0F" w14:textId="77777777" w:rsidR="00710555" w:rsidRDefault="00000000" w:rsidP="003A1256">
            <w:pPr>
              <w:pStyle w:val="Compact"/>
              <w:spacing w:before="0" w:after="0" w:line="240" w:lineRule="auto"/>
              <w:jc w:val="center"/>
            </w:pPr>
            <w:r>
              <w:t>$3,665</w:t>
            </w:r>
          </w:p>
        </w:tc>
      </w:tr>
      <w:tr w:rsidR="00710555" w14:paraId="0D49C204" w14:textId="77777777" w:rsidTr="003A1256">
        <w:tc>
          <w:tcPr>
            <w:tcW w:w="1101" w:type="dxa"/>
          </w:tcPr>
          <w:p w14:paraId="5CC69A1F" w14:textId="77777777" w:rsidR="00710555" w:rsidRDefault="00000000" w:rsidP="003A1256">
            <w:pPr>
              <w:pStyle w:val="Compact"/>
              <w:spacing w:before="0" w:after="0" w:line="240" w:lineRule="auto"/>
              <w:jc w:val="left"/>
            </w:pPr>
            <w:r>
              <w:t>2018</w:t>
            </w:r>
          </w:p>
        </w:tc>
        <w:tc>
          <w:tcPr>
            <w:tcW w:w="1559" w:type="dxa"/>
          </w:tcPr>
          <w:p w14:paraId="4A138EFF" w14:textId="77777777" w:rsidR="00710555" w:rsidRDefault="00000000" w:rsidP="003A1256">
            <w:pPr>
              <w:pStyle w:val="Compact"/>
              <w:spacing w:before="0" w:after="0" w:line="240" w:lineRule="auto"/>
              <w:jc w:val="center"/>
            </w:pPr>
            <w:r>
              <w:t>1,852,983</w:t>
            </w:r>
          </w:p>
        </w:tc>
        <w:tc>
          <w:tcPr>
            <w:tcW w:w="1417" w:type="dxa"/>
          </w:tcPr>
          <w:p w14:paraId="6B61B084" w14:textId="77777777" w:rsidR="00710555" w:rsidRDefault="00000000" w:rsidP="003A1256">
            <w:pPr>
              <w:pStyle w:val="Compact"/>
              <w:spacing w:before="0" w:after="0" w:line="240" w:lineRule="auto"/>
              <w:jc w:val="center"/>
            </w:pPr>
            <w:r>
              <w:t>$3,053</w:t>
            </w:r>
          </w:p>
        </w:tc>
        <w:tc>
          <w:tcPr>
            <w:tcW w:w="2694" w:type="dxa"/>
          </w:tcPr>
          <w:p w14:paraId="1DBD96AA" w14:textId="77777777" w:rsidR="00710555" w:rsidRDefault="00000000" w:rsidP="003A1256">
            <w:pPr>
              <w:pStyle w:val="Compact"/>
              <w:spacing w:before="0" w:after="0" w:line="240" w:lineRule="auto"/>
              <w:jc w:val="center"/>
            </w:pPr>
            <w:r>
              <w:t>$3,645</w:t>
            </w:r>
          </w:p>
        </w:tc>
      </w:tr>
      <w:tr w:rsidR="00710555" w14:paraId="5C86FF1C" w14:textId="77777777" w:rsidTr="003A1256">
        <w:tc>
          <w:tcPr>
            <w:tcW w:w="1101" w:type="dxa"/>
          </w:tcPr>
          <w:p w14:paraId="61A4C727" w14:textId="77777777" w:rsidR="00710555" w:rsidRDefault="00000000" w:rsidP="003A1256">
            <w:pPr>
              <w:pStyle w:val="Compact"/>
              <w:spacing w:before="0" w:after="0" w:line="240" w:lineRule="auto"/>
              <w:jc w:val="left"/>
            </w:pPr>
            <w:r>
              <w:t>2019</w:t>
            </w:r>
          </w:p>
        </w:tc>
        <w:tc>
          <w:tcPr>
            <w:tcW w:w="1559" w:type="dxa"/>
          </w:tcPr>
          <w:p w14:paraId="097909C0" w14:textId="77777777" w:rsidR="00710555" w:rsidRDefault="00000000" w:rsidP="003A1256">
            <w:pPr>
              <w:pStyle w:val="Compact"/>
              <w:spacing w:before="0" w:after="0" w:line="240" w:lineRule="auto"/>
              <w:jc w:val="center"/>
            </w:pPr>
            <w:r>
              <w:t>2,035,695</w:t>
            </w:r>
          </w:p>
        </w:tc>
        <w:tc>
          <w:tcPr>
            <w:tcW w:w="1417" w:type="dxa"/>
          </w:tcPr>
          <w:p w14:paraId="0377B16B" w14:textId="77777777" w:rsidR="00710555" w:rsidRDefault="00000000" w:rsidP="003A1256">
            <w:pPr>
              <w:pStyle w:val="Compact"/>
              <w:spacing w:before="0" w:after="0" w:line="240" w:lineRule="auto"/>
              <w:jc w:val="center"/>
            </w:pPr>
            <w:r>
              <w:t>$2,873</w:t>
            </w:r>
          </w:p>
        </w:tc>
        <w:tc>
          <w:tcPr>
            <w:tcW w:w="2694" w:type="dxa"/>
          </w:tcPr>
          <w:p w14:paraId="21DDFEDC" w14:textId="77777777" w:rsidR="00710555" w:rsidRDefault="00000000" w:rsidP="003A1256">
            <w:pPr>
              <w:pStyle w:val="Compact"/>
              <w:spacing w:before="0" w:after="0" w:line="240" w:lineRule="auto"/>
              <w:jc w:val="center"/>
            </w:pPr>
            <w:r>
              <w:t>$3,331</w:t>
            </w:r>
          </w:p>
        </w:tc>
      </w:tr>
      <w:tr w:rsidR="00710555" w14:paraId="59FE2C50" w14:textId="77777777" w:rsidTr="003A1256">
        <w:tc>
          <w:tcPr>
            <w:tcW w:w="1101" w:type="dxa"/>
          </w:tcPr>
          <w:p w14:paraId="41F5B00F" w14:textId="77777777" w:rsidR="00710555" w:rsidRDefault="00000000" w:rsidP="003A1256">
            <w:pPr>
              <w:pStyle w:val="Compact"/>
              <w:spacing w:before="0" w:after="0" w:line="240" w:lineRule="auto"/>
              <w:jc w:val="left"/>
            </w:pPr>
            <w:r>
              <w:t>2020</w:t>
            </w:r>
          </w:p>
        </w:tc>
        <w:tc>
          <w:tcPr>
            <w:tcW w:w="1559" w:type="dxa"/>
          </w:tcPr>
          <w:p w14:paraId="097015F4" w14:textId="77777777" w:rsidR="00710555" w:rsidRDefault="00000000" w:rsidP="003A1256">
            <w:pPr>
              <w:pStyle w:val="Compact"/>
              <w:spacing w:before="0" w:after="0" w:line="240" w:lineRule="auto"/>
              <w:jc w:val="center"/>
            </w:pPr>
            <w:r>
              <w:t>1,725,568</w:t>
            </w:r>
          </w:p>
        </w:tc>
        <w:tc>
          <w:tcPr>
            <w:tcW w:w="1417" w:type="dxa"/>
          </w:tcPr>
          <w:p w14:paraId="2C06F7B3" w14:textId="77777777" w:rsidR="00710555" w:rsidRDefault="00000000" w:rsidP="003A1256">
            <w:pPr>
              <w:pStyle w:val="Compact"/>
              <w:spacing w:before="0" w:after="0" w:line="240" w:lineRule="auto"/>
              <w:jc w:val="center"/>
            </w:pPr>
            <w:r>
              <w:t>$2,439</w:t>
            </w:r>
          </w:p>
        </w:tc>
        <w:tc>
          <w:tcPr>
            <w:tcW w:w="2694" w:type="dxa"/>
          </w:tcPr>
          <w:p w14:paraId="22596180" w14:textId="77777777" w:rsidR="00710555" w:rsidRDefault="00000000" w:rsidP="003A1256">
            <w:pPr>
              <w:pStyle w:val="Compact"/>
              <w:spacing w:before="0" w:after="0" w:line="240" w:lineRule="auto"/>
              <w:jc w:val="center"/>
            </w:pPr>
            <w:r>
              <w:t>$2,745</w:t>
            </w:r>
          </w:p>
        </w:tc>
      </w:tr>
      <w:tr w:rsidR="00710555" w14:paraId="2B64BFCC" w14:textId="77777777" w:rsidTr="003A1256">
        <w:tc>
          <w:tcPr>
            <w:tcW w:w="1101" w:type="dxa"/>
          </w:tcPr>
          <w:p w14:paraId="06F6D77A" w14:textId="77777777" w:rsidR="00710555" w:rsidRDefault="00000000" w:rsidP="003A1256">
            <w:pPr>
              <w:pStyle w:val="Compact"/>
              <w:spacing w:before="0" w:after="0" w:line="240" w:lineRule="auto"/>
              <w:jc w:val="left"/>
            </w:pPr>
            <w:r>
              <w:t>2021</w:t>
            </w:r>
          </w:p>
        </w:tc>
        <w:tc>
          <w:tcPr>
            <w:tcW w:w="1559" w:type="dxa"/>
          </w:tcPr>
          <w:p w14:paraId="46B511B3" w14:textId="77777777" w:rsidR="00710555" w:rsidRDefault="00000000" w:rsidP="003A1256">
            <w:pPr>
              <w:pStyle w:val="Compact"/>
              <w:spacing w:before="0" w:after="0" w:line="240" w:lineRule="auto"/>
              <w:jc w:val="center"/>
            </w:pPr>
            <w:r>
              <w:t>1,683,528</w:t>
            </w:r>
          </w:p>
        </w:tc>
        <w:tc>
          <w:tcPr>
            <w:tcW w:w="1417" w:type="dxa"/>
          </w:tcPr>
          <w:p w14:paraId="2B74EA94" w14:textId="77777777" w:rsidR="00710555" w:rsidRDefault="00000000" w:rsidP="003A1256">
            <w:pPr>
              <w:pStyle w:val="Compact"/>
              <w:spacing w:before="0" w:after="0" w:line="240" w:lineRule="auto"/>
              <w:jc w:val="center"/>
            </w:pPr>
            <w:r>
              <w:t>$2,378</w:t>
            </w:r>
          </w:p>
        </w:tc>
        <w:tc>
          <w:tcPr>
            <w:tcW w:w="2694" w:type="dxa"/>
          </w:tcPr>
          <w:p w14:paraId="3F57EE7B" w14:textId="77777777" w:rsidR="00710555" w:rsidRDefault="00000000" w:rsidP="003A1256">
            <w:pPr>
              <w:pStyle w:val="Compact"/>
              <w:spacing w:before="0" w:after="0" w:line="240" w:lineRule="auto"/>
              <w:jc w:val="center"/>
            </w:pPr>
            <w:r>
              <w:t>$2,599</w:t>
            </w:r>
          </w:p>
        </w:tc>
      </w:tr>
      <w:tr w:rsidR="00710555" w14:paraId="59693078" w14:textId="77777777" w:rsidTr="003A1256">
        <w:tc>
          <w:tcPr>
            <w:tcW w:w="1101" w:type="dxa"/>
            <w:tcBorders>
              <w:bottom w:val="single" w:sz="4" w:space="0" w:color="auto"/>
            </w:tcBorders>
          </w:tcPr>
          <w:p w14:paraId="531ECA27" w14:textId="77777777" w:rsidR="00710555" w:rsidRDefault="00000000" w:rsidP="003A1256">
            <w:pPr>
              <w:pStyle w:val="Compact"/>
              <w:spacing w:before="0" w:after="0" w:line="240" w:lineRule="auto"/>
              <w:jc w:val="left"/>
            </w:pPr>
            <w:r>
              <w:t>2022</w:t>
            </w:r>
          </w:p>
        </w:tc>
        <w:tc>
          <w:tcPr>
            <w:tcW w:w="1559" w:type="dxa"/>
            <w:tcBorders>
              <w:bottom w:val="single" w:sz="4" w:space="0" w:color="auto"/>
            </w:tcBorders>
          </w:tcPr>
          <w:p w14:paraId="5F3E1A39" w14:textId="77777777" w:rsidR="00710555" w:rsidRDefault="00000000" w:rsidP="003A1256">
            <w:pPr>
              <w:pStyle w:val="Compact"/>
              <w:spacing w:before="0" w:after="0" w:line="240" w:lineRule="auto"/>
              <w:jc w:val="center"/>
            </w:pPr>
            <w:r>
              <w:t>1,749,384</w:t>
            </w:r>
          </w:p>
        </w:tc>
        <w:tc>
          <w:tcPr>
            <w:tcW w:w="1417" w:type="dxa"/>
            <w:tcBorders>
              <w:bottom w:val="single" w:sz="4" w:space="0" w:color="auto"/>
            </w:tcBorders>
          </w:tcPr>
          <w:p w14:paraId="6C80F7A9" w14:textId="77777777" w:rsidR="00710555" w:rsidRDefault="00000000" w:rsidP="003A1256">
            <w:pPr>
              <w:pStyle w:val="Compact"/>
              <w:spacing w:before="0" w:after="0" w:line="240" w:lineRule="auto"/>
              <w:jc w:val="center"/>
            </w:pPr>
            <w:r>
              <w:t>$2,964</w:t>
            </w:r>
          </w:p>
        </w:tc>
        <w:tc>
          <w:tcPr>
            <w:tcW w:w="2694" w:type="dxa"/>
            <w:tcBorders>
              <w:bottom w:val="single" w:sz="4" w:space="0" w:color="auto"/>
            </w:tcBorders>
          </w:tcPr>
          <w:p w14:paraId="2AAA115F" w14:textId="77777777" w:rsidR="00710555" w:rsidRDefault="00000000" w:rsidP="003A1256">
            <w:pPr>
              <w:pStyle w:val="Compact"/>
              <w:spacing w:before="0" w:after="0" w:line="240" w:lineRule="auto"/>
              <w:jc w:val="center"/>
            </w:pPr>
            <w:r>
              <w:t>$3,145</w:t>
            </w:r>
          </w:p>
        </w:tc>
      </w:tr>
      <w:tr w:rsidR="00710555" w:rsidRPr="003A1256" w14:paraId="4DC78AE7" w14:textId="77777777" w:rsidTr="003A1256">
        <w:tc>
          <w:tcPr>
            <w:tcW w:w="1101" w:type="dxa"/>
            <w:tcBorders>
              <w:top w:val="single" w:sz="4" w:space="0" w:color="auto"/>
              <w:bottom w:val="single" w:sz="4" w:space="0" w:color="auto"/>
            </w:tcBorders>
          </w:tcPr>
          <w:p w14:paraId="337545F5" w14:textId="77777777" w:rsidR="00710555" w:rsidRPr="003A1256" w:rsidRDefault="00000000" w:rsidP="003A1256">
            <w:pPr>
              <w:pStyle w:val="Compact"/>
              <w:spacing w:before="0" w:after="0" w:line="240" w:lineRule="auto"/>
              <w:jc w:val="left"/>
              <w:rPr>
                <w:b/>
                <w:bCs/>
              </w:rPr>
            </w:pPr>
            <w:r w:rsidRPr="003A1256">
              <w:rPr>
                <w:b/>
                <w:bCs/>
              </w:rPr>
              <w:t>Total</w:t>
            </w:r>
          </w:p>
        </w:tc>
        <w:tc>
          <w:tcPr>
            <w:tcW w:w="1559" w:type="dxa"/>
            <w:tcBorders>
              <w:top w:val="single" w:sz="4" w:space="0" w:color="auto"/>
              <w:bottom w:val="single" w:sz="4" w:space="0" w:color="auto"/>
            </w:tcBorders>
          </w:tcPr>
          <w:p w14:paraId="3509A417" w14:textId="77777777" w:rsidR="00710555" w:rsidRPr="003A1256" w:rsidRDefault="00000000" w:rsidP="003A1256">
            <w:pPr>
              <w:pStyle w:val="Compact"/>
              <w:spacing w:before="0" w:after="0" w:line="240" w:lineRule="auto"/>
              <w:jc w:val="center"/>
              <w:rPr>
                <w:b/>
                <w:bCs/>
              </w:rPr>
            </w:pPr>
            <w:r w:rsidRPr="003A1256">
              <w:rPr>
                <w:b/>
                <w:bCs/>
              </w:rPr>
              <w:t>40,440,936</w:t>
            </w:r>
          </w:p>
        </w:tc>
        <w:tc>
          <w:tcPr>
            <w:tcW w:w="1417" w:type="dxa"/>
            <w:tcBorders>
              <w:top w:val="single" w:sz="4" w:space="0" w:color="auto"/>
              <w:bottom w:val="single" w:sz="4" w:space="0" w:color="auto"/>
            </w:tcBorders>
          </w:tcPr>
          <w:p w14:paraId="4DE8E943" w14:textId="77777777" w:rsidR="00710555" w:rsidRPr="003A1256" w:rsidRDefault="00000000" w:rsidP="003A1256">
            <w:pPr>
              <w:pStyle w:val="Compact"/>
              <w:spacing w:before="0" w:after="0" w:line="240" w:lineRule="auto"/>
              <w:jc w:val="center"/>
              <w:rPr>
                <w:b/>
                <w:bCs/>
              </w:rPr>
            </w:pPr>
            <w:r w:rsidRPr="003A1256">
              <w:rPr>
                <w:b/>
                <w:bCs/>
              </w:rPr>
              <w:t>$55,496</w:t>
            </w:r>
          </w:p>
        </w:tc>
        <w:tc>
          <w:tcPr>
            <w:tcW w:w="2694" w:type="dxa"/>
            <w:tcBorders>
              <w:top w:val="single" w:sz="4" w:space="0" w:color="auto"/>
              <w:bottom w:val="single" w:sz="4" w:space="0" w:color="auto"/>
            </w:tcBorders>
          </w:tcPr>
          <w:p w14:paraId="7B49802F" w14:textId="77777777" w:rsidR="00710555" w:rsidRPr="003A1256" w:rsidRDefault="00000000" w:rsidP="003A1256">
            <w:pPr>
              <w:pStyle w:val="Compact"/>
              <w:spacing w:before="0" w:after="0" w:line="240" w:lineRule="auto"/>
              <w:jc w:val="center"/>
              <w:rPr>
                <w:b/>
                <w:bCs/>
              </w:rPr>
            </w:pPr>
            <w:r w:rsidRPr="003A1256">
              <w:rPr>
                <w:b/>
                <w:bCs/>
              </w:rPr>
              <w:t>$80,750</w:t>
            </w:r>
          </w:p>
        </w:tc>
      </w:tr>
    </w:tbl>
    <w:p w14:paraId="017C5009" w14:textId="77777777" w:rsidR="00E452BD" w:rsidRDefault="00E452BD">
      <w:pPr>
        <w:pStyle w:val="BodyText"/>
      </w:pPr>
    </w:p>
    <w:p w14:paraId="7B289542" w14:textId="1DD14CCE" w:rsidR="00710555" w:rsidRDefault="00000000">
      <w:pPr>
        <w:pStyle w:val="BodyText"/>
      </w:pPr>
      <w:r>
        <w:t>Assuming a conservative 3% potential investment rate then, over the shortened timeframe of the available catch value statistics, the current day nominal value of the historical skipjack harvested since 1997 is approximately $80,750 million in nominal 2024 US$.</w:t>
      </w:r>
    </w:p>
    <w:p w14:paraId="5EF300E8" w14:textId="77777777" w:rsidR="00710555" w:rsidRDefault="00000000">
      <w:pPr>
        <w:pStyle w:val="BodyText"/>
      </w:pPr>
      <w:r>
        <w:t>In comparison, if the initial US$3 million SSAP investment made in 1977 was invested at 3% per annum, it would be worth US$12 million in nominal 2024 US$.</w:t>
      </w:r>
    </w:p>
    <w:p w14:paraId="2B76AEE8" w14:textId="77777777" w:rsidR="00710555" w:rsidRDefault="00000000">
      <w:pPr>
        <w:pStyle w:val="BodyText"/>
      </w:pPr>
      <w:r>
        <w:t>Connecting those two measures together, the compounding rate of return from the 1977 donor funding is 20.6% per annum since 1977, even excluding the unknown monetary value of harvested skipjack that occurred between 1977 and 1997.</w:t>
      </w:r>
    </w:p>
    <w:p w14:paraId="0320BFF8" w14:textId="3CA57BE9" w:rsidR="00710555" w:rsidRDefault="00000000">
      <w:pPr>
        <w:pStyle w:val="Heading3"/>
      </w:pPr>
      <w:bookmarkStart w:id="5" w:name="X76b17c440073c7bf02cc159753403dab81c6986"/>
      <w:bookmarkEnd w:id="3"/>
      <w:r>
        <w:lastRenderedPageBreak/>
        <w:t>Returning Value to Pacific Island Governments</w:t>
      </w:r>
    </w:p>
    <w:p w14:paraId="1A713DBA" w14:textId="77777777" w:rsidR="00710555" w:rsidRDefault="00000000">
      <w:pPr>
        <w:pStyle w:val="FirstParagraph"/>
      </w:pPr>
      <w:r>
        <w:t>Annual fishing access fees received by Pacific Islands governments in 2021 (or the latest year for which data was available) were approximately US$515 million, or 26.8% of the value of the regional offshore catch, which represents a significant return to Pacific Islands governments from their fishery’s natural stocks.</w:t>
      </w:r>
    </w:p>
    <w:p w14:paraId="0559B7A2" w14:textId="77777777" w:rsidR="00710555" w:rsidRDefault="00000000">
      <w:pPr>
        <w:pStyle w:val="BodyText"/>
      </w:pPr>
      <w:r>
        <w:t>Table 2, from the Benefish 1</w:t>
      </w:r>
      <w:r>
        <w:rPr>
          <w:rStyle w:val="FootnoteReference"/>
        </w:rPr>
        <w:footnoteReference w:id="4"/>
      </w:r>
      <w:r>
        <w:t xml:space="preserve"> and 4</w:t>
      </w:r>
      <w:r>
        <w:rPr>
          <w:rStyle w:val="FootnoteReference"/>
        </w:rPr>
        <w:footnoteReference w:id="5"/>
      </w:r>
      <w:r>
        <w:t xml:space="preserve"> studies provide a partial picture behind the growth in fisheries licensing fees.</w:t>
      </w:r>
    </w:p>
    <w:p w14:paraId="5DE668AA" w14:textId="77777777" w:rsidR="00710555" w:rsidRDefault="00000000">
      <w:pPr>
        <w:pStyle w:val="TableCaption"/>
      </w:pPr>
      <w:bookmarkStart w:id="6" w:name="tab:GovtRevs"/>
      <w:bookmarkEnd w:id="6"/>
      <w:r>
        <w:t>Table 2: Access fees for offshore fishing 2007–202 (or latest year)</w:t>
      </w:r>
    </w:p>
    <w:tbl>
      <w:tblPr>
        <w:tblStyle w:val="Table"/>
        <w:tblW w:w="5428" w:type="pct"/>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2649"/>
        <w:gridCol w:w="1289"/>
        <w:gridCol w:w="1289"/>
        <w:gridCol w:w="1402"/>
        <w:gridCol w:w="1389"/>
        <w:gridCol w:w="1233"/>
      </w:tblGrid>
      <w:tr w:rsidR="00710555" w:rsidRPr="003A1256" w14:paraId="3CB3914B" w14:textId="77777777" w:rsidTr="003A1256">
        <w:trPr>
          <w:tblHeader/>
        </w:trPr>
        <w:tc>
          <w:tcPr>
            <w:tcW w:w="2649" w:type="dxa"/>
            <w:tcBorders>
              <w:top w:val="single" w:sz="4" w:space="0" w:color="auto"/>
              <w:bottom w:val="single" w:sz="4" w:space="0" w:color="auto"/>
            </w:tcBorders>
          </w:tcPr>
          <w:p w14:paraId="6B4A1F0B" w14:textId="77777777" w:rsidR="00710555" w:rsidRPr="003A1256" w:rsidRDefault="00000000">
            <w:pPr>
              <w:pStyle w:val="Compact"/>
              <w:jc w:val="left"/>
              <w:rPr>
                <w:b/>
                <w:bCs/>
              </w:rPr>
            </w:pPr>
            <w:r w:rsidRPr="003A1256">
              <w:rPr>
                <w:b/>
                <w:bCs/>
              </w:rPr>
              <w:t>Pacific Island Country and Territory</w:t>
            </w:r>
          </w:p>
        </w:tc>
        <w:tc>
          <w:tcPr>
            <w:tcW w:w="1289" w:type="dxa"/>
            <w:tcBorders>
              <w:top w:val="single" w:sz="4" w:space="0" w:color="auto"/>
              <w:bottom w:val="single" w:sz="4" w:space="0" w:color="auto"/>
            </w:tcBorders>
          </w:tcPr>
          <w:p w14:paraId="1595C84F" w14:textId="77777777" w:rsidR="00710555" w:rsidRPr="003A1256" w:rsidRDefault="00000000">
            <w:pPr>
              <w:pStyle w:val="Compact"/>
              <w:jc w:val="center"/>
              <w:rPr>
                <w:b/>
                <w:bCs/>
              </w:rPr>
            </w:pPr>
            <w:r w:rsidRPr="003A1256">
              <w:rPr>
                <w:b/>
                <w:bCs/>
              </w:rPr>
              <w:t>1999 Access Fees</w:t>
            </w:r>
          </w:p>
        </w:tc>
        <w:tc>
          <w:tcPr>
            <w:tcW w:w="1289" w:type="dxa"/>
            <w:tcBorders>
              <w:top w:val="single" w:sz="4" w:space="0" w:color="auto"/>
              <w:bottom w:val="single" w:sz="4" w:space="0" w:color="auto"/>
            </w:tcBorders>
          </w:tcPr>
          <w:p w14:paraId="2E3233FA" w14:textId="77777777" w:rsidR="00710555" w:rsidRPr="003A1256" w:rsidRDefault="00000000">
            <w:pPr>
              <w:pStyle w:val="Compact"/>
              <w:jc w:val="center"/>
              <w:rPr>
                <w:b/>
                <w:bCs/>
              </w:rPr>
            </w:pPr>
            <w:r w:rsidRPr="003A1256">
              <w:rPr>
                <w:b/>
                <w:bCs/>
              </w:rPr>
              <w:t>2007 Access Fees</w:t>
            </w:r>
          </w:p>
        </w:tc>
        <w:tc>
          <w:tcPr>
            <w:tcW w:w="1402" w:type="dxa"/>
            <w:tcBorders>
              <w:top w:val="single" w:sz="4" w:space="0" w:color="auto"/>
              <w:bottom w:val="single" w:sz="4" w:space="0" w:color="auto"/>
            </w:tcBorders>
          </w:tcPr>
          <w:p w14:paraId="5700B6EA" w14:textId="77777777" w:rsidR="00710555" w:rsidRPr="003A1256" w:rsidRDefault="00000000">
            <w:pPr>
              <w:pStyle w:val="Compact"/>
              <w:jc w:val="center"/>
              <w:rPr>
                <w:b/>
                <w:bCs/>
              </w:rPr>
            </w:pPr>
            <w:r w:rsidRPr="003A1256">
              <w:rPr>
                <w:b/>
                <w:bCs/>
              </w:rPr>
              <w:t>2014 Access Fees</w:t>
            </w:r>
          </w:p>
        </w:tc>
        <w:tc>
          <w:tcPr>
            <w:tcW w:w="1389" w:type="dxa"/>
            <w:tcBorders>
              <w:top w:val="single" w:sz="4" w:space="0" w:color="auto"/>
              <w:bottom w:val="single" w:sz="4" w:space="0" w:color="auto"/>
            </w:tcBorders>
          </w:tcPr>
          <w:p w14:paraId="51761895" w14:textId="77777777" w:rsidR="00710555" w:rsidRPr="003A1256" w:rsidRDefault="00000000">
            <w:pPr>
              <w:pStyle w:val="Compact"/>
              <w:jc w:val="center"/>
              <w:rPr>
                <w:b/>
                <w:bCs/>
              </w:rPr>
            </w:pPr>
            <w:r w:rsidRPr="003A1256">
              <w:rPr>
                <w:b/>
                <w:bCs/>
              </w:rPr>
              <w:t>2021 Access Fees</w:t>
            </w:r>
          </w:p>
        </w:tc>
        <w:tc>
          <w:tcPr>
            <w:tcW w:w="1233" w:type="dxa"/>
            <w:tcBorders>
              <w:top w:val="single" w:sz="4" w:space="0" w:color="auto"/>
              <w:bottom w:val="single" w:sz="4" w:space="0" w:color="auto"/>
            </w:tcBorders>
          </w:tcPr>
          <w:p w14:paraId="3A99E359" w14:textId="77777777" w:rsidR="00710555" w:rsidRPr="003A1256" w:rsidRDefault="00000000">
            <w:pPr>
              <w:pStyle w:val="Compact"/>
              <w:jc w:val="center"/>
              <w:rPr>
                <w:b/>
                <w:bCs/>
              </w:rPr>
            </w:pPr>
            <w:r w:rsidRPr="003A1256">
              <w:rPr>
                <w:b/>
                <w:bCs/>
              </w:rPr>
              <w:t>% Change</w:t>
            </w:r>
          </w:p>
        </w:tc>
      </w:tr>
      <w:tr w:rsidR="00710555" w14:paraId="37A8BB5D" w14:textId="77777777" w:rsidTr="003A1256">
        <w:tc>
          <w:tcPr>
            <w:tcW w:w="2649" w:type="dxa"/>
            <w:tcBorders>
              <w:top w:val="single" w:sz="4" w:space="0" w:color="auto"/>
            </w:tcBorders>
          </w:tcPr>
          <w:p w14:paraId="4FD9BA6B" w14:textId="77777777" w:rsidR="00710555" w:rsidRDefault="00000000">
            <w:pPr>
              <w:pStyle w:val="Compact"/>
              <w:jc w:val="left"/>
            </w:pPr>
            <w:r>
              <w:t>Cook Islands</w:t>
            </w:r>
          </w:p>
        </w:tc>
        <w:tc>
          <w:tcPr>
            <w:tcW w:w="1289" w:type="dxa"/>
            <w:tcBorders>
              <w:top w:val="single" w:sz="4" w:space="0" w:color="auto"/>
            </w:tcBorders>
          </w:tcPr>
          <w:p w14:paraId="6ED18258" w14:textId="77777777" w:rsidR="00710555" w:rsidRDefault="00000000" w:rsidP="003A1256">
            <w:pPr>
              <w:pStyle w:val="Compact"/>
              <w:jc w:val="right"/>
            </w:pPr>
            <w:r>
              <w:t>169,072</w:t>
            </w:r>
          </w:p>
        </w:tc>
        <w:tc>
          <w:tcPr>
            <w:tcW w:w="1289" w:type="dxa"/>
            <w:tcBorders>
              <w:top w:val="single" w:sz="4" w:space="0" w:color="auto"/>
            </w:tcBorders>
          </w:tcPr>
          <w:p w14:paraId="76826440" w14:textId="77777777" w:rsidR="00710555" w:rsidRDefault="00000000" w:rsidP="003A1256">
            <w:pPr>
              <w:pStyle w:val="Compact"/>
              <w:jc w:val="right"/>
            </w:pPr>
            <w:r>
              <w:t>298,680</w:t>
            </w:r>
          </w:p>
        </w:tc>
        <w:tc>
          <w:tcPr>
            <w:tcW w:w="1402" w:type="dxa"/>
            <w:tcBorders>
              <w:top w:val="single" w:sz="4" w:space="0" w:color="auto"/>
            </w:tcBorders>
          </w:tcPr>
          <w:p w14:paraId="034CD5E1" w14:textId="77777777" w:rsidR="00710555" w:rsidRDefault="00000000" w:rsidP="003A1256">
            <w:pPr>
              <w:pStyle w:val="Compact"/>
              <w:jc w:val="right"/>
            </w:pPr>
            <w:r>
              <w:t>350,352</w:t>
            </w:r>
          </w:p>
        </w:tc>
        <w:tc>
          <w:tcPr>
            <w:tcW w:w="1389" w:type="dxa"/>
            <w:tcBorders>
              <w:top w:val="single" w:sz="4" w:space="0" w:color="auto"/>
            </w:tcBorders>
          </w:tcPr>
          <w:p w14:paraId="35B5B822" w14:textId="77777777" w:rsidR="00710555" w:rsidRDefault="00000000" w:rsidP="003A1256">
            <w:pPr>
              <w:pStyle w:val="Compact"/>
              <w:jc w:val="right"/>
            </w:pPr>
            <w:r>
              <w:t>6,598,639</w:t>
            </w:r>
          </w:p>
        </w:tc>
        <w:tc>
          <w:tcPr>
            <w:tcW w:w="1233" w:type="dxa"/>
            <w:tcBorders>
              <w:top w:val="single" w:sz="4" w:space="0" w:color="auto"/>
            </w:tcBorders>
          </w:tcPr>
          <w:p w14:paraId="1765CE51" w14:textId="77777777" w:rsidR="00710555" w:rsidRDefault="00000000" w:rsidP="003A1256">
            <w:pPr>
              <w:pStyle w:val="Compact"/>
              <w:jc w:val="right"/>
            </w:pPr>
            <w:r>
              <w:t>3803%</w:t>
            </w:r>
          </w:p>
        </w:tc>
      </w:tr>
      <w:tr w:rsidR="00710555" w14:paraId="01730385" w14:textId="77777777" w:rsidTr="003A1256">
        <w:tc>
          <w:tcPr>
            <w:tcW w:w="2649" w:type="dxa"/>
          </w:tcPr>
          <w:p w14:paraId="5F28B2A1" w14:textId="77777777" w:rsidR="00710555" w:rsidRDefault="00000000">
            <w:pPr>
              <w:pStyle w:val="Compact"/>
              <w:jc w:val="left"/>
            </w:pPr>
            <w:r>
              <w:t>FSM</w:t>
            </w:r>
          </w:p>
        </w:tc>
        <w:tc>
          <w:tcPr>
            <w:tcW w:w="1289" w:type="dxa"/>
          </w:tcPr>
          <w:p w14:paraId="3759AE25" w14:textId="77777777" w:rsidR="00710555" w:rsidRDefault="00000000" w:rsidP="003A1256">
            <w:pPr>
              <w:pStyle w:val="Compact"/>
              <w:jc w:val="right"/>
            </w:pPr>
            <w:r>
              <w:t>15,400,000</w:t>
            </w:r>
          </w:p>
        </w:tc>
        <w:tc>
          <w:tcPr>
            <w:tcW w:w="1289" w:type="dxa"/>
          </w:tcPr>
          <w:p w14:paraId="067A8B40" w14:textId="77777777" w:rsidR="00710555" w:rsidRDefault="00000000" w:rsidP="003A1256">
            <w:pPr>
              <w:pStyle w:val="Compact"/>
              <w:jc w:val="right"/>
            </w:pPr>
            <w:r>
              <w:t>16,823,232</w:t>
            </w:r>
          </w:p>
        </w:tc>
        <w:tc>
          <w:tcPr>
            <w:tcW w:w="1402" w:type="dxa"/>
          </w:tcPr>
          <w:p w14:paraId="263CC681" w14:textId="77777777" w:rsidR="00710555" w:rsidRDefault="00000000" w:rsidP="003A1256">
            <w:pPr>
              <w:pStyle w:val="Compact"/>
              <w:jc w:val="right"/>
            </w:pPr>
            <w:r>
              <w:t>19,733,651</w:t>
            </w:r>
          </w:p>
        </w:tc>
        <w:tc>
          <w:tcPr>
            <w:tcW w:w="1389" w:type="dxa"/>
          </w:tcPr>
          <w:p w14:paraId="04981BCF" w14:textId="77777777" w:rsidR="00710555" w:rsidRDefault="00000000" w:rsidP="003A1256">
            <w:pPr>
              <w:pStyle w:val="Compact"/>
              <w:jc w:val="right"/>
            </w:pPr>
            <w:r>
              <w:t>72,300,000</w:t>
            </w:r>
          </w:p>
        </w:tc>
        <w:tc>
          <w:tcPr>
            <w:tcW w:w="1233" w:type="dxa"/>
          </w:tcPr>
          <w:p w14:paraId="5A6F789D" w14:textId="77777777" w:rsidR="00710555" w:rsidRDefault="00000000" w:rsidP="003A1256">
            <w:pPr>
              <w:pStyle w:val="Compact"/>
              <w:jc w:val="right"/>
            </w:pPr>
            <w:r>
              <w:t>369%</w:t>
            </w:r>
          </w:p>
        </w:tc>
      </w:tr>
      <w:tr w:rsidR="00710555" w14:paraId="5F4D5637" w14:textId="77777777" w:rsidTr="003A1256">
        <w:tc>
          <w:tcPr>
            <w:tcW w:w="2649" w:type="dxa"/>
          </w:tcPr>
          <w:p w14:paraId="345AA8AF" w14:textId="77777777" w:rsidR="00710555" w:rsidRDefault="00000000">
            <w:pPr>
              <w:pStyle w:val="Compact"/>
              <w:jc w:val="left"/>
            </w:pPr>
            <w:r>
              <w:t>Fiji</w:t>
            </w:r>
          </w:p>
        </w:tc>
        <w:tc>
          <w:tcPr>
            <w:tcW w:w="1289" w:type="dxa"/>
          </w:tcPr>
          <w:p w14:paraId="1506113A" w14:textId="77777777" w:rsidR="00710555" w:rsidRDefault="00000000" w:rsidP="003A1256">
            <w:pPr>
              <w:pStyle w:val="Compact"/>
              <w:jc w:val="right"/>
            </w:pPr>
            <w:r>
              <w:t>212,000</w:t>
            </w:r>
          </w:p>
        </w:tc>
        <w:tc>
          <w:tcPr>
            <w:tcW w:w="1289" w:type="dxa"/>
          </w:tcPr>
          <w:p w14:paraId="24CFA045" w14:textId="77777777" w:rsidR="00710555" w:rsidRDefault="00000000" w:rsidP="003A1256">
            <w:pPr>
              <w:pStyle w:val="Compact"/>
              <w:jc w:val="right"/>
            </w:pPr>
            <w:r>
              <w:t>292,963</w:t>
            </w:r>
          </w:p>
        </w:tc>
        <w:tc>
          <w:tcPr>
            <w:tcW w:w="1402" w:type="dxa"/>
          </w:tcPr>
          <w:p w14:paraId="4C44501E" w14:textId="77777777" w:rsidR="00710555" w:rsidRDefault="00000000" w:rsidP="003A1256">
            <w:pPr>
              <w:pStyle w:val="Compact"/>
              <w:jc w:val="right"/>
            </w:pPr>
            <w:r>
              <w:t>343,645</w:t>
            </w:r>
          </w:p>
        </w:tc>
        <w:tc>
          <w:tcPr>
            <w:tcW w:w="1389" w:type="dxa"/>
          </w:tcPr>
          <w:p w14:paraId="73C2774F" w14:textId="77777777" w:rsidR="00710555" w:rsidRDefault="00000000" w:rsidP="003A1256">
            <w:pPr>
              <w:pStyle w:val="Compact"/>
              <w:jc w:val="right"/>
            </w:pPr>
            <w:r>
              <w:t>163,174</w:t>
            </w:r>
          </w:p>
        </w:tc>
        <w:tc>
          <w:tcPr>
            <w:tcW w:w="1233" w:type="dxa"/>
          </w:tcPr>
          <w:p w14:paraId="06680325" w14:textId="77777777" w:rsidR="00710555" w:rsidRDefault="00000000" w:rsidP="003A1256">
            <w:pPr>
              <w:pStyle w:val="Compact"/>
              <w:jc w:val="right"/>
            </w:pPr>
            <w:r>
              <w:t>-23%</w:t>
            </w:r>
          </w:p>
        </w:tc>
      </w:tr>
      <w:tr w:rsidR="00710555" w14:paraId="3BD0DC44" w14:textId="77777777" w:rsidTr="003A1256">
        <w:tc>
          <w:tcPr>
            <w:tcW w:w="2649" w:type="dxa"/>
          </w:tcPr>
          <w:p w14:paraId="34F16987" w14:textId="77777777" w:rsidR="00710555" w:rsidRDefault="00000000">
            <w:pPr>
              <w:pStyle w:val="Compact"/>
              <w:jc w:val="left"/>
            </w:pPr>
            <w:r>
              <w:t>Kiribati</w:t>
            </w:r>
          </w:p>
        </w:tc>
        <w:tc>
          <w:tcPr>
            <w:tcW w:w="1289" w:type="dxa"/>
          </w:tcPr>
          <w:p w14:paraId="2C6A28F3" w14:textId="77777777" w:rsidR="00710555" w:rsidRDefault="00000000" w:rsidP="003A1256">
            <w:pPr>
              <w:pStyle w:val="Compact"/>
              <w:jc w:val="right"/>
            </w:pPr>
            <w:r>
              <w:t>20,600,000</w:t>
            </w:r>
          </w:p>
        </w:tc>
        <w:tc>
          <w:tcPr>
            <w:tcW w:w="1289" w:type="dxa"/>
          </w:tcPr>
          <w:p w14:paraId="7FB1C1FF" w14:textId="77777777" w:rsidR="00710555" w:rsidRDefault="00000000" w:rsidP="003A1256">
            <w:pPr>
              <w:pStyle w:val="Compact"/>
              <w:jc w:val="right"/>
            </w:pPr>
            <w:r>
              <w:t>24,351,784</w:t>
            </w:r>
          </w:p>
        </w:tc>
        <w:tc>
          <w:tcPr>
            <w:tcW w:w="1402" w:type="dxa"/>
          </w:tcPr>
          <w:p w14:paraId="616C5E07" w14:textId="77777777" w:rsidR="00710555" w:rsidRDefault="00000000" w:rsidP="003A1256">
            <w:pPr>
              <w:pStyle w:val="Compact"/>
              <w:jc w:val="right"/>
            </w:pPr>
            <w:r>
              <w:t>28,564,643</w:t>
            </w:r>
          </w:p>
        </w:tc>
        <w:tc>
          <w:tcPr>
            <w:tcW w:w="1389" w:type="dxa"/>
          </w:tcPr>
          <w:p w14:paraId="15601F44" w14:textId="77777777" w:rsidR="00710555" w:rsidRDefault="00000000" w:rsidP="003A1256">
            <w:pPr>
              <w:pStyle w:val="Compact"/>
              <w:jc w:val="right"/>
            </w:pPr>
            <w:r>
              <w:t>116,989,340</w:t>
            </w:r>
          </w:p>
        </w:tc>
        <w:tc>
          <w:tcPr>
            <w:tcW w:w="1233" w:type="dxa"/>
          </w:tcPr>
          <w:p w14:paraId="239C3CAF" w14:textId="77777777" w:rsidR="00710555" w:rsidRDefault="00000000" w:rsidP="003A1256">
            <w:pPr>
              <w:pStyle w:val="Compact"/>
              <w:jc w:val="right"/>
            </w:pPr>
            <w:r>
              <w:t>468%</w:t>
            </w:r>
          </w:p>
        </w:tc>
      </w:tr>
      <w:tr w:rsidR="00710555" w14:paraId="1571D855" w14:textId="77777777" w:rsidTr="003A1256">
        <w:tc>
          <w:tcPr>
            <w:tcW w:w="2649" w:type="dxa"/>
          </w:tcPr>
          <w:p w14:paraId="569EFC9C" w14:textId="77777777" w:rsidR="00710555" w:rsidRDefault="00000000">
            <w:pPr>
              <w:pStyle w:val="Compact"/>
              <w:jc w:val="left"/>
            </w:pPr>
            <w:r>
              <w:t>Marshall Islands</w:t>
            </w:r>
          </w:p>
        </w:tc>
        <w:tc>
          <w:tcPr>
            <w:tcW w:w="1289" w:type="dxa"/>
          </w:tcPr>
          <w:p w14:paraId="2C4DD9B2" w14:textId="77777777" w:rsidR="00710555" w:rsidRDefault="00000000" w:rsidP="003A1256">
            <w:pPr>
              <w:pStyle w:val="Compact"/>
              <w:jc w:val="right"/>
            </w:pPr>
            <w:r>
              <w:t>4,982,699</w:t>
            </w:r>
          </w:p>
        </w:tc>
        <w:tc>
          <w:tcPr>
            <w:tcW w:w="1289" w:type="dxa"/>
          </w:tcPr>
          <w:p w14:paraId="41A54028" w14:textId="77777777" w:rsidR="00710555" w:rsidRDefault="00000000" w:rsidP="003A1256">
            <w:pPr>
              <w:pStyle w:val="Compact"/>
              <w:jc w:val="right"/>
            </w:pPr>
            <w:r>
              <w:t>2,227,154</w:t>
            </w:r>
          </w:p>
        </w:tc>
        <w:tc>
          <w:tcPr>
            <w:tcW w:w="1402" w:type="dxa"/>
          </w:tcPr>
          <w:p w14:paraId="7B9B04BC" w14:textId="77777777" w:rsidR="00710555" w:rsidRDefault="00000000" w:rsidP="003A1256">
            <w:pPr>
              <w:pStyle w:val="Compact"/>
              <w:jc w:val="right"/>
            </w:pPr>
            <w:r>
              <w:t>2,612,451</w:t>
            </w:r>
          </w:p>
        </w:tc>
        <w:tc>
          <w:tcPr>
            <w:tcW w:w="1389" w:type="dxa"/>
          </w:tcPr>
          <w:p w14:paraId="0511A812" w14:textId="77777777" w:rsidR="00710555" w:rsidRDefault="00000000" w:rsidP="003A1256">
            <w:pPr>
              <w:pStyle w:val="Compact"/>
              <w:jc w:val="right"/>
            </w:pPr>
            <w:r>
              <w:t>33,031,253</w:t>
            </w:r>
          </w:p>
        </w:tc>
        <w:tc>
          <w:tcPr>
            <w:tcW w:w="1233" w:type="dxa"/>
          </w:tcPr>
          <w:p w14:paraId="1169731D" w14:textId="77777777" w:rsidR="00710555" w:rsidRDefault="00000000" w:rsidP="003A1256">
            <w:pPr>
              <w:pStyle w:val="Compact"/>
              <w:jc w:val="right"/>
            </w:pPr>
            <w:r>
              <w:t>563%</w:t>
            </w:r>
          </w:p>
        </w:tc>
      </w:tr>
      <w:tr w:rsidR="00710555" w14:paraId="0A403F11" w14:textId="77777777" w:rsidTr="003A1256">
        <w:tc>
          <w:tcPr>
            <w:tcW w:w="2649" w:type="dxa"/>
          </w:tcPr>
          <w:p w14:paraId="4B850294" w14:textId="77777777" w:rsidR="00710555" w:rsidRDefault="00000000">
            <w:pPr>
              <w:pStyle w:val="Compact"/>
              <w:jc w:val="left"/>
            </w:pPr>
            <w:r>
              <w:t>Nauru</w:t>
            </w:r>
          </w:p>
        </w:tc>
        <w:tc>
          <w:tcPr>
            <w:tcW w:w="1289" w:type="dxa"/>
          </w:tcPr>
          <w:p w14:paraId="48C0CF77" w14:textId="77777777" w:rsidR="00710555" w:rsidRDefault="00000000" w:rsidP="003A1256">
            <w:pPr>
              <w:pStyle w:val="Compact"/>
              <w:jc w:val="right"/>
            </w:pPr>
            <w:r>
              <w:t>3,400,000</w:t>
            </w:r>
          </w:p>
        </w:tc>
        <w:tc>
          <w:tcPr>
            <w:tcW w:w="1289" w:type="dxa"/>
          </w:tcPr>
          <w:p w14:paraId="27E3F10F" w14:textId="77777777" w:rsidR="00710555" w:rsidRDefault="00000000" w:rsidP="003A1256">
            <w:pPr>
              <w:pStyle w:val="Compact"/>
              <w:jc w:val="right"/>
            </w:pPr>
            <w:r>
              <w:t>5,868,605</w:t>
            </w:r>
          </w:p>
        </w:tc>
        <w:tc>
          <w:tcPr>
            <w:tcW w:w="1402" w:type="dxa"/>
          </w:tcPr>
          <w:p w14:paraId="6EA38458" w14:textId="77777777" w:rsidR="00710555" w:rsidRDefault="00000000" w:rsidP="003A1256">
            <w:pPr>
              <w:pStyle w:val="Compact"/>
              <w:jc w:val="right"/>
            </w:pPr>
            <w:r>
              <w:t>6,883,874</w:t>
            </w:r>
          </w:p>
        </w:tc>
        <w:tc>
          <w:tcPr>
            <w:tcW w:w="1389" w:type="dxa"/>
          </w:tcPr>
          <w:p w14:paraId="12191124" w14:textId="77777777" w:rsidR="00710555" w:rsidRDefault="00000000" w:rsidP="003A1256">
            <w:pPr>
              <w:pStyle w:val="Compact"/>
              <w:jc w:val="right"/>
            </w:pPr>
            <w:r>
              <w:t>42,165,943</w:t>
            </w:r>
          </w:p>
        </w:tc>
        <w:tc>
          <w:tcPr>
            <w:tcW w:w="1233" w:type="dxa"/>
          </w:tcPr>
          <w:p w14:paraId="66B35E94" w14:textId="77777777" w:rsidR="00710555" w:rsidRDefault="00000000" w:rsidP="003A1256">
            <w:pPr>
              <w:pStyle w:val="Compact"/>
              <w:jc w:val="right"/>
            </w:pPr>
            <w:r>
              <w:t>1140%</w:t>
            </w:r>
          </w:p>
        </w:tc>
      </w:tr>
      <w:tr w:rsidR="00710555" w14:paraId="710B2333" w14:textId="77777777" w:rsidTr="003A1256">
        <w:tc>
          <w:tcPr>
            <w:tcW w:w="2649" w:type="dxa"/>
          </w:tcPr>
          <w:p w14:paraId="5DC026D9" w14:textId="77777777" w:rsidR="00710555" w:rsidRDefault="00000000">
            <w:pPr>
              <w:pStyle w:val="Compact"/>
              <w:jc w:val="left"/>
            </w:pPr>
            <w:r>
              <w:t>Niue</w:t>
            </w:r>
          </w:p>
        </w:tc>
        <w:tc>
          <w:tcPr>
            <w:tcW w:w="1289" w:type="dxa"/>
          </w:tcPr>
          <w:p w14:paraId="2F9F2B19" w14:textId="77777777" w:rsidR="00710555" w:rsidRDefault="00000000" w:rsidP="003A1256">
            <w:pPr>
              <w:pStyle w:val="Compact"/>
              <w:jc w:val="right"/>
            </w:pPr>
            <w:r>
              <w:t>151,793</w:t>
            </w:r>
          </w:p>
        </w:tc>
        <w:tc>
          <w:tcPr>
            <w:tcW w:w="1289" w:type="dxa"/>
          </w:tcPr>
          <w:p w14:paraId="084536E0" w14:textId="77777777" w:rsidR="00710555" w:rsidRDefault="00000000" w:rsidP="003A1256">
            <w:pPr>
              <w:pStyle w:val="Compact"/>
              <w:jc w:val="right"/>
            </w:pPr>
            <w:r>
              <w:t>300,941</w:t>
            </w:r>
          </w:p>
        </w:tc>
        <w:tc>
          <w:tcPr>
            <w:tcW w:w="1402" w:type="dxa"/>
          </w:tcPr>
          <w:p w14:paraId="6256EC37" w14:textId="77777777" w:rsidR="00710555" w:rsidRDefault="00000000" w:rsidP="003A1256">
            <w:pPr>
              <w:pStyle w:val="Compact"/>
              <w:jc w:val="right"/>
            </w:pPr>
            <w:r>
              <w:t>353,003</w:t>
            </w:r>
          </w:p>
        </w:tc>
        <w:tc>
          <w:tcPr>
            <w:tcW w:w="1389" w:type="dxa"/>
          </w:tcPr>
          <w:p w14:paraId="3BB0E6B4" w14:textId="77777777" w:rsidR="00710555" w:rsidRDefault="00000000" w:rsidP="003A1256">
            <w:pPr>
              <w:pStyle w:val="Compact"/>
              <w:jc w:val="right"/>
            </w:pPr>
            <w:r>
              <w:t>883,086</w:t>
            </w:r>
          </w:p>
        </w:tc>
        <w:tc>
          <w:tcPr>
            <w:tcW w:w="1233" w:type="dxa"/>
          </w:tcPr>
          <w:p w14:paraId="0C8F5060" w14:textId="77777777" w:rsidR="00710555" w:rsidRDefault="00000000" w:rsidP="003A1256">
            <w:pPr>
              <w:pStyle w:val="Compact"/>
              <w:jc w:val="right"/>
            </w:pPr>
            <w:r>
              <w:t>482%</w:t>
            </w:r>
          </w:p>
        </w:tc>
      </w:tr>
      <w:tr w:rsidR="00710555" w14:paraId="571DBA04" w14:textId="77777777" w:rsidTr="003A1256">
        <w:tc>
          <w:tcPr>
            <w:tcW w:w="2649" w:type="dxa"/>
          </w:tcPr>
          <w:p w14:paraId="535261CC" w14:textId="77777777" w:rsidR="00710555" w:rsidRDefault="00000000">
            <w:pPr>
              <w:pStyle w:val="Compact"/>
              <w:jc w:val="left"/>
            </w:pPr>
            <w:r>
              <w:t>Palau</w:t>
            </w:r>
          </w:p>
        </w:tc>
        <w:tc>
          <w:tcPr>
            <w:tcW w:w="1289" w:type="dxa"/>
          </w:tcPr>
          <w:p w14:paraId="1A7EBC22" w14:textId="77777777" w:rsidR="00710555" w:rsidRDefault="00000000" w:rsidP="003A1256">
            <w:pPr>
              <w:pStyle w:val="Compact"/>
              <w:jc w:val="right"/>
            </w:pPr>
            <w:r>
              <w:t>800,000</w:t>
            </w:r>
          </w:p>
        </w:tc>
        <w:tc>
          <w:tcPr>
            <w:tcW w:w="1289" w:type="dxa"/>
          </w:tcPr>
          <w:p w14:paraId="0B0422D8" w14:textId="77777777" w:rsidR="00710555" w:rsidRDefault="00000000" w:rsidP="003A1256">
            <w:pPr>
              <w:pStyle w:val="Compact"/>
              <w:jc w:val="right"/>
            </w:pPr>
            <w:r>
              <w:t>1,278,260</w:t>
            </w:r>
          </w:p>
        </w:tc>
        <w:tc>
          <w:tcPr>
            <w:tcW w:w="1402" w:type="dxa"/>
          </w:tcPr>
          <w:p w14:paraId="38B97EAD" w14:textId="77777777" w:rsidR="00710555" w:rsidRDefault="00000000" w:rsidP="003A1256">
            <w:pPr>
              <w:pStyle w:val="Compact"/>
              <w:jc w:val="right"/>
            </w:pPr>
            <w:r>
              <w:t>1,499,400</w:t>
            </w:r>
          </w:p>
        </w:tc>
        <w:tc>
          <w:tcPr>
            <w:tcW w:w="1389" w:type="dxa"/>
          </w:tcPr>
          <w:p w14:paraId="3F3D9441" w14:textId="77777777" w:rsidR="00710555" w:rsidRDefault="00000000" w:rsidP="003A1256">
            <w:pPr>
              <w:pStyle w:val="Compact"/>
              <w:jc w:val="right"/>
            </w:pPr>
            <w:r>
              <w:t>7,870,000</w:t>
            </w:r>
          </w:p>
        </w:tc>
        <w:tc>
          <w:tcPr>
            <w:tcW w:w="1233" w:type="dxa"/>
          </w:tcPr>
          <w:p w14:paraId="386D608C" w14:textId="77777777" w:rsidR="00710555" w:rsidRDefault="00000000" w:rsidP="003A1256">
            <w:pPr>
              <w:pStyle w:val="Compact"/>
              <w:jc w:val="right"/>
            </w:pPr>
            <w:r>
              <w:t>884%</w:t>
            </w:r>
          </w:p>
        </w:tc>
      </w:tr>
      <w:tr w:rsidR="00710555" w14:paraId="5C890669" w14:textId="77777777" w:rsidTr="003A1256">
        <w:tc>
          <w:tcPr>
            <w:tcW w:w="2649" w:type="dxa"/>
          </w:tcPr>
          <w:p w14:paraId="2A761F85" w14:textId="77777777" w:rsidR="00710555" w:rsidRDefault="00000000">
            <w:pPr>
              <w:pStyle w:val="Compact"/>
              <w:jc w:val="left"/>
            </w:pPr>
            <w:r>
              <w:t>PNG</w:t>
            </w:r>
          </w:p>
        </w:tc>
        <w:tc>
          <w:tcPr>
            <w:tcW w:w="1289" w:type="dxa"/>
          </w:tcPr>
          <w:p w14:paraId="10A3F2A8" w14:textId="77777777" w:rsidR="00710555" w:rsidRDefault="00000000" w:rsidP="003A1256">
            <w:pPr>
              <w:pStyle w:val="Compact"/>
              <w:jc w:val="right"/>
            </w:pPr>
            <w:r>
              <w:t>5,840,000</w:t>
            </w:r>
          </w:p>
        </w:tc>
        <w:tc>
          <w:tcPr>
            <w:tcW w:w="1289" w:type="dxa"/>
          </w:tcPr>
          <w:p w14:paraId="7CA0D97D" w14:textId="77777777" w:rsidR="00710555" w:rsidRDefault="00000000" w:rsidP="003A1256">
            <w:pPr>
              <w:pStyle w:val="Compact"/>
              <w:jc w:val="right"/>
            </w:pPr>
            <w:r>
              <w:t>17,061,486</w:t>
            </w:r>
          </w:p>
        </w:tc>
        <w:tc>
          <w:tcPr>
            <w:tcW w:w="1402" w:type="dxa"/>
          </w:tcPr>
          <w:p w14:paraId="41C49509" w14:textId="77777777" w:rsidR="00710555" w:rsidRDefault="00000000" w:rsidP="003A1256">
            <w:pPr>
              <w:pStyle w:val="Compact"/>
              <w:jc w:val="right"/>
            </w:pPr>
            <w:r>
              <w:t>20,013,123</w:t>
            </w:r>
          </w:p>
        </w:tc>
        <w:tc>
          <w:tcPr>
            <w:tcW w:w="1389" w:type="dxa"/>
          </w:tcPr>
          <w:p w14:paraId="2D96413A" w14:textId="77777777" w:rsidR="00710555" w:rsidRDefault="00000000" w:rsidP="003A1256">
            <w:pPr>
              <w:pStyle w:val="Compact"/>
              <w:jc w:val="right"/>
            </w:pPr>
            <w:r>
              <w:t>145,014,245</w:t>
            </w:r>
          </w:p>
        </w:tc>
        <w:tc>
          <w:tcPr>
            <w:tcW w:w="1233" w:type="dxa"/>
          </w:tcPr>
          <w:p w14:paraId="7851286E" w14:textId="77777777" w:rsidR="00710555" w:rsidRDefault="00000000" w:rsidP="003A1256">
            <w:pPr>
              <w:pStyle w:val="Compact"/>
              <w:jc w:val="right"/>
            </w:pPr>
            <w:r>
              <w:t>2383%</w:t>
            </w:r>
          </w:p>
        </w:tc>
      </w:tr>
      <w:tr w:rsidR="00710555" w14:paraId="52ADCEE7" w14:textId="77777777" w:rsidTr="003A1256">
        <w:tc>
          <w:tcPr>
            <w:tcW w:w="2649" w:type="dxa"/>
          </w:tcPr>
          <w:p w14:paraId="0FC7CD21" w14:textId="77777777" w:rsidR="00710555" w:rsidRDefault="00000000">
            <w:pPr>
              <w:pStyle w:val="Compact"/>
              <w:jc w:val="left"/>
            </w:pPr>
            <w:r>
              <w:t>Samoa</w:t>
            </w:r>
          </w:p>
        </w:tc>
        <w:tc>
          <w:tcPr>
            <w:tcW w:w="1289" w:type="dxa"/>
          </w:tcPr>
          <w:p w14:paraId="7F151C70" w14:textId="77777777" w:rsidR="00710555" w:rsidRDefault="00000000" w:rsidP="003A1256">
            <w:pPr>
              <w:pStyle w:val="Compact"/>
              <w:jc w:val="right"/>
            </w:pPr>
            <w:r>
              <w:t>188,616</w:t>
            </w:r>
          </w:p>
        </w:tc>
        <w:tc>
          <w:tcPr>
            <w:tcW w:w="1289" w:type="dxa"/>
          </w:tcPr>
          <w:p w14:paraId="67F0F064" w14:textId="77777777" w:rsidR="00710555" w:rsidRDefault="00000000" w:rsidP="003A1256">
            <w:pPr>
              <w:pStyle w:val="Compact"/>
              <w:jc w:val="right"/>
            </w:pPr>
            <w:r>
              <w:t>292,963</w:t>
            </w:r>
          </w:p>
        </w:tc>
        <w:tc>
          <w:tcPr>
            <w:tcW w:w="1402" w:type="dxa"/>
          </w:tcPr>
          <w:p w14:paraId="21432856" w14:textId="77777777" w:rsidR="00710555" w:rsidRDefault="00000000" w:rsidP="003A1256">
            <w:pPr>
              <w:pStyle w:val="Compact"/>
              <w:jc w:val="right"/>
            </w:pPr>
            <w:r>
              <w:t>343,645</w:t>
            </w:r>
          </w:p>
        </w:tc>
        <w:tc>
          <w:tcPr>
            <w:tcW w:w="1389" w:type="dxa"/>
          </w:tcPr>
          <w:p w14:paraId="286F3652" w14:textId="77777777" w:rsidR="00710555" w:rsidRDefault="00000000" w:rsidP="003A1256">
            <w:pPr>
              <w:pStyle w:val="Compact"/>
              <w:jc w:val="right"/>
            </w:pPr>
            <w:r>
              <w:t>1,119,691</w:t>
            </w:r>
          </w:p>
        </w:tc>
        <w:tc>
          <w:tcPr>
            <w:tcW w:w="1233" w:type="dxa"/>
          </w:tcPr>
          <w:p w14:paraId="4D83C1C7" w14:textId="77777777" w:rsidR="00710555" w:rsidRDefault="00000000" w:rsidP="003A1256">
            <w:pPr>
              <w:pStyle w:val="Compact"/>
              <w:jc w:val="right"/>
            </w:pPr>
            <w:r>
              <w:t>494%</w:t>
            </w:r>
          </w:p>
        </w:tc>
      </w:tr>
      <w:tr w:rsidR="00710555" w14:paraId="6A8DECF5" w14:textId="77777777" w:rsidTr="003A1256">
        <w:tc>
          <w:tcPr>
            <w:tcW w:w="2649" w:type="dxa"/>
          </w:tcPr>
          <w:p w14:paraId="70E74510" w14:textId="77777777" w:rsidR="00710555" w:rsidRDefault="00000000">
            <w:pPr>
              <w:pStyle w:val="Compact"/>
              <w:jc w:val="left"/>
            </w:pPr>
            <w:r>
              <w:t>Solomon Islands</w:t>
            </w:r>
          </w:p>
        </w:tc>
        <w:tc>
          <w:tcPr>
            <w:tcW w:w="1289" w:type="dxa"/>
          </w:tcPr>
          <w:p w14:paraId="73516C26" w14:textId="77777777" w:rsidR="00710555" w:rsidRDefault="00000000" w:rsidP="003A1256">
            <w:pPr>
              <w:pStyle w:val="Compact"/>
              <w:jc w:val="right"/>
            </w:pPr>
            <w:r>
              <w:t>273,458</w:t>
            </w:r>
          </w:p>
        </w:tc>
        <w:tc>
          <w:tcPr>
            <w:tcW w:w="1289" w:type="dxa"/>
          </w:tcPr>
          <w:p w14:paraId="15AED908" w14:textId="77777777" w:rsidR="00710555" w:rsidRDefault="00000000" w:rsidP="003A1256">
            <w:pPr>
              <w:pStyle w:val="Compact"/>
              <w:jc w:val="right"/>
            </w:pPr>
            <w:r>
              <w:t>13,411,764</w:t>
            </w:r>
          </w:p>
        </w:tc>
        <w:tc>
          <w:tcPr>
            <w:tcW w:w="1402" w:type="dxa"/>
          </w:tcPr>
          <w:p w14:paraId="6FC8B8AF" w14:textId="77777777" w:rsidR="00710555" w:rsidRDefault="00000000" w:rsidP="003A1256">
            <w:pPr>
              <w:pStyle w:val="Compact"/>
              <w:jc w:val="right"/>
            </w:pPr>
            <w:r>
              <w:t>15,731,999</w:t>
            </w:r>
          </w:p>
        </w:tc>
        <w:tc>
          <w:tcPr>
            <w:tcW w:w="1389" w:type="dxa"/>
          </w:tcPr>
          <w:p w14:paraId="0261F4EF" w14:textId="77777777" w:rsidR="00710555" w:rsidRDefault="00000000" w:rsidP="003A1256">
            <w:pPr>
              <w:pStyle w:val="Compact"/>
              <w:jc w:val="right"/>
            </w:pPr>
            <w:r>
              <w:t>42,110,205</w:t>
            </w:r>
          </w:p>
        </w:tc>
        <w:tc>
          <w:tcPr>
            <w:tcW w:w="1233" w:type="dxa"/>
          </w:tcPr>
          <w:p w14:paraId="02FE22E9" w14:textId="77777777" w:rsidR="00710555" w:rsidRDefault="00000000" w:rsidP="003A1256">
            <w:pPr>
              <w:pStyle w:val="Compact"/>
              <w:jc w:val="right"/>
            </w:pPr>
            <w:r>
              <w:t>15299%</w:t>
            </w:r>
          </w:p>
        </w:tc>
      </w:tr>
      <w:tr w:rsidR="00710555" w14:paraId="32256A45" w14:textId="77777777" w:rsidTr="003A1256">
        <w:tc>
          <w:tcPr>
            <w:tcW w:w="2649" w:type="dxa"/>
          </w:tcPr>
          <w:p w14:paraId="61C85933" w14:textId="77777777" w:rsidR="00710555" w:rsidRDefault="00000000">
            <w:pPr>
              <w:pStyle w:val="Compact"/>
              <w:jc w:val="left"/>
            </w:pPr>
            <w:r>
              <w:t>Tonga</w:t>
            </w:r>
          </w:p>
        </w:tc>
        <w:tc>
          <w:tcPr>
            <w:tcW w:w="1289" w:type="dxa"/>
          </w:tcPr>
          <w:p w14:paraId="5E12E8CB" w14:textId="77777777" w:rsidR="00710555" w:rsidRDefault="00000000" w:rsidP="003A1256">
            <w:pPr>
              <w:pStyle w:val="Compact"/>
              <w:jc w:val="right"/>
            </w:pPr>
            <w:r>
              <w:t>152,041</w:t>
            </w:r>
          </w:p>
        </w:tc>
        <w:tc>
          <w:tcPr>
            <w:tcW w:w="1289" w:type="dxa"/>
          </w:tcPr>
          <w:p w14:paraId="1679A9D6" w14:textId="77777777" w:rsidR="00710555" w:rsidRDefault="00000000" w:rsidP="003A1256">
            <w:pPr>
              <w:pStyle w:val="Compact"/>
              <w:jc w:val="right"/>
            </w:pPr>
            <w:r>
              <w:t>150,715</w:t>
            </w:r>
          </w:p>
        </w:tc>
        <w:tc>
          <w:tcPr>
            <w:tcW w:w="1402" w:type="dxa"/>
          </w:tcPr>
          <w:p w14:paraId="54753468" w14:textId="77777777" w:rsidR="00710555" w:rsidRDefault="00000000" w:rsidP="003A1256">
            <w:pPr>
              <w:pStyle w:val="Compact"/>
              <w:jc w:val="right"/>
            </w:pPr>
            <w:r>
              <w:t>176,789</w:t>
            </w:r>
          </w:p>
        </w:tc>
        <w:tc>
          <w:tcPr>
            <w:tcW w:w="1389" w:type="dxa"/>
          </w:tcPr>
          <w:p w14:paraId="2F68666E" w14:textId="77777777" w:rsidR="00710555" w:rsidRDefault="00000000" w:rsidP="003A1256">
            <w:pPr>
              <w:pStyle w:val="Compact"/>
              <w:jc w:val="right"/>
            </w:pPr>
            <w:r>
              <w:t>1,045,629</w:t>
            </w:r>
          </w:p>
        </w:tc>
        <w:tc>
          <w:tcPr>
            <w:tcW w:w="1233" w:type="dxa"/>
          </w:tcPr>
          <w:p w14:paraId="532E4BF9" w14:textId="77777777" w:rsidR="00710555" w:rsidRDefault="00000000" w:rsidP="003A1256">
            <w:pPr>
              <w:pStyle w:val="Compact"/>
              <w:jc w:val="right"/>
            </w:pPr>
            <w:r>
              <w:t>588%</w:t>
            </w:r>
          </w:p>
        </w:tc>
      </w:tr>
      <w:tr w:rsidR="00710555" w14:paraId="27985CD8" w14:textId="77777777" w:rsidTr="003A1256">
        <w:tc>
          <w:tcPr>
            <w:tcW w:w="2649" w:type="dxa"/>
          </w:tcPr>
          <w:p w14:paraId="606AB899" w14:textId="77777777" w:rsidR="00710555" w:rsidRDefault="00000000">
            <w:pPr>
              <w:pStyle w:val="Compact"/>
              <w:jc w:val="left"/>
            </w:pPr>
            <w:r>
              <w:t>Tuvalu</w:t>
            </w:r>
          </w:p>
        </w:tc>
        <w:tc>
          <w:tcPr>
            <w:tcW w:w="1289" w:type="dxa"/>
          </w:tcPr>
          <w:p w14:paraId="7938B61F" w14:textId="77777777" w:rsidR="00710555" w:rsidRDefault="00000000" w:rsidP="003A1256">
            <w:pPr>
              <w:pStyle w:val="Compact"/>
              <w:jc w:val="right"/>
            </w:pPr>
            <w:r>
              <w:t>5,900,000</w:t>
            </w:r>
          </w:p>
        </w:tc>
        <w:tc>
          <w:tcPr>
            <w:tcW w:w="1289" w:type="dxa"/>
          </w:tcPr>
          <w:p w14:paraId="0FAFBCB9" w14:textId="77777777" w:rsidR="00710555" w:rsidRDefault="00000000" w:rsidP="003A1256">
            <w:pPr>
              <w:pStyle w:val="Compact"/>
              <w:jc w:val="right"/>
            </w:pPr>
            <w:r>
              <w:t>3,927,731</w:t>
            </w:r>
          </w:p>
        </w:tc>
        <w:tc>
          <w:tcPr>
            <w:tcW w:w="1402" w:type="dxa"/>
          </w:tcPr>
          <w:p w14:paraId="63E7C99D" w14:textId="77777777" w:rsidR="00710555" w:rsidRDefault="00000000" w:rsidP="003A1256">
            <w:pPr>
              <w:pStyle w:val="Compact"/>
              <w:jc w:val="right"/>
            </w:pPr>
            <w:r>
              <w:t>4,607,228</w:t>
            </w:r>
          </w:p>
        </w:tc>
        <w:tc>
          <w:tcPr>
            <w:tcW w:w="1389" w:type="dxa"/>
          </w:tcPr>
          <w:p w14:paraId="4E2E8605" w14:textId="77777777" w:rsidR="00710555" w:rsidRDefault="00000000" w:rsidP="003A1256">
            <w:pPr>
              <w:pStyle w:val="Compact"/>
              <w:jc w:val="right"/>
            </w:pPr>
            <w:r>
              <w:t>31,650,914</w:t>
            </w:r>
          </w:p>
        </w:tc>
        <w:tc>
          <w:tcPr>
            <w:tcW w:w="1233" w:type="dxa"/>
          </w:tcPr>
          <w:p w14:paraId="69D83C90" w14:textId="77777777" w:rsidR="00710555" w:rsidRDefault="00000000" w:rsidP="003A1256">
            <w:pPr>
              <w:pStyle w:val="Compact"/>
              <w:jc w:val="right"/>
            </w:pPr>
            <w:r>
              <w:t>436%</w:t>
            </w:r>
          </w:p>
        </w:tc>
      </w:tr>
      <w:tr w:rsidR="00710555" w14:paraId="2738BB01" w14:textId="77777777" w:rsidTr="003A1256">
        <w:tc>
          <w:tcPr>
            <w:tcW w:w="2649" w:type="dxa"/>
          </w:tcPr>
          <w:p w14:paraId="1B2E9FF7" w14:textId="77777777" w:rsidR="00710555" w:rsidRDefault="00000000">
            <w:pPr>
              <w:pStyle w:val="Compact"/>
              <w:jc w:val="left"/>
            </w:pPr>
            <w:r>
              <w:t>Vanuatu</w:t>
            </w:r>
          </w:p>
        </w:tc>
        <w:tc>
          <w:tcPr>
            <w:tcW w:w="1289" w:type="dxa"/>
          </w:tcPr>
          <w:p w14:paraId="66BB83DF" w14:textId="77777777" w:rsidR="00710555" w:rsidRDefault="00000000" w:rsidP="003A1256">
            <w:pPr>
              <w:pStyle w:val="Compact"/>
              <w:jc w:val="right"/>
            </w:pPr>
            <w:r>
              <w:t>218,448</w:t>
            </w:r>
          </w:p>
        </w:tc>
        <w:tc>
          <w:tcPr>
            <w:tcW w:w="1289" w:type="dxa"/>
          </w:tcPr>
          <w:p w14:paraId="42BEE43E" w14:textId="77777777" w:rsidR="00710555" w:rsidRDefault="00000000" w:rsidP="003A1256">
            <w:pPr>
              <w:pStyle w:val="Compact"/>
              <w:jc w:val="right"/>
            </w:pPr>
            <w:r>
              <w:t>1,550,058</w:t>
            </w:r>
          </w:p>
        </w:tc>
        <w:tc>
          <w:tcPr>
            <w:tcW w:w="1402" w:type="dxa"/>
          </w:tcPr>
          <w:p w14:paraId="3046FD62" w14:textId="77777777" w:rsidR="00710555" w:rsidRDefault="00000000" w:rsidP="003A1256">
            <w:pPr>
              <w:pStyle w:val="Compact"/>
              <w:jc w:val="right"/>
            </w:pPr>
            <w:r>
              <w:t>1,818,218</w:t>
            </w:r>
          </w:p>
        </w:tc>
        <w:tc>
          <w:tcPr>
            <w:tcW w:w="1389" w:type="dxa"/>
          </w:tcPr>
          <w:p w14:paraId="2E7370CB" w14:textId="77777777" w:rsidR="00710555" w:rsidRDefault="00000000" w:rsidP="003A1256">
            <w:pPr>
              <w:pStyle w:val="Compact"/>
              <w:jc w:val="right"/>
            </w:pPr>
            <w:r>
              <w:t>1,253,206</w:t>
            </w:r>
          </w:p>
        </w:tc>
        <w:tc>
          <w:tcPr>
            <w:tcW w:w="1233" w:type="dxa"/>
          </w:tcPr>
          <w:p w14:paraId="1DBAED92" w14:textId="77777777" w:rsidR="00710555" w:rsidRDefault="00000000" w:rsidP="003A1256">
            <w:pPr>
              <w:pStyle w:val="Compact"/>
              <w:jc w:val="right"/>
            </w:pPr>
            <w:r>
              <w:t>474%</w:t>
            </w:r>
          </w:p>
        </w:tc>
      </w:tr>
      <w:tr w:rsidR="00710555" w14:paraId="3C2D7B22" w14:textId="77777777" w:rsidTr="003A1256">
        <w:tc>
          <w:tcPr>
            <w:tcW w:w="2649" w:type="dxa"/>
            <w:tcBorders>
              <w:bottom w:val="single" w:sz="4" w:space="0" w:color="auto"/>
            </w:tcBorders>
          </w:tcPr>
          <w:p w14:paraId="466ADB59" w14:textId="77777777" w:rsidR="00710555" w:rsidRDefault="00000000">
            <w:pPr>
              <w:pStyle w:val="Compact"/>
              <w:jc w:val="left"/>
            </w:pPr>
            <w:r>
              <w:t>Tokelau</w:t>
            </w:r>
          </w:p>
        </w:tc>
        <w:tc>
          <w:tcPr>
            <w:tcW w:w="1289" w:type="dxa"/>
            <w:tcBorders>
              <w:bottom w:val="single" w:sz="4" w:space="0" w:color="auto"/>
            </w:tcBorders>
          </w:tcPr>
          <w:p w14:paraId="0C6DB1D6" w14:textId="77777777" w:rsidR="00710555" w:rsidRDefault="00000000" w:rsidP="003A1256">
            <w:pPr>
              <w:pStyle w:val="Compact"/>
              <w:jc w:val="right"/>
            </w:pPr>
            <w:r>
              <w:t>Not Recorded</w:t>
            </w:r>
          </w:p>
        </w:tc>
        <w:tc>
          <w:tcPr>
            <w:tcW w:w="1289" w:type="dxa"/>
            <w:tcBorders>
              <w:bottom w:val="single" w:sz="4" w:space="0" w:color="auto"/>
            </w:tcBorders>
          </w:tcPr>
          <w:p w14:paraId="674C23AD" w14:textId="77777777" w:rsidR="00710555" w:rsidRDefault="00000000" w:rsidP="003A1256">
            <w:pPr>
              <w:pStyle w:val="Compact"/>
              <w:jc w:val="right"/>
            </w:pPr>
            <w:r>
              <w:t>1,685,691</w:t>
            </w:r>
          </w:p>
        </w:tc>
        <w:tc>
          <w:tcPr>
            <w:tcW w:w="1402" w:type="dxa"/>
            <w:tcBorders>
              <w:bottom w:val="single" w:sz="4" w:space="0" w:color="auto"/>
            </w:tcBorders>
          </w:tcPr>
          <w:p w14:paraId="6F0181E1" w14:textId="77777777" w:rsidR="00710555" w:rsidRDefault="00000000" w:rsidP="003A1256">
            <w:pPr>
              <w:pStyle w:val="Compact"/>
              <w:jc w:val="right"/>
            </w:pPr>
            <w:r>
              <w:t>1,977,315</w:t>
            </w:r>
          </w:p>
        </w:tc>
        <w:tc>
          <w:tcPr>
            <w:tcW w:w="1389" w:type="dxa"/>
            <w:tcBorders>
              <w:bottom w:val="single" w:sz="4" w:space="0" w:color="auto"/>
            </w:tcBorders>
          </w:tcPr>
          <w:p w14:paraId="27E0935E" w14:textId="77777777" w:rsidR="00710555" w:rsidRDefault="00000000" w:rsidP="003A1256">
            <w:pPr>
              <w:pStyle w:val="Compact"/>
              <w:jc w:val="right"/>
            </w:pPr>
            <w:r>
              <w:t>12,600,000</w:t>
            </w:r>
          </w:p>
        </w:tc>
        <w:tc>
          <w:tcPr>
            <w:tcW w:w="1233" w:type="dxa"/>
            <w:tcBorders>
              <w:bottom w:val="single" w:sz="4" w:space="0" w:color="auto"/>
            </w:tcBorders>
          </w:tcPr>
          <w:p w14:paraId="6D825616" w14:textId="77777777" w:rsidR="00710555" w:rsidRDefault="00000000" w:rsidP="003A1256">
            <w:pPr>
              <w:pStyle w:val="Compact"/>
              <w:jc w:val="right"/>
            </w:pPr>
            <w:r>
              <w:t>647%</w:t>
            </w:r>
          </w:p>
        </w:tc>
      </w:tr>
      <w:tr w:rsidR="00710555" w:rsidRPr="003A1256" w14:paraId="792F8C24" w14:textId="77777777" w:rsidTr="003A1256">
        <w:tc>
          <w:tcPr>
            <w:tcW w:w="2649" w:type="dxa"/>
            <w:tcBorders>
              <w:top w:val="single" w:sz="4" w:space="0" w:color="auto"/>
              <w:bottom w:val="single" w:sz="4" w:space="0" w:color="auto"/>
            </w:tcBorders>
          </w:tcPr>
          <w:p w14:paraId="37D9ABFB" w14:textId="77777777" w:rsidR="00710555" w:rsidRPr="003A1256" w:rsidRDefault="00000000">
            <w:pPr>
              <w:pStyle w:val="Compact"/>
              <w:jc w:val="left"/>
              <w:rPr>
                <w:b/>
                <w:bCs/>
              </w:rPr>
            </w:pPr>
            <w:r w:rsidRPr="003A1256">
              <w:rPr>
                <w:b/>
                <w:bCs/>
              </w:rPr>
              <w:t>Total</w:t>
            </w:r>
          </w:p>
        </w:tc>
        <w:tc>
          <w:tcPr>
            <w:tcW w:w="1289" w:type="dxa"/>
            <w:tcBorders>
              <w:top w:val="single" w:sz="4" w:space="0" w:color="auto"/>
              <w:bottom w:val="single" w:sz="4" w:space="0" w:color="auto"/>
            </w:tcBorders>
          </w:tcPr>
          <w:p w14:paraId="34A793DA" w14:textId="77777777" w:rsidR="00710555" w:rsidRPr="003A1256" w:rsidRDefault="00000000" w:rsidP="003A1256">
            <w:pPr>
              <w:pStyle w:val="Compact"/>
              <w:jc w:val="right"/>
              <w:rPr>
                <w:b/>
                <w:bCs/>
              </w:rPr>
            </w:pPr>
            <w:r w:rsidRPr="003A1256">
              <w:rPr>
                <w:b/>
                <w:bCs/>
              </w:rPr>
              <w:t>58,288,127</w:t>
            </w:r>
          </w:p>
        </w:tc>
        <w:tc>
          <w:tcPr>
            <w:tcW w:w="1289" w:type="dxa"/>
            <w:tcBorders>
              <w:top w:val="single" w:sz="4" w:space="0" w:color="auto"/>
              <w:bottom w:val="single" w:sz="4" w:space="0" w:color="auto"/>
            </w:tcBorders>
          </w:tcPr>
          <w:p w14:paraId="1BDFD99B" w14:textId="77777777" w:rsidR="00710555" w:rsidRPr="003A1256" w:rsidRDefault="00000000" w:rsidP="003A1256">
            <w:pPr>
              <w:pStyle w:val="Compact"/>
              <w:jc w:val="right"/>
              <w:rPr>
                <w:b/>
                <w:bCs/>
              </w:rPr>
            </w:pPr>
            <w:r w:rsidRPr="003A1256">
              <w:rPr>
                <w:b/>
                <w:bCs/>
              </w:rPr>
              <w:t>89,522,027</w:t>
            </w:r>
          </w:p>
        </w:tc>
        <w:tc>
          <w:tcPr>
            <w:tcW w:w="1402" w:type="dxa"/>
            <w:tcBorders>
              <w:top w:val="single" w:sz="4" w:space="0" w:color="auto"/>
              <w:bottom w:val="single" w:sz="4" w:space="0" w:color="auto"/>
            </w:tcBorders>
          </w:tcPr>
          <w:p w14:paraId="75ABC6C1" w14:textId="77777777" w:rsidR="00710555" w:rsidRPr="003A1256" w:rsidRDefault="00000000" w:rsidP="003A1256">
            <w:pPr>
              <w:pStyle w:val="Compact"/>
              <w:jc w:val="right"/>
              <w:rPr>
                <w:b/>
                <w:bCs/>
              </w:rPr>
            </w:pPr>
            <w:r w:rsidRPr="003A1256">
              <w:rPr>
                <w:b/>
                <w:bCs/>
              </w:rPr>
              <w:t>105,009,336</w:t>
            </w:r>
          </w:p>
        </w:tc>
        <w:tc>
          <w:tcPr>
            <w:tcW w:w="1389" w:type="dxa"/>
            <w:tcBorders>
              <w:top w:val="single" w:sz="4" w:space="0" w:color="auto"/>
              <w:bottom w:val="single" w:sz="4" w:space="0" w:color="auto"/>
            </w:tcBorders>
          </w:tcPr>
          <w:p w14:paraId="59F4C3D6" w14:textId="77777777" w:rsidR="00710555" w:rsidRPr="003A1256" w:rsidRDefault="00000000" w:rsidP="003A1256">
            <w:pPr>
              <w:pStyle w:val="Compact"/>
              <w:jc w:val="right"/>
              <w:rPr>
                <w:b/>
                <w:bCs/>
              </w:rPr>
            </w:pPr>
            <w:r w:rsidRPr="003A1256">
              <w:rPr>
                <w:b/>
                <w:bCs/>
              </w:rPr>
              <w:t>514,795,325</w:t>
            </w:r>
          </w:p>
        </w:tc>
        <w:tc>
          <w:tcPr>
            <w:tcW w:w="1233" w:type="dxa"/>
            <w:tcBorders>
              <w:top w:val="single" w:sz="4" w:space="0" w:color="auto"/>
              <w:bottom w:val="single" w:sz="4" w:space="0" w:color="auto"/>
            </w:tcBorders>
          </w:tcPr>
          <w:p w14:paraId="1E09CDF9" w14:textId="77777777" w:rsidR="00710555" w:rsidRPr="003A1256" w:rsidRDefault="00000000" w:rsidP="003A1256">
            <w:pPr>
              <w:pStyle w:val="Compact"/>
              <w:jc w:val="right"/>
              <w:rPr>
                <w:b/>
                <w:bCs/>
              </w:rPr>
            </w:pPr>
            <w:r w:rsidRPr="003A1256">
              <w:rPr>
                <w:b/>
                <w:bCs/>
              </w:rPr>
              <w:t>783%</w:t>
            </w:r>
          </w:p>
        </w:tc>
      </w:tr>
    </w:tbl>
    <w:p w14:paraId="520B7D43" w14:textId="77777777" w:rsidR="00E452BD" w:rsidRDefault="00E452BD">
      <w:pPr>
        <w:pStyle w:val="BodyText"/>
      </w:pPr>
    </w:p>
    <w:p w14:paraId="3020343F" w14:textId="63BC8371" w:rsidR="00710555" w:rsidRDefault="00000000">
      <w:pPr>
        <w:pStyle w:val="BodyText"/>
      </w:pPr>
      <w:r>
        <w:t>No report prior to the Benefish Study 1 compiled the fishing access fees from SPC countries into a single table. However, from Table 2, the Vessel Day Scheme (VDS), developed and implemented by the Parties to the Nauru Agreement (PNA)</w:t>
      </w:r>
      <w:r>
        <w:rPr>
          <w:rStyle w:val="FootnoteReference"/>
        </w:rPr>
        <w:footnoteReference w:id="6"/>
      </w:r>
      <w:r>
        <w:t xml:space="preserve"> and introduced in 2007, significantly increased the proportion of the fisheries economic value returned to Pacific Island governments.</w:t>
      </w:r>
    </w:p>
    <w:p w14:paraId="5E810F67" w14:textId="77777777" w:rsidR="00710555" w:rsidRDefault="00000000">
      <w:pPr>
        <w:pStyle w:val="BodyText"/>
      </w:pPr>
      <w:r>
        <w:lastRenderedPageBreak/>
        <w:t>Although VDS commenced in December 2007, it wasn’t fully implemented until 2012.</w:t>
      </w:r>
      <w:r>
        <w:rPr>
          <w:rStyle w:val="FootnoteReference"/>
        </w:rPr>
        <w:footnoteReference w:id="7"/>
      </w:r>
      <w:r>
        <w:t xml:space="preserve"> Early in the scheme, access fees were derived from predominately foreign fleets as governments sort to encourage their domestic offshore fishing industries. However, with the growth in domestic vessel numbers (Figure 1), governments are now receiving annually over US$500 milllion in access fees from vessels active in their waters, and have sucessfully created regional fishing industries providing income and employment for their countries.</w:t>
      </w:r>
    </w:p>
    <w:p w14:paraId="1838DD4E" w14:textId="77777777" w:rsidR="00710555" w:rsidRDefault="00000000">
      <w:pPr>
        <w:pStyle w:val="BodyText"/>
      </w:pPr>
      <w:r>
        <w:t>And all of this started with US$3 million from donor funding received in 1977 to support the fundamental work of the Skipjack Survey and Assessment Programme.</w:t>
      </w:r>
    </w:p>
    <w:p w14:paraId="588EA89D" w14:textId="3144EF85" w:rsidR="00710555" w:rsidRDefault="00000000">
      <w:pPr>
        <w:pStyle w:val="Heading3"/>
      </w:pPr>
      <w:bookmarkStart w:id="7" w:name="from-science-springs-wealth"/>
      <w:bookmarkEnd w:id="5"/>
      <w:r>
        <w:t>From Science Springs Wealth</w:t>
      </w:r>
    </w:p>
    <w:p w14:paraId="73E78079" w14:textId="77777777" w:rsidR="00710555" w:rsidRDefault="00000000">
      <w:pPr>
        <w:pStyle w:val="FirstParagraph"/>
      </w:pPr>
      <w:r>
        <w:t>As the Rockefeller Foundation wrote in 1980:</w:t>
      </w:r>
    </w:p>
    <w:p w14:paraId="1338A250" w14:textId="77777777" w:rsidR="00710555" w:rsidRDefault="00000000">
      <w:pPr>
        <w:pStyle w:val="BlockText"/>
      </w:pPr>
      <w:r>
        <w:t>“It might be noted that had this grant been evaluated shortly following its termination in May 1976, few if any of the above comments concerning its success could have been made. Seed grants need time to grow. [Rockefeller Foundation, September 29, 1980]” — Judd (2016b) at page 44</w:t>
      </w:r>
    </w:p>
    <w:p w14:paraId="7EB79061" w14:textId="77777777" w:rsidR="00710555" w:rsidRDefault="00000000">
      <w:r>
        <w:br w:type="page"/>
      </w:r>
    </w:p>
    <w:p w14:paraId="632AD7B7" w14:textId="77777777" w:rsidR="00710555" w:rsidRDefault="00000000">
      <w:pPr>
        <w:pStyle w:val="Heading1"/>
      </w:pPr>
      <w:bookmarkStart w:id="8" w:name="references"/>
      <w:bookmarkEnd w:id="7"/>
      <w:r>
        <w:lastRenderedPageBreak/>
        <w:t>References</w:t>
      </w:r>
    </w:p>
    <w:p w14:paraId="7DA278B2" w14:textId="77777777" w:rsidR="00710555" w:rsidRDefault="00000000">
      <w:pPr>
        <w:pStyle w:val="Bibliography"/>
      </w:pPr>
      <w:bookmarkStart w:id="9" w:name="ref-StkAss2022"/>
      <w:bookmarkStart w:id="10" w:name="refs"/>
      <w:r>
        <w:t xml:space="preserve">Castillo-Jordan, C, T Tears, J Hampton, Davies, J Day, A Magnusson, R Scott, G Pilling, F Scott, and P Hamer. 2022. “Stock Assessment of Skipjack Tuna in the Western and Central Pacific Ocean: 2022” WCPFC-SC18-2022/SA-WP-01 (August). </w:t>
      </w:r>
      <w:hyperlink r:id="rId9">
        <w:r>
          <w:rPr>
            <w:rStyle w:val="Hyperlink"/>
          </w:rPr>
          <w:t>https://meetings.wcpfc.int/node/16242</w:t>
        </w:r>
      </w:hyperlink>
      <w:r>
        <w:t>.</w:t>
      </w:r>
    </w:p>
    <w:p w14:paraId="5CFD301C" w14:textId="77777777" w:rsidR="00710555" w:rsidRDefault="00000000">
      <w:pPr>
        <w:pStyle w:val="Bibliography"/>
      </w:pPr>
      <w:bookmarkStart w:id="11" w:name="ref-FFA"/>
      <w:bookmarkEnd w:id="9"/>
      <w:r>
        <w:t xml:space="preserve">FFA. 2023. “Value of WCPFC-CA Tuna Fisheries 2023.” Pacific Island Forum Fisheries Agency. </w:t>
      </w:r>
      <w:hyperlink r:id="rId10">
        <w:r>
          <w:rPr>
            <w:rStyle w:val="Hyperlink"/>
          </w:rPr>
          <w:t>https://www.ffa.int/download/wcpfc-area-catch-value-estimates/</w:t>
        </w:r>
      </w:hyperlink>
      <w:r>
        <w:t>.</w:t>
      </w:r>
    </w:p>
    <w:p w14:paraId="782B8E4A" w14:textId="77777777" w:rsidR="00710555" w:rsidRDefault="00000000">
      <w:pPr>
        <w:pStyle w:val="Bibliography"/>
      </w:pPr>
      <w:bookmarkStart w:id="12" w:name="ref-Benefish4"/>
      <w:bookmarkEnd w:id="11"/>
      <w:r>
        <w:t xml:space="preserve">Gillett, R, and M Fong. 2023. “Fisheries in the Economies of Pacific Island Countries and Territories (Benefish Study 4).” The Pacific Community. </w:t>
      </w:r>
      <w:hyperlink>
        <w:r>
          <w:rPr>
            <w:rStyle w:val="Hyperlink"/>
          </w:rPr>
          <w:t>https:// purl.org/spc/digilib/doc/ppizh</w:t>
        </w:r>
      </w:hyperlink>
      <w:r>
        <w:t>.</w:t>
      </w:r>
    </w:p>
    <w:p w14:paraId="39FEB135" w14:textId="77777777" w:rsidR="00710555" w:rsidRDefault="00000000">
      <w:pPr>
        <w:pStyle w:val="Bibliography"/>
      </w:pPr>
      <w:bookmarkStart w:id="13" w:name="ref-Benefish1"/>
      <w:bookmarkEnd w:id="12"/>
      <w:r>
        <w:t xml:space="preserve">Gillett, R, and C Lightfoot. 2001. “The Contribution of Fisheries to the Economies of Pacific Island Countries.” The Asian Development Bank. </w:t>
      </w:r>
      <w:hyperlink r:id="rId11">
        <w:r>
          <w:rPr>
            <w:rStyle w:val="Hyperlink"/>
          </w:rPr>
          <w:t>https://www.adb.org/sites/default/files/publication/28819/contribution-fisheries.pdf</w:t>
        </w:r>
      </w:hyperlink>
      <w:r>
        <w:t>.</w:t>
      </w:r>
    </w:p>
    <w:p w14:paraId="7AE10FB3" w14:textId="77777777" w:rsidR="00710555" w:rsidRDefault="00000000">
      <w:pPr>
        <w:pStyle w:val="Bibliography"/>
      </w:pPr>
      <w:bookmarkStart w:id="14" w:name="ref-Judd1"/>
      <w:bookmarkEnd w:id="13"/>
      <w:r>
        <w:t xml:space="preserve">Judd, Paul. 2016a. “A Short History of the Skipjack Survey and Assessment Programme (SSAP) [Part 1].” The Pacific Community. </w:t>
      </w:r>
      <w:hyperlink r:id="rId12">
        <w:r>
          <w:rPr>
            <w:rStyle w:val="Hyperlink"/>
          </w:rPr>
          <w:t>https://purl.org/spc/digilib/doc/e66zt</w:t>
        </w:r>
      </w:hyperlink>
      <w:r>
        <w:t>.</w:t>
      </w:r>
    </w:p>
    <w:p w14:paraId="272430E0" w14:textId="77777777" w:rsidR="00710555" w:rsidRDefault="00000000">
      <w:pPr>
        <w:pStyle w:val="Bibliography"/>
      </w:pPr>
      <w:bookmarkStart w:id="15" w:name="ref-Judd2"/>
      <w:bookmarkEnd w:id="14"/>
      <w:r>
        <w:t xml:space="preserve">———. 2016b. “A Short History of the Skipjack Survey and Assessment Programme (SSAP) [Part 2].” The Pacific Community. </w:t>
      </w:r>
      <w:hyperlink r:id="rId13">
        <w:r>
          <w:rPr>
            <w:rStyle w:val="Hyperlink"/>
          </w:rPr>
          <w:t>https://purl.org/spc/digilib/doc/d28qz</w:t>
        </w:r>
      </w:hyperlink>
      <w:r>
        <w:t>.</w:t>
      </w:r>
    </w:p>
    <w:p w14:paraId="3273DC1D" w14:textId="77777777" w:rsidR="00710555" w:rsidRDefault="00000000">
      <w:pPr>
        <w:pStyle w:val="Bibliography"/>
      </w:pPr>
      <w:bookmarkStart w:id="16" w:name="ref-Outcomes"/>
      <w:bookmarkEnd w:id="15"/>
      <w:r>
        <w:t xml:space="preserve">WCPFC. 2022. “Eighth Regular Session of the WCPFC Scientific Committee (SC18) Outcomes Document,” August. </w:t>
      </w:r>
      <w:hyperlink r:id="rId14">
        <w:r>
          <w:rPr>
            <w:rStyle w:val="Hyperlink"/>
          </w:rPr>
          <w:t>https://meetings.wcpfc.int/node/17118</w:t>
        </w:r>
      </w:hyperlink>
      <w:r>
        <w:t>.</w:t>
      </w:r>
      <w:bookmarkEnd w:id="8"/>
      <w:bookmarkEnd w:id="10"/>
      <w:bookmarkEnd w:id="16"/>
    </w:p>
    <w:sectPr w:rsidR="00710555" w:rsidSect="00302AD9">
      <w:headerReference w:type="even" r:id="rId15"/>
      <w:headerReference w:type="default" r:id="rId16"/>
      <w:footerReference w:type="even" r:id="rId17"/>
      <w:footerReference w:type="default" r:id="rId18"/>
      <w:headerReference w:type="first" r:id="rId19"/>
      <w:footerReference w:type="first" r:id="rId20"/>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9D12E" w14:textId="77777777" w:rsidR="009446AB" w:rsidRDefault="009446AB">
      <w:pPr>
        <w:spacing w:after="0"/>
      </w:pPr>
      <w:r>
        <w:separator/>
      </w:r>
    </w:p>
  </w:endnote>
  <w:endnote w:type="continuationSeparator" w:id="0">
    <w:p w14:paraId="1271FB06" w14:textId="77777777" w:rsidR="009446AB" w:rsidRDefault="00944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E1427"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11F8278A"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5371982C"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47E7AFD1"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267C"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0FA7D" w14:textId="77777777" w:rsidR="009446AB" w:rsidRDefault="009446AB">
      <w:pPr>
        <w:spacing w:after="0"/>
      </w:pPr>
      <w:r>
        <w:separator/>
      </w:r>
    </w:p>
  </w:footnote>
  <w:footnote w:type="continuationSeparator" w:id="0">
    <w:p w14:paraId="312E1E96" w14:textId="77777777" w:rsidR="009446AB" w:rsidRDefault="009446AB">
      <w:pPr>
        <w:spacing w:after="0"/>
      </w:pPr>
      <w:r>
        <w:continuationSeparator/>
      </w:r>
    </w:p>
  </w:footnote>
  <w:footnote w:id="1">
    <w:p w14:paraId="31126EBD"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The history is extensively documented in Judd (2016a) and Judd (2016b).</w:t>
      </w:r>
    </w:p>
  </w:footnote>
  <w:footnote w:id="2">
    <w:p w14:paraId="2B2F0BDF"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See Castillo-Jordan et al. (2022), and WCPFC (2022)</w:t>
      </w:r>
    </w:p>
  </w:footnote>
  <w:footnote w:id="3">
    <w:p w14:paraId="46E7413A"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FFA (2023)</w:t>
      </w:r>
    </w:p>
  </w:footnote>
  <w:footnote w:id="4">
    <w:p w14:paraId="30BE3865"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Gillett and Lightfoot (2001)</w:t>
      </w:r>
    </w:p>
  </w:footnote>
  <w:footnote w:id="5">
    <w:p w14:paraId="0C864ADE"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Gillett and Fong (2023)</w:t>
      </w:r>
    </w:p>
  </w:footnote>
  <w:footnote w:id="6">
    <w:p w14:paraId="16F2E7C4"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The </w:t>
      </w:r>
      <w:hyperlink r:id="rId1">
        <w:r w:rsidRPr="003A1256">
          <w:rPr>
            <w:rStyle w:val="Hyperlink"/>
            <w:sz w:val="20"/>
            <w:szCs w:val="20"/>
          </w:rPr>
          <w:t>Vessel Day Scheme</w:t>
        </w:r>
      </w:hyperlink>
      <w:r w:rsidRPr="003A1256">
        <w:rPr>
          <w:sz w:val="20"/>
          <w:szCs w:val="20"/>
        </w:rPr>
        <w:t xml:space="preserve"> is a fisheries licensing scheme overseen by the </w:t>
      </w:r>
      <w:hyperlink r:id="rId2">
        <w:r w:rsidRPr="003A1256">
          <w:rPr>
            <w:rStyle w:val="Hyperlink"/>
            <w:sz w:val="20"/>
            <w:szCs w:val="20"/>
          </w:rPr>
          <w:t>Parties to the Nauru Agreement</w:t>
        </w:r>
      </w:hyperlink>
      <w:r w:rsidRPr="003A1256">
        <w:rPr>
          <w:sz w:val="20"/>
          <w:szCs w:val="20"/>
        </w:rPr>
        <w:t>.</w:t>
      </w:r>
    </w:p>
  </w:footnote>
  <w:footnote w:id="7">
    <w:p w14:paraId="7FB1F7C2" w14:textId="77777777" w:rsidR="00710555" w:rsidRPr="003A1256" w:rsidRDefault="00000000" w:rsidP="003A1256">
      <w:pPr>
        <w:pStyle w:val="FootnoteText"/>
        <w:spacing w:after="0"/>
        <w:rPr>
          <w:sz w:val="20"/>
          <w:szCs w:val="20"/>
        </w:rPr>
      </w:pPr>
      <w:r w:rsidRPr="003A1256">
        <w:rPr>
          <w:rStyle w:val="FootnoteReference"/>
          <w:sz w:val="20"/>
          <w:szCs w:val="20"/>
        </w:rPr>
        <w:footnoteRef/>
      </w:r>
      <w:r w:rsidRPr="003A1256">
        <w:rPr>
          <w:sz w:val="20"/>
          <w:szCs w:val="20"/>
        </w:rPr>
        <w:t xml:space="preserve"> Gillett and Fong (2023) on page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EDC61"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3A1256">
          <w:rPr>
            <w:color w:val="A6A6A6" w:themeColor="background1" w:themeShade="A6"/>
          </w:rPr>
          <w:t>The Seeds of the Skipjack Survey and Assessment Programme Spawns the Development of Regional Tuna Fisheries</w:t>
        </w:r>
      </w:sdtContent>
    </w:sdt>
    <w:r w:rsidR="00302AD9" w:rsidRPr="000625BA">
      <w:rPr>
        <w:color w:val="A6A6A6" w:themeColor="background1" w:themeShade="A6"/>
      </w:rPr>
      <w:t xml:space="preserve"> </w:t>
    </w:r>
  </w:p>
  <w:p w14:paraId="13D95CF1" w14:textId="77777777" w:rsidR="00FE0BE0" w:rsidRDefault="00000000" w:rsidP="000625BA">
    <w:pPr>
      <w:pStyle w:val="Header"/>
    </w:pPr>
    <w:r>
      <w:rPr>
        <w:noProof/>
        <w:color w:val="A6A6A6" w:themeColor="background1" w:themeShade="A6"/>
      </w:rPr>
      <w:pict w14:anchorId="66BF4290">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6FA3ED59" w14:textId="77777777" w:rsidR="00FE0BE0" w:rsidRPr="000625BA" w:rsidRDefault="003A1256">
        <w:pPr>
          <w:pStyle w:val="Header"/>
          <w:rPr>
            <w:color w:val="A6A6A6" w:themeColor="background1" w:themeShade="A6"/>
          </w:rPr>
        </w:pPr>
        <w:r>
          <w:rPr>
            <w:color w:val="A6A6A6" w:themeColor="background1" w:themeShade="A6"/>
          </w:rPr>
          <w:t>The Seeds of the Skipjack Survey and Assessment Programme Spawns the Development of Regional Tuna Fisheries</w:t>
        </w:r>
      </w:p>
    </w:sdtContent>
  </w:sdt>
  <w:p w14:paraId="7ED55C80" w14:textId="77777777" w:rsidR="00FE0BE0" w:rsidRPr="000625BA" w:rsidRDefault="00000000">
    <w:pPr>
      <w:pStyle w:val="Header"/>
      <w:rPr>
        <w:color w:val="A6A6A6" w:themeColor="background1" w:themeShade="A6"/>
      </w:rPr>
    </w:pPr>
    <w:r>
      <w:rPr>
        <w:noProof/>
        <w:color w:val="A6A6A6" w:themeColor="background1" w:themeShade="A6"/>
      </w:rPr>
      <w:pict w14:anchorId="526969F3">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1CC"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48CF0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2D00F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2"/>
  </w:num>
  <w:num w:numId="2" w16cid:durableId="229583409">
    <w:abstractNumId w:val="0"/>
  </w:num>
  <w:num w:numId="3" w16cid:durableId="201178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BC3"/>
    <w:rsid w:val="000625BA"/>
    <w:rsid w:val="002A7B38"/>
    <w:rsid w:val="002C6215"/>
    <w:rsid w:val="00302AD9"/>
    <w:rsid w:val="003A1256"/>
    <w:rsid w:val="004E29B3"/>
    <w:rsid w:val="00550F77"/>
    <w:rsid w:val="00590D07"/>
    <w:rsid w:val="005E4326"/>
    <w:rsid w:val="005F1A7E"/>
    <w:rsid w:val="00710555"/>
    <w:rsid w:val="00784D58"/>
    <w:rsid w:val="007A25E4"/>
    <w:rsid w:val="007F6E58"/>
    <w:rsid w:val="008408D6"/>
    <w:rsid w:val="008D6863"/>
    <w:rsid w:val="00901A09"/>
    <w:rsid w:val="009116AE"/>
    <w:rsid w:val="009446AB"/>
    <w:rsid w:val="009A1802"/>
    <w:rsid w:val="009C3922"/>
    <w:rsid w:val="00A517C0"/>
    <w:rsid w:val="00A66767"/>
    <w:rsid w:val="00A91C46"/>
    <w:rsid w:val="00B34274"/>
    <w:rsid w:val="00B45535"/>
    <w:rsid w:val="00B86B75"/>
    <w:rsid w:val="00BC48D5"/>
    <w:rsid w:val="00C1614F"/>
    <w:rsid w:val="00C36279"/>
    <w:rsid w:val="00C71DE2"/>
    <w:rsid w:val="00D265AF"/>
    <w:rsid w:val="00E315A3"/>
    <w:rsid w:val="00E452BD"/>
    <w:rsid w:val="00E46F2B"/>
    <w:rsid w:val="00FE0BE0"/>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73FDA"/>
  <w15:docId w15:val="{6E9E8D99-02E9-4CC0-9A3C-592B7C46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rl.org/spc/digilib/doc/d28qz"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url.org/spc/digilib/doc/e66z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b.org/sites/default/files/publication/28819/contribution-fisheries.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fa.int/download/wcpfc-area-catch-value-estimat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eetings.wcpfc.int/node/16242" TargetMode="External"/><Relationship Id="rId14" Type="http://schemas.openxmlformats.org/officeDocument/2006/relationships/hyperlink" Target="https://meetings.wcpfc.int/node/1711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pnatuna.com/our-members" TargetMode="External"/><Relationship Id="rId1" Type="http://schemas.openxmlformats.org/officeDocument/2006/relationships/hyperlink" Target="https://www.pnatuna.com/content/pna-vessel-day-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Seeds of the Skipjack Survey and Assessment Programme Spawns the Development of Regional Tuna Fisheries</dc:title>
  <dc:creator>James Hogan, FAME - SPC</dc:creator>
  <cp:keywords/>
  <cp:lastModifiedBy>James Hogan</cp:lastModifiedBy>
  <cp:revision>3</cp:revision>
  <dcterms:created xsi:type="dcterms:W3CDTF">2024-10-03T03:01:00Z</dcterms:created>
  <dcterms:modified xsi:type="dcterms:W3CDTF">2024-10-03T03:05:00Z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03 October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references">
    <vt:lpwstr/>
  </property>
  <property fmtid="{D5CDD505-2E9C-101B-9397-08002B2CF9AE}" pid="10" name="urlcolor">
    <vt:lpwstr>blue</vt:lpwstr>
  </property>
</Properties>
</file>