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Ocean Accounts</w:t>
      </w:r>
    </w:p>
    <w:p>
      <w:pPr>
        <w:pStyle w:val="Subtitle"/>
      </w:pPr>
      <w:r>
        <w:t xml:space="preserve">Day 1 Thinking</w:t>
      </w:r>
    </w:p>
    <w:p>
      <w:pPr>
        <w:pStyle w:val="Author"/>
      </w:pPr>
      <w:r>
        <w:t xml:space="preserve">James Hogan, Senior Marine Resource Economist, FAME - SPC</w:t>
      </w:r>
    </w:p>
    <w:p>
      <w:pPr>
        <w:pStyle w:val="Date"/>
      </w:pPr>
      <w:r>
        <w:t xml:space="preserve">16 July 2025</w:t>
      </w:r>
    </w:p>
    <w:p>
      <w:r>
        <w:br w:type="page"/>
      </w:r>
    </w:p>
    <w:p>
      <w:pPr>
        <w:numPr>
          <w:ilvl w:val="0"/>
          <w:numId w:val="1001"/>
        </w:numPr>
      </w:pPr>
      <w:r>
        <w:t xml:space="preserve">What are they?</w:t>
      </w:r>
    </w:p>
    <w:p>
      <w:pPr>
        <w:pStyle w:val="Compact"/>
        <w:numPr>
          <w:ilvl w:val="1"/>
          <w:numId w:val="1002"/>
        </w:numPr>
      </w:pPr>
      <w:r>
        <w:t xml:space="preserve">SEEA-based versus GOAP(?)</w:t>
      </w:r>
    </w:p>
    <w:p>
      <w:pPr>
        <w:pStyle w:val="Compact"/>
        <w:numPr>
          <w:ilvl w:val="1"/>
          <w:numId w:val="1002"/>
        </w:numPr>
      </w:pPr>
      <w:r>
        <w:t xml:space="preserve">Sea-based capital versus land-based capital[^Page23]</w:t>
      </w:r>
    </w:p>
    <w:p>
      <w:pPr>
        <w:pStyle w:val="Compact"/>
        <w:numPr>
          <w:ilvl w:val="1"/>
          <w:numId w:val="1002"/>
        </w:numPr>
      </w:pPr>
      <w:r>
        <w:t xml:space="preserve">Economics flows come from productive capital</w:t>
      </w:r>
    </w:p>
    <w:p>
      <w:pPr>
        <w:pStyle w:val="Compact"/>
        <w:numPr>
          <w:ilvl w:val="1"/>
          <w:numId w:val="1002"/>
        </w:numPr>
      </w:pPr>
      <w:r>
        <w:t xml:space="preserve">Sea-based capital is:</w:t>
      </w:r>
    </w:p>
    <w:p>
      <w:pPr>
        <w:pStyle w:val="Compact"/>
        <w:numPr>
          <w:ilvl w:val="2"/>
          <w:numId w:val="1003"/>
        </w:numPr>
      </w:pPr>
      <w:r>
        <w:t xml:space="preserve">Economically productive</w:t>
      </w:r>
    </w:p>
    <w:p>
      <w:pPr>
        <w:pStyle w:val="Compact"/>
        <w:numPr>
          <w:ilvl w:val="2"/>
          <w:numId w:val="1003"/>
        </w:numPr>
      </w:pPr>
      <w:r>
        <w:t xml:space="preserve">Affected by climate change differently</w:t>
      </w:r>
    </w:p>
    <w:p>
      <w:pPr>
        <w:pStyle w:val="Compact"/>
        <w:numPr>
          <w:ilvl w:val="2"/>
          <w:numId w:val="1003"/>
        </w:numPr>
      </w:pPr>
      <w:r>
        <w:t xml:space="preserve">Creates a separate source of economic flows, compared to land-based capital</w:t>
      </w:r>
    </w:p>
    <w:p>
      <w:pPr>
        <w:numPr>
          <w:ilvl w:val="0"/>
          <w:numId w:val="1001"/>
        </w:numPr>
      </w:pPr>
      <w:r>
        <w:t xml:space="preserve">Who will use them?</w:t>
      </w:r>
    </w:p>
    <w:p>
      <w:pPr>
        <w:pStyle w:val="Compact"/>
        <w:numPr>
          <w:ilvl w:val="1"/>
          <w:numId w:val="1004"/>
        </w:numPr>
      </w:pPr>
      <w:r>
        <w:t xml:space="preserve">Member countries</w:t>
      </w:r>
    </w:p>
    <w:p>
      <w:pPr>
        <w:pStyle w:val="Compact"/>
        <w:numPr>
          <w:ilvl w:val="1"/>
          <w:numId w:val="1004"/>
        </w:numPr>
      </w:pPr>
      <w:r>
        <w:t xml:space="preserve">Donors/funders</w:t>
      </w:r>
    </w:p>
    <w:p>
      <w:pPr>
        <w:numPr>
          <w:ilvl w:val="0"/>
          <w:numId w:val="1001"/>
        </w:numPr>
      </w:pPr>
      <w:r>
        <w:t xml:space="preserve">What problem(s) will they solve?</w:t>
      </w:r>
    </w:p>
    <w:p>
      <w:pPr>
        <w:pStyle w:val="Compact"/>
        <w:numPr>
          <w:ilvl w:val="1"/>
          <w:numId w:val="1005"/>
        </w:numPr>
      </w:pPr>
      <w:r>
        <w:t xml:space="preserve">Made at scale and all at once, they enable countries to be compared</w:t>
      </w:r>
    </w:p>
    <w:p>
      <w:pPr>
        <w:pStyle w:val="Compact"/>
        <w:numPr>
          <w:ilvl w:val="1"/>
          <w:numId w:val="1005"/>
        </w:numPr>
      </w:pPr>
      <w:r>
        <w:t xml:space="preserve">Bring together fisheries assets &amp; fisheries revenues</w:t>
      </w:r>
    </w:p>
    <w:p>
      <w:pPr>
        <w:numPr>
          <w:ilvl w:val="0"/>
          <w:numId w:val="1001"/>
        </w:numPr>
      </w:pPr>
      <w:r>
        <w:t xml:space="preserve">Data</w:t>
      </w:r>
    </w:p>
    <w:p>
      <w:pPr>
        <w:pStyle w:val="Compact"/>
        <w:numPr>
          <w:ilvl w:val="1"/>
          <w:numId w:val="1006"/>
        </w:numPr>
      </w:pPr>
      <w:r>
        <w:t xml:space="preserve">Digital Earth Pacific data sources</w:t>
      </w:r>
    </w:p>
    <w:p>
      <w:pPr>
        <w:pStyle w:val="Compact"/>
        <w:numPr>
          <w:ilvl w:val="1"/>
          <w:numId w:val="1006"/>
        </w:numPr>
      </w:pPr>
      <w:r>
        <w:t xml:space="preserve">FAME Fisheries Stocks</w:t>
      </w:r>
    </w:p>
    <w:p>
      <w:pPr>
        <w:pStyle w:val="Compact"/>
        <w:numPr>
          <w:ilvl w:val="1"/>
          <w:numId w:val="1006"/>
        </w:numPr>
      </w:pPr>
      <w:r>
        <w:t xml:space="preserve">GEM Minerals</w:t>
      </w:r>
    </w:p>
    <w:p>
      <w:pPr>
        <w:numPr>
          <w:ilvl w:val="0"/>
          <w:numId w:val="1001"/>
        </w:numPr>
      </w:pPr>
      <w:r>
        <w:t xml:space="preserve">Advisory group</w:t>
      </w:r>
    </w:p>
    <w:p>
      <w:pPr>
        <w:pStyle w:val="Compact"/>
        <w:numPr>
          <w:ilvl w:val="1"/>
          <w:numId w:val="1007"/>
        </w:numPr>
      </w:pPr>
      <w:r>
        <w:t xml:space="preserve">Lisa Green</w:t>
      </w:r>
    </w:p>
    <w:p>
      <w:pPr>
        <w:pStyle w:val="Compact"/>
        <w:numPr>
          <w:ilvl w:val="1"/>
          <w:numId w:val="1007"/>
        </w:numPr>
      </w:pPr>
      <w:r>
        <w:t xml:space="preserve">Tony</w:t>
      </w:r>
    </w:p>
    <w:p>
      <w:pPr>
        <w:pStyle w:val="Compact"/>
        <w:numPr>
          <w:ilvl w:val="1"/>
          <w:numId w:val="1007"/>
        </w:numPr>
      </w:pPr>
      <w:r>
        <w:t xml:space="preserve">Jens</w:t>
      </w:r>
    </w:p>
    <w:p>
      <w:pPr>
        <w:pStyle w:val="Compact"/>
        <w:numPr>
          <w:ilvl w:val="1"/>
          <w:numId w:val="1007"/>
        </w:numPr>
      </w:pPr>
      <w:r>
        <w:t xml:space="preserve">Tiffany</w:t>
      </w:r>
    </w:p>
    <w:p>
      <w:pPr>
        <w:numPr>
          <w:ilvl w:val="0"/>
          <w:numId w:val="1001"/>
        </w:numPr>
      </w:pPr>
      <w:r>
        <w:t xml:space="preserve">Governance Group</w:t>
      </w:r>
    </w:p>
    <w:p>
      <w:pPr>
        <w:pStyle w:val="Compact"/>
        <w:numPr>
          <w:ilvl w:val="1"/>
          <w:numId w:val="1008"/>
        </w:numPr>
      </w:pPr>
      <w:r>
        <w:t xml:space="preserve">Process with the members</w:t>
      </w:r>
    </w:p>
    <w:p>
      <w:pPr>
        <w:pStyle w:val="Compact"/>
        <w:numPr>
          <w:ilvl w:val="1"/>
          <w:numId w:val="1008"/>
        </w:numPr>
      </w:pPr>
      <w:r>
        <w:t xml:space="preserve">Finances – who is this being paid for?</w:t>
      </w:r>
    </w:p>
    <w:p>
      <w:pPr>
        <w:pStyle w:val="Compact"/>
        <w:numPr>
          <w:ilvl w:val="1"/>
          <w:numId w:val="1008"/>
        </w:numPr>
      </w:pPr>
      <w:r>
        <w:t xml:space="preserve">Engagement – what’s the relationship between GOAP and SPC? Where does SPREP feature in this picture?</w:t>
      </w:r>
    </w:p>
    <w:p>
      <w:pPr>
        <w:pStyle w:val="Compact"/>
        <w:numPr>
          <w:ilvl w:val="1"/>
          <w:numId w:val="1008"/>
        </w:numPr>
      </w:pPr>
      <w:r>
        <w:t xml:space="preserve">Members</w:t>
      </w:r>
    </w:p>
    <w:p>
      <w:pPr>
        <w:pStyle w:val="Compact"/>
        <w:numPr>
          <w:ilvl w:val="2"/>
          <w:numId w:val="1009"/>
        </w:numPr>
      </w:pPr>
      <w:r>
        <w:t xml:space="preserve">Peter Ellis</w:t>
      </w:r>
    </w:p>
    <w:p>
      <w:pPr>
        <w:pStyle w:val="Compact"/>
        <w:numPr>
          <w:ilvl w:val="2"/>
          <w:numId w:val="1009"/>
        </w:numPr>
      </w:pPr>
      <w:r>
        <w:t xml:space="preserve">Neville Smith</w:t>
      </w:r>
    </w:p>
    <w:p>
      <w:pPr>
        <w:pStyle w:val="Compact"/>
        <w:numPr>
          <w:ilvl w:val="2"/>
          <w:numId w:val="1009"/>
        </w:numPr>
      </w:pPr>
      <w:r>
        <w:t xml:space="preserve">Karen Mu</w:t>
      </w:r>
    </w:p>
    <w:p>
      <w:pPr>
        <w:numPr>
          <w:ilvl w:val="0"/>
          <w:numId w:val="1001"/>
        </w:numPr>
      </w:pPr>
      <w:r>
        <w:t xml:space="preserve">What do these things look like?</w:t>
      </w:r>
    </w:p>
    <w:p>
      <w:pPr>
        <w:pStyle w:val="Compact"/>
        <w:numPr>
          <w:ilvl w:val="1"/>
          <w:numId w:val="1010"/>
        </w:numPr>
      </w:pPr>
      <w:r>
        <w:t xml:space="preserve">Based off the SEEA – look for real examples</w:t>
      </w:r>
    </w:p>
    <w:p>
      <w:pPr>
        <w:pStyle w:val="Compact"/>
        <w:numPr>
          <w:ilvl w:val="1"/>
          <w:numId w:val="1010"/>
        </w:numPr>
      </w:pPr>
      <w:r>
        <w:t xml:space="preserve">Geospatial version</w:t>
      </w:r>
    </w:p>
    <w:p>
      <w:pPr>
        <w:pStyle w:val="Compact"/>
        <w:numPr>
          <w:ilvl w:val="1"/>
          <w:numId w:val="1010"/>
        </w:numPr>
      </w:pPr>
      <w:r>
        <w:t xml:space="preserve">Statistical reporting version (a set of accounts)</w:t>
      </w:r>
    </w:p>
    <w:p>
      <w:pPr>
        <w:numPr>
          <w:ilvl w:val="0"/>
          <w:numId w:val="1001"/>
        </w:numPr>
      </w:pPr>
      <w:r>
        <w:t xml:space="preserve">Important people</w:t>
      </w:r>
    </w:p>
    <w:p>
      <w:pPr>
        <w:pStyle w:val="Compact"/>
        <w:numPr>
          <w:ilvl w:val="1"/>
          <w:numId w:val="1011"/>
        </w:numPr>
      </w:pPr>
      <w:r>
        <w:t xml:space="preserve">Anne-Claire Goarant</w:t>
      </w:r>
    </w:p>
    <w:p>
      <w:pPr>
        <w:pStyle w:val="Compact"/>
        <w:numPr>
          <w:ilvl w:val="1"/>
          <w:numId w:val="1011"/>
        </w:numPr>
      </w:pPr>
      <w:r>
        <w:t xml:space="preserve">Espen Ronneberg</w:t>
      </w:r>
    </w:p>
    <w:p>
      <w:pPr>
        <w:pStyle w:val="Compact"/>
        <w:numPr>
          <w:ilvl w:val="1"/>
          <w:numId w:val="1011"/>
        </w:numPr>
      </w:pPr>
      <w:r>
        <w:t xml:space="preserve">Lisa Green</w:t>
      </w:r>
    </w:p>
    <w:p>
      <w:pPr>
        <w:pStyle w:val="Compact"/>
        <w:numPr>
          <w:ilvl w:val="1"/>
          <w:numId w:val="1011"/>
        </w:numPr>
      </w:pPr>
      <w:r>
        <w:t xml:space="preserve">Lucie Kuczynski</w:t>
      </w:r>
    </w:p>
    <w:p>
      <w:pPr>
        <w:numPr>
          <w:ilvl w:val="0"/>
          <w:numId w:val="1001"/>
        </w:numPr>
      </w:pPr>
      <w:r>
        <w:t xml:space="preserve">Connection with</w:t>
      </w:r>
    </w:p>
    <w:p>
      <w:pPr>
        <w:pStyle w:val="Compact"/>
        <w:numPr>
          <w:ilvl w:val="1"/>
          <w:numId w:val="1012"/>
        </w:numPr>
      </w:pPr>
      <w:r>
        <w:t xml:space="preserve">Palau Marine Spatial Planning</w:t>
      </w:r>
    </w:p>
    <w:p>
      <w:pPr>
        <w:pStyle w:val="Compact"/>
        <w:numPr>
          <w:ilvl w:val="1"/>
          <w:numId w:val="1012"/>
        </w:numPr>
      </w:pPr>
      <w:r>
        <w:t xml:space="preserve">Biodiversity metrics – SPREP Indicators</w:t>
      </w:r>
    </w:p>
    <w:p>
      <w:pPr>
        <w:pStyle w:val="Compact"/>
        <w:numPr>
          <w:ilvl w:val="1"/>
          <w:numId w:val="1012"/>
        </w:numPr>
      </w:pPr>
      <w:r>
        <w:t xml:space="preserve">Economic connections</w:t>
      </w:r>
    </w:p>
    <w:p>
      <w:pPr>
        <w:pStyle w:val="Compact"/>
        <w:numPr>
          <w:ilvl w:val="2"/>
          <w:numId w:val="1013"/>
        </w:numPr>
      </w:pPr>
      <w:r>
        <w:t xml:space="preserve">Tuna revenues</w:t>
      </w:r>
    </w:p>
    <w:p>
      <w:pPr>
        <w:pStyle w:val="Compact"/>
        <w:numPr>
          <w:ilvl w:val="2"/>
          <w:numId w:val="1013"/>
        </w:numPr>
      </w:pPr>
      <w:r>
        <w:t xml:space="preserve">Petroleum Revenues?</w:t>
      </w:r>
    </w:p>
    <w:bookmarkStart w:id="21" w:name="references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References</w:t>
      </w:r>
    </w:p>
    <w:p>
      <w:pPr>
        <w:pStyle w:val="FirstParagraph"/>
      </w:pPr>
      <w:hyperlink w:anchor="cite-united_nations_system_2014">
        <w:r>
          <w:rPr>
            <w:rStyle w:val="Hyperlink"/>
          </w:rPr>
          <w:t xml:space="preserve">[1]</w:t>
        </w:r>
      </w:hyperlink>
      <w:r>
        <w:t xml:space="preserve"> </w:t>
      </w:r>
      <w:r>
        <w:t xml:space="preserve">United Nations, European Union, Food, et al. </w:t>
      </w:r>
      <w:r>
        <w:rPr>
          <w:i/>
          <w:iCs/>
        </w:rPr>
        <w:t xml:space="preserve">System of Environmental-Economic Accounting 2012</w:t>
      </w:r>
      <w:r>
        <w:rPr>
          <w:i/>
          <w:iCs/>
        </w:rPr>
        <w:t xml:space="preserve"> </w:t>
      </w:r>
      <w:r>
        <w:rPr>
          <w:i/>
          <w:iCs/>
        </w:rPr>
        <w:t xml:space="preserve">Central Framework</w:t>
      </w:r>
      <w:r>
        <w:t xml:space="preserve">. New York: United Nations, 2014. ISBN: 978-92-1-055926-3. URL:</w:t>
      </w:r>
      <w:r>
        <w:t xml:space="preserve"> </w:t>
      </w:r>
      <w:hyperlink r:id="rId20">
        <w:r>
          <w:rPr>
            <w:rStyle w:val="Hyperlink"/>
          </w:rPr>
          <w:t xml:space="preserve">https://seea.un.org/sites/seea.un.org/files/seea_cf_final_en.pdf</w:t>
        </w:r>
      </w:hyperlink>
      <w:r>
        <w:t xml:space="preserve">.</w:t>
      </w:r>
    </w:p>
    <w:bookmarkEnd w:id="21"/>
    <w:sectPr w:rsidR="002C6215" w:rsidRPr="002C6215" w:rsidSect="000625BA">
      <w:headerReference r:id="rId9" w:type="even"/>
      <w:headerReference r:id="rId10" w:type="default"/>
      <w:footerReference r:id="rId12" w:type="even"/>
      <w:footerReference r:id="rId11" w:type="default"/>
      <w:pgSz w:h="15840" w:w="12240"/>
      <w:pgMar w:bottom="1440" w:footer="720" w:gutter="0" w:header="720" w:left="1800" w:right="1800" w:top="1440"/>
      <w:pgBorders w:offsetFrom="page">
        <w:bottom w:color="auto" w:space="24" w:sz="4" w:val="single"/>
      </w:pgBorders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kta Malar Light">
    <w:altName w:val="Vijaya"/>
    <w:charset w:val="00"/>
    <w:family w:val="swiss"/>
    <w:pitch w:val="variable"/>
    <w:sig w:usb0="A010002F" w:usb1="4000204A" w:usb2="00000000" w:usb3="00000000" w:csb0="00000093" w:csb1="00000000"/>
  </w:font>
  <w:font w:name="Mukta Malar">
    <w:altName w:val="Vijaya"/>
    <w:charset w:val="00"/>
    <w:family w:val="swiss"/>
    <w:pitch w:val="variable"/>
    <w:sig w:usb0="A010002F" w:usb1="4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1FAB7" w14:textId="606971A0" w:rsidR="00FE0BE0" w:rsidRPr="00FE0BE0" w:rsidRDefault="00D86D04" w:rsidP="000625BA">
    <w:pPr>
      <w:pStyle w:val="Footer"/>
      <w:pBdr>
        <w:top w:val="single" w:sz="4" w:space="1" w:color="auto"/>
      </w:pBdr>
      <w:ind w:right="-999"/>
      <w:rPr>
        <w:sz w:val="20"/>
        <w:szCs w:val="20"/>
      </w:rPr>
    </w:pPr>
    <w:sdt>
      <w:sdtPr>
        <w:rPr>
          <w:sz w:val="20"/>
          <w:szCs w:val="20"/>
        </w:rPr>
        <w:id w:val="209897295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FE0BE0" w:rsidRPr="00FE0BE0">
          <w:rPr>
            <w:sz w:val="20"/>
            <w:szCs w:val="20"/>
          </w:rPr>
          <w:t xml:space="preserve">Page  </w:t>
        </w:r>
        <w:r w:rsidR="00FE0BE0" w:rsidRPr="00FE0BE0">
          <w:rPr>
            <w:sz w:val="20"/>
            <w:szCs w:val="20"/>
          </w:rPr>
          <w:fldChar w:fldCharType="begin"/>
        </w:r>
        <w:r w:rsidR="00FE0BE0" w:rsidRPr="00FE0BE0">
          <w:rPr>
            <w:sz w:val="20"/>
            <w:szCs w:val="20"/>
          </w:rPr>
          <w:instrText xml:space="preserve"> PAGE   \* MERGEFORMAT </w:instrText>
        </w:r>
        <w:r w:rsidR="00FE0BE0" w:rsidRPr="00FE0BE0">
          <w:rPr>
            <w:sz w:val="20"/>
            <w:szCs w:val="20"/>
          </w:rPr>
          <w:fldChar w:fldCharType="separate"/>
        </w:r>
        <w:r w:rsidR="00FE0BE0" w:rsidRPr="00FE0BE0">
          <w:rPr>
            <w:noProof/>
            <w:sz w:val="20"/>
            <w:szCs w:val="20"/>
          </w:rPr>
          <w:t>2</w:t>
        </w:r>
        <w:r w:rsidR="00FE0BE0" w:rsidRPr="00FE0BE0">
          <w:rPr>
            <w:noProof/>
            <w:sz w:val="20"/>
            <w:szCs w:val="20"/>
          </w:rPr>
          <w:fldChar w:fldCharType="end"/>
        </w:r>
      </w:sdtContent>
    </w:sdt>
    <w:r w:rsidR="00FE0BE0" w:rsidRPr="00FE0BE0">
      <w:rPr>
        <w:noProof/>
        <w:sz w:val="20"/>
        <w:szCs w:val="20"/>
      </w:rPr>
      <w:t xml:space="preserve"> of </w:t>
    </w:r>
    <w:r w:rsidR="00FE0BE0" w:rsidRPr="00FE0BE0">
      <w:rPr>
        <w:noProof/>
        <w:sz w:val="20"/>
        <w:szCs w:val="20"/>
      </w:rPr>
      <w:fldChar w:fldCharType="begin"/>
    </w:r>
    <w:r w:rsidR="00FE0BE0" w:rsidRPr="00FE0BE0">
      <w:rPr>
        <w:noProof/>
        <w:sz w:val="20"/>
        <w:szCs w:val="20"/>
      </w:rPr>
      <w:instrText xml:space="preserve"> NUMPAGES   \* MERGEFORMAT </w:instrText>
    </w:r>
    <w:r w:rsidR="00FE0BE0" w:rsidRPr="00FE0BE0">
      <w:rPr>
        <w:noProof/>
        <w:sz w:val="20"/>
        <w:szCs w:val="20"/>
      </w:rPr>
      <w:fldChar w:fldCharType="separate"/>
    </w:r>
    <w:r w:rsidR="00FE0BE0" w:rsidRPr="00FE0BE0">
      <w:rPr>
        <w:noProof/>
        <w:sz w:val="20"/>
        <w:szCs w:val="20"/>
      </w:rPr>
      <w:t>6</w:t>
    </w:r>
    <w:r w:rsidR="00FE0BE0" w:rsidRPr="00FE0BE0">
      <w:rPr>
        <w:noProof/>
        <w:sz w:val="20"/>
        <w:szCs w:val="20"/>
      </w:rPr>
      <w:fldChar w:fldCharType="end"/>
    </w:r>
  </w:p>
  <w:p w14:paraId="0B927F3F" w14:textId="77777777" w:rsidR="00FE0BE0" w:rsidRDefault="00FE0B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11881222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14:paraId="57D12364" w14:textId="071F884D" w:rsidR="00FE0BE0" w:rsidRPr="00FE0BE0" w:rsidRDefault="00FE0BE0" w:rsidP="000625BA">
        <w:pPr>
          <w:pStyle w:val="Footer"/>
          <w:pBdr>
            <w:top w:val="single" w:sz="4" w:space="1" w:color="auto"/>
          </w:pBdr>
          <w:ind w:hanging="1134"/>
          <w:jc w:val="right"/>
          <w:rPr>
            <w:sz w:val="20"/>
            <w:szCs w:val="20"/>
          </w:rPr>
        </w:pPr>
        <w:r w:rsidRPr="00FE0BE0">
          <w:rPr>
            <w:sz w:val="20"/>
            <w:szCs w:val="20"/>
          </w:rPr>
          <w:t xml:space="preserve">Page  </w:t>
        </w:r>
        <w:r w:rsidRPr="00FE0BE0">
          <w:rPr>
            <w:sz w:val="20"/>
            <w:szCs w:val="20"/>
          </w:rPr>
          <w:fldChar w:fldCharType="begin"/>
        </w:r>
        <w:r w:rsidRPr="00FE0BE0">
          <w:rPr>
            <w:sz w:val="20"/>
            <w:szCs w:val="20"/>
          </w:rPr>
          <w:instrText xml:space="preserve"> PAGE   \* MERGEFORMAT </w:instrText>
        </w:r>
        <w:r w:rsidRPr="00FE0BE0">
          <w:rPr>
            <w:sz w:val="20"/>
            <w:szCs w:val="20"/>
          </w:rPr>
          <w:fldChar w:fldCharType="separate"/>
        </w:r>
        <w:r w:rsidRPr="00FE0BE0">
          <w:rPr>
            <w:noProof/>
            <w:sz w:val="20"/>
            <w:szCs w:val="20"/>
          </w:rPr>
          <w:t>2</w:t>
        </w:r>
        <w:r w:rsidRPr="00FE0BE0">
          <w:rPr>
            <w:noProof/>
            <w:sz w:val="20"/>
            <w:szCs w:val="20"/>
          </w:rPr>
          <w:fldChar w:fldCharType="end"/>
        </w:r>
        <w:r w:rsidRPr="00FE0BE0">
          <w:rPr>
            <w:noProof/>
            <w:sz w:val="20"/>
            <w:szCs w:val="20"/>
          </w:rPr>
          <w:t xml:space="preserve"> of </w:t>
        </w:r>
        <w:r w:rsidRPr="00FE0BE0">
          <w:rPr>
            <w:noProof/>
            <w:sz w:val="20"/>
            <w:szCs w:val="20"/>
          </w:rPr>
          <w:fldChar w:fldCharType="begin"/>
        </w:r>
        <w:r w:rsidRPr="00FE0BE0">
          <w:rPr>
            <w:noProof/>
            <w:sz w:val="20"/>
            <w:szCs w:val="20"/>
          </w:rPr>
          <w:instrText xml:space="preserve"> NUMPAGES   \* MERGEFORMAT </w:instrText>
        </w:r>
        <w:r w:rsidRPr="00FE0BE0">
          <w:rPr>
            <w:noProof/>
            <w:sz w:val="20"/>
            <w:szCs w:val="20"/>
          </w:rPr>
          <w:fldChar w:fldCharType="separate"/>
        </w:r>
        <w:r w:rsidRPr="00FE0BE0">
          <w:rPr>
            <w:noProof/>
            <w:sz w:val="20"/>
            <w:szCs w:val="20"/>
          </w:rPr>
          <w:t>6</w:t>
        </w:r>
        <w:r w:rsidRPr="00FE0BE0">
          <w:rPr>
            <w:noProof/>
            <w:sz w:val="20"/>
            <w:szCs w:val="20"/>
          </w:rPr>
          <w:fldChar w:fldCharType="end"/>
        </w:r>
      </w:p>
    </w:sdtContent>
  </w:sdt>
  <w:p w14:paraId="3C0F97E5" w14:textId="77777777" w:rsidR="00FE0BE0" w:rsidRDefault="00FE0BE0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olor w:val="A6A6A6" w:themeColor="background1" w:themeShade="A6"/>
      </w:rPr>
      <w:alias w:val="Title"/>
      <w:tag w:val=""/>
      <w:id w:val="454683203"/>
      <w:placeholder>
        <w:docPart w:val="246EC56E8EF34030B9E7BB0FFC7B24F5"/>
      </w:placeholder>
      <w:showingPlcHdr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4220619C" w14:textId="77777777" w:rsidR="000625BA" w:rsidRPr="000625BA" w:rsidRDefault="000625BA" w:rsidP="000625BA">
        <w:pPr>
          <w:pStyle w:val="Header"/>
          <w:jc w:val="right"/>
          <w:rPr>
            <w:color w:val="A6A6A6" w:themeColor="background1" w:themeShade="A6"/>
          </w:rPr>
        </w:pPr>
        <w:r w:rsidRPr="000625BA">
          <w:rPr>
            <w:rStyle w:val="PlaceholderText"/>
            <w:color w:val="A6A6A6" w:themeColor="background1" w:themeShade="A6"/>
          </w:rPr>
          <w:t>[Title]</w:t>
        </w:r>
      </w:p>
    </w:sdtContent>
  </w:sdt>
  <w:p w14:paraId="6F4D6886" w14:textId="5EED06B3" w:rsidR="000625BA" w:rsidRPr="000625BA" w:rsidRDefault="00D86D04" w:rsidP="000625BA">
    <w:pPr>
      <w:pStyle w:val="Header"/>
      <w:jc w:val="right"/>
      <w:rPr>
        <w:color w:val="A6A6A6" w:themeColor="background1" w:themeShade="A6"/>
      </w:rPr>
    </w:pPr>
    <w:r>
      <w:rPr>
        <w:noProof/>
        <w:color w:val="A6A6A6" w:themeColor="background1" w:themeShade="A6"/>
      </w:rPr>
      <w:pict w14:anchorId="6EFD7C0D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.75pt;margin-top:14.45pt;width:490.5pt;height:0;z-index:251661312" o:connectortype="straight"/>
      </w:pict>
    </w:r>
    <w:r w:rsidR="00FE3DF9" w:rsidRPr="000625BA">
      <w:rPr>
        <w:color w:val="A6A6A6" w:themeColor="background1" w:themeShade="A6"/>
      </w:rPr>
      <w:t xml:space="preserve"> </w:t>
    </w:r>
  </w:p>
  <w:p w14:paraId="1D928028" w14:textId="31EE76FD" w:rsidR="00FE0BE0" w:rsidRDefault="00FE0BE0" w:rsidP="000625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olor w:val="A6A6A6" w:themeColor="background1" w:themeShade="A6"/>
      </w:rPr>
      <w:alias w:val="Title"/>
      <w:tag w:val=""/>
      <w:id w:val="-1889716350"/>
      <w:placeholder>
        <w:docPart w:val="79E0AC8E209C4D15A991076C02255397"/>
      </w:placeholder>
      <w:showingPlcHdr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1BDDB975" w14:textId="74BD9015" w:rsidR="00FE0BE0" w:rsidRPr="000625BA" w:rsidRDefault="00FE0BE0">
        <w:pPr>
          <w:pStyle w:val="Header"/>
          <w:rPr>
            <w:color w:val="A6A6A6" w:themeColor="background1" w:themeShade="A6"/>
          </w:rPr>
        </w:pPr>
        <w:r w:rsidRPr="000625BA">
          <w:rPr>
            <w:rStyle w:val="PlaceholderText"/>
            <w:color w:val="A6A6A6" w:themeColor="background1" w:themeShade="A6"/>
          </w:rPr>
          <w:t>[Title]</w:t>
        </w:r>
      </w:p>
    </w:sdtContent>
  </w:sdt>
  <w:p w14:paraId="274D71B6" w14:textId="712A7026" w:rsidR="00FE0BE0" w:rsidRPr="000625BA" w:rsidRDefault="00D86D04">
    <w:pPr>
      <w:pStyle w:val="Header"/>
      <w:rPr>
        <w:color w:val="A6A6A6" w:themeColor="background1" w:themeShade="A6"/>
      </w:rPr>
    </w:pPr>
    <w:r>
      <w:rPr>
        <w:noProof/>
        <w:color w:val="A6A6A6" w:themeColor="background1" w:themeShade="A6"/>
      </w:rPr>
      <w:pict w14:anchorId="02D86A9A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-59.25pt;margin-top:14.45pt;width:490.5pt;height:0;z-index:251659264" o:connectortype="straight"/>
      </w:pict>
    </w:r>
    <w:r w:rsidR="004E2563" w:rsidRPr="000625BA">
      <w:rPr>
        <w:color w:val="A6A6A6" w:themeColor="background1" w:themeShade="A6"/>
      </w:rPr>
      <w:t xml:space="preserve"> </w: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2C1AE401"/>
    <w:multiLevelType w:val="multilevel"/>
    <w:tmpl w:val="A8E29AC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08750642"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2" v:ext="edit"/>
    <o:shapelayout v:ext="edit">
      <o:idmap data="2" v:ext="edit"/>
      <o:rules v:ext="edit">
        <o:r id="V:Rule3" idref="#_x0000_s2050" type="connector"/>
        <o:r id="V:Rule4" idref="#_x0000_s2051" type="connector"/>
      </o:rules>
    </o:shapelayout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625BA"/>
    <w:rsid w:val="000C02C5"/>
    <w:rsid w:val="000D33EE"/>
    <w:rsid w:val="002A7B38"/>
    <w:rsid w:val="002C6215"/>
    <w:rsid w:val="004E2563"/>
    <w:rsid w:val="004E29B3"/>
    <w:rsid w:val="00590D07"/>
    <w:rsid w:val="00753A04"/>
    <w:rsid w:val="00784D58"/>
    <w:rsid w:val="008D6863"/>
    <w:rsid w:val="009C3922"/>
    <w:rsid w:val="00A517C0"/>
    <w:rsid w:val="00AA4AE8"/>
    <w:rsid w:val="00B86B75"/>
    <w:rsid w:val="00BC48D5"/>
    <w:rsid w:val="00C36279"/>
    <w:rsid w:val="00D86D04"/>
    <w:rsid w:val="00E315A3"/>
    <w:rsid w:val="00F811AD"/>
    <w:rsid w:val="00FE0BE0"/>
    <w:rsid w:val="00FE3DF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2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A517C0"/>
    <w:pPr>
      <w:keepNext/>
      <w:keepLines/>
      <w:spacing w:after="0" w:before="240"/>
      <w:outlineLvl w:val="0"/>
    </w:pPr>
    <w:rPr>
      <w:rFonts w:ascii="Mukta Malar Light" w:cstheme="majorBidi" w:eastAsiaTheme="majorEastAsia" w:hAnsi="Mukta Malar Light"/>
      <w:bCs/>
      <w:sz w:val="44"/>
      <w:szCs w:val="32"/>
    </w:rPr>
  </w:style>
  <w:style w:styleId="Heading2" w:type="paragraph">
    <w:name w:val="heading 2"/>
    <w:basedOn w:val="Heading1"/>
    <w:next w:val="BodyText"/>
    <w:uiPriority w:val="9"/>
    <w:unhideWhenUsed/>
    <w:qFormat/>
    <w:rsid w:val="00FE0BE0"/>
    <w:pPr>
      <w:spacing w:before="200"/>
      <w:outlineLvl w:val="1"/>
    </w:pPr>
    <w:rPr>
      <w:bCs w:val="0"/>
      <w:sz w:val="36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FE0BE0"/>
    <w:pPr>
      <w:keepNext/>
      <w:keepLines/>
      <w:spacing w:after="0" w:before="200"/>
      <w:outlineLvl w:val="2"/>
    </w:pPr>
    <w:rPr>
      <w:rFonts w:ascii="Mukta Malar" w:cstheme="majorBidi" w:eastAsiaTheme="majorEastAsia" w:hAnsi="Mukta Malar"/>
      <w:b/>
      <w:bCs/>
      <w:i/>
      <w:sz w:val="28"/>
    </w:rPr>
  </w:style>
  <w:style w:styleId="Heading4" w:type="paragraph">
    <w:name w:val="heading 4"/>
    <w:basedOn w:val="Normal"/>
    <w:next w:val="BodyText"/>
    <w:uiPriority w:val="9"/>
    <w:unhideWhenUsed/>
    <w:qFormat/>
    <w:rsid w:val="002C6215"/>
    <w:pPr>
      <w:keepNext/>
      <w:keepLines/>
      <w:spacing w:after="0" w:before="200"/>
      <w:outlineLvl w:val="3"/>
    </w:pPr>
    <w:rPr>
      <w:rFonts w:ascii="Mukta Malar" w:cstheme="majorBidi" w:eastAsiaTheme="majorEastAsia" w:hAnsi="Mukta Malar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FE0BE0"/>
    <w:pPr>
      <w:spacing w:after="180" w:line="288" w:lineRule="auto"/>
      <w:jc w:val="both"/>
    </w:pPr>
    <w:rPr>
      <w:rFonts w:ascii="Kalinga" w:cs="Kalinga" w:hAnsi="Kalinga"/>
      <w:sz w:val="22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2C6215"/>
    <w:pPr>
      <w:keepNext/>
      <w:keepLines/>
      <w:spacing w:after="240" w:before="480"/>
      <w:jc w:val="center"/>
    </w:pPr>
    <w:rPr>
      <w:rFonts w:ascii="Mukta Malar" w:cstheme="majorBidi" w:eastAsiaTheme="majorEastAsia" w:hAnsi="Mukta Malar"/>
      <w:b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2C6215"/>
    <w:pPr>
      <w:spacing w:line="259" w:lineRule="auto"/>
      <w:outlineLvl w:val="9"/>
    </w:pPr>
    <w:rPr>
      <w:rFonts w:ascii="Montserrat" w:hAnsi="Montserrat"/>
      <w:b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styleId="Header" w:type="paragraph">
    <w:name w:val="header"/>
    <w:basedOn w:val="Normal"/>
    <w:link w:val="HeaderChar"/>
    <w:uiPriority w:val="99"/>
    <w:unhideWhenUsed/>
    <w:rsid w:val="00FE0BE0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FE0BE0"/>
  </w:style>
  <w:style w:styleId="Footer" w:type="paragraph">
    <w:name w:val="footer"/>
    <w:basedOn w:val="Normal"/>
    <w:link w:val="FooterChar"/>
    <w:uiPriority w:val="99"/>
    <w:unhideWhenUsed/>
    <w:rsid w:val="00FE0BE0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FE0BE0"/>
  </w:style>
  <w:style w:styleId="PlaceholderText" w:type="character">
    <w:name w:val="Placeholder Text"/>
    <w:basedOn w:val="DefaultParagraphFont"/>
    <w:semiHidden/>
    <w:rsid w:val="00FE0B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Id="rId11" Target="footer2.xml" Type="http://schemas.openxmlformats.org/officeDocument/2006/relationships/footer" /><Relationship Id="rId12" Target="footer1.xml" Type="http://schemas.openxmlformats.org/officeDocument/2006/relationships/footer" /><Relationship Type="http://schemas.openxmlformats.org/officeDocument/2006/relationships/hyperlink" Id="rId20" Target="https://seea.un.org/sites/seea.un.org/files/seea_cf_final_en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seea.un.org/sites/seea.un.org/files/seea_cf_final_en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Ocean Accounts</dc:title>
  <dc:creator>James Hogan, Senior Marine Resource Economist, FAME - SPC</dc:creator>
  <cp:keywords/>
  <dcterms:created xsi:type="dcterms:W3CDTF">2025-07-16T04:38:51Z</dcterms:created>
  <dcterms:modified xsi:type="dcterms:W3CDTF">2025-07-16T04:38:51Z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16 July 2025</vt:lpwstr>
  </property>
  <property fmtid="{D5CDD505-2E9C-101B-9397-08002B2CF9AE}" pid="3" name="header-includes">
    <vt:lpwstr/>
  </property>
  <property fmtid="{D5CDD505-2E9C-101B-9397-08002B2CF9AE}" pid="4" name="output">
    <vt:lpwstr/>
  </property>
  <property fmtid="{D5CDD505-2E9C-101B-9397-08002B2CF9AE}" pid="5" name="subtitle">
    <vt:lpwstr>Day 1 Thinking</vt:lpwstr>
  </property>
</Properties>
</file>