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2DA2A" w14:textId="77777777" w:rsidR="000542FC" w:rsidRPr="000542FC" w:rsidRDefault="000542FC" w:rsidP="00BA684B">
      <w:pPr>
        <w:spacing w:after="0" w:line="259" w:lineRule="auto"/>
        <w:rPr>
          <w:color w:val="00AAE6"/>
          <w:sz w:val="32"/>
        </w:rPr>
      </w:pPr>
    </w:p>
    <w:p w14:paraId="2E9D6085" w14:textId="77777777" w:rsidR="000542FC" w:rsidRPr="000542FC" w:rsidRDefault="000542FC" w:rsidP="00BA684B">
      <w:pPr>
        <w:spacing w:after="0" w:line="259" w:lineRule="auto"/>
        <w:rPr>
          <w:color w:val="00AAE6"/>
          <w:sz w:val="32"/>
        </w:rPr>
      </w:pPr>
    </w:p>
    <w:p w14:paraId="4C6A8B07" w14:textId="401B83DE" w:rsidR="00BA684B" w:rsidRPr="000542FC" w:rsidRDefault="000542FC" w:rsidP="00BA684B">
      <w:pPr>
        <w:spacing w:after="0" w:line="259" w:lineRule="auto"/>
      </w:pPr>
      <w:bookmarkStart w:id="0" w:name="_Hlk207195131"/>
      <w:r w:rsidRPr="000542FC">
        <w:rPr>
          <w:color w:val="00AAE6"/>
          <w:sz w:val="32"/>
        </w:rPr>
        <w:t>Pacific Regional Environmental Accounts</w:t>
      </w:r>
      <w:bookmarkEnd w:id="0"/>
      <w:r w:rsidR="00BA684B" w:rsidRPr="000542FC">
        <w:rPr>
          <w:color w:val="00AAE6"/>
          <w:sz w:val="32"/>
        </w:rPr>
        <w:t xml:space="preserve"> </w:t>
      </w:r>
      <w:r w:rsidR="0018512E">
        <w:rPr>
          <w:color w:val="00AAE6"/>
          <w:sz w:val="32"/>
        </w:rPr>
        <w:t>Governance Group</w:t>
      </w:r>
    </w:p>
    <w:p w14:paraId="5F8E948F" w14:textId="77777777" w:rsidR="00BA684B" w:rsidRPr="000542FC" w:rsidRDefault="00BA684B" w:rsidP="00BA684B">
      <w:pPr>
        <w:pStyle w:val="Heading1"/>
        <w:ind w:left="292" w:hanging="307"/>
      </w:pPr>
      <w:r w:rsidRPr="000542FC">
        <w:t xml:space="preserve">Role/Purpose </w:t>
      </w:r>
    </w:p>
    <w:p w14:paraId="3CD744FD" w14:textId="40682573" w:rsidR="000542FC" w:rsidRDefault="00BA684B" w:rsidP="00BA684B">
      <w:pPr>
        <w:ind w:left="-5"/>
      </w:pPr>
      <w:r w:rsidRPr="000542FC">
        <w:t xml:space="preserve">The role of </w:t>
      </w:r>
      <w:r w:rsidR="000542FC" w:rsidRPr="000542FC">
        <w:t>Pacific Regional Environmental Accounts</w:t>
      </w:r>
      <w:r w:rsidR="000542FC" w:rsidRPr="000542FC">
        <w:t xml:space="preserve"> </w:t>
      </w:r>
      <w:r w:rsidRPr="000542FC">
        <w:t xml:space="preserve">Governance Group </w:t>
      </w:r>
      <w:r w:rsidR="000542FC" w:rsidRPr="000542FC">
        <w:t xml:space="preserve">is </w:t>
      </w:r>
      <w:r w:rsidR="000542FC">
        <w:t xml:space="preserve">to </w:t>
      </w:r>
      <w:r w:rsidRPr="000542FC">
        <w:t xml:space="preserve">provide strategic direction and leadership </w:t>
      </w:r>
      <w:r w:rsidR="000542FC" w:rsidRPr="000542FC">
        <w:t xml:space="preserve">for </w:t>
      </w:r>
      <w:r w:rsidR="000542FC" w:rsidRPr="000542FC">
        <w:t>developing a suite of Environmental</w:t>
      </w:r>
      <w:r w:rsidR="0018512E">
        <w:t>-Economic</w:t>
      </w:r>
      <w:r w:rsidR="000542FC" w:rsidRPr="000542FC">
        <w:t xml:space="preserve"> </w:t>
      </w:r>
      <w:r w:rsidR="0018512E">
        <w:t>Statistical</w:t>
      </w:r>
      <w:r w:rsidR="000542FC" w:rsidRPr="000542FC">
        <w:t xml:space="preserve"> Accounts, including Ocean Accounts</w:t>
      </w:r>
      <w:r w:rsidR="0018512E">
        <w:t>, and improve capability in their use</w:t>
      </w:r>
      <w:r w:rsidR="000542FC" w:rsidRPr="000542FC">
        <w:t>.</w:t>
      </w:r>
    </w:p>
    <w:p w14:paraId="28E42375" w14:textId="474BEF40" w:rsidR="000542FC" w:rsidRDefault="00BA684B" w:rsidP="000542FC">
      <w:r w:rsidRPr="000542FC">
        <w:t xml:space="preserve">The </w:t>
      </w:r>
      <w:r w:rsidR="000542FC" w:rsidRPr="000542FC">
        <w:t>Pacific Regional Environmental Accounts Governance Group</w:t>
      </w:r>
      <w:r w:rsidRPr="000542FC">
        <w:t xml:space="preserve"> sets out to </w:t>
      </w:r>
      <w:r w:rsidR="000542FC">
        <w:t>be:</w:t>
      </w:r>
    </w:p>
    <w:p w14:paraId="137A21A7" w14:textId="4751BB41" w:rsidR="001A2493" w:rsidRDefault="001A2493" w:rsidP="001A2493">
      <w:pPr>
        <w:pStyle w:val="ListParagraph"/>
        <w:numPr>
          <w:ilvl w:val="0"/>
          <w:numId w:val="13"/>
        </w:numPr>
      </w:pPr>
      <w:r>
        <w:t xml:space="preserve">A </w:t>
      </w:r>
      <w:r w:rsidRPr="001A2493">
        <w:rPr>
          <w:i/>
          <w:iCs/>
        </w:rPr>
        <w:t>strategic group</w:t>
      </w:r>
      <w:r>
        <w:t xml:space="preserve"> to advise on the </w:t>
      </w:r>
      <w:r w:rsidR="0018512E">
        <w:t xml:space="preserve">ranked </w:t>
      </w:r>
      <w:r>
        <w:t xml:space="preserve">priorities for incrementally developing </w:t>
      </w:r>
      <w:r w:rsidR="0018512E" w:rsidRPr="000542FC">
        <w:t>Environmental</w:t>
      </w:r>
      <w:r w:rsidR="0018512E">
        <w:t>-Economic</w:t>
      </w:r>
      <w:r w:rsidR="0018512E" w:rsidRPr="000542FC">
        <w:t xml:space="preserve"> </w:t>
      </w:r>
      <w:r w:rsidR="0018512E">
        <w:t>Statistical</w:t>
      </w:r>
      <w:r w:rsidR="0018512E" w:rsidRPr="000542FC">
        <w:t xml:space="preserve"> Accounts, including Ocean Accounts</w:t>
      </w:r>
      <w:r w:rsidR="0018512E">
        <w:t xml:space="preserve"> </w:t>
      </w:r>
      <w:r>
        <w:t>for the Pacific Region.</w:t>
      </w:r>
      <w:r>
        <w:br/>
      </w:r>
    </w:p>
    <w:p w14:paraId="0DE4E9EB" w14:textId="3B071E91" w:rsidR="0018512E" w:rsidRDefault="0018512E" w:rsidP="001A2493">
      <w:pPr>
        <w:pStyle w:val="ListParagraph"/>
        <w:numPr>
          <w:ilvl w:val="0"/>
          <w:numId w:val="13"/>
        </w:numPr>
      </w:pPr>
      <w:r>
        <w:t xml:space="preserve">Be the </w:t>
      </w:r>
      <w:r w:rsidRPr="0018512E">
        <w:rPr>
          <w:i/>
          <w:iCs/>
        </w:rPr>
        <w:t>outward-facing point of contact</w:t>
      </w:r>
      <w:r>
        <w:t xml:space="preserve"> for </w:t>
      </w:r>
      <w:r>
        <w:t xml:space="preserve">external stakeholders and partners </w:t>
      </w:r>
      <w:r>
        <w:t>seeking to engage with SPC on</w:t>
      </w:r>
      <w:r>
        <w:t xml:space="preserve"> </w:t>
      </w:r>
      <w:r w:rsidRPr="000542FC">
        <w:t>Environmental</w:t>
      </w:r>
      <w:r w:rsidR="00024384">
        <w:t>-Economic</w:t>
      </w:r>
      <w:r w:rsidRPr="000542FC">
        <w:t xml:space="preserve"> Accounts, including Ocean Accounts</w:t>
      </w:r>
      <w:r>
        <w:t>.</w:t>
      </w:r>
      <w:r>
        <w:br/>
      </w:r>
    </w:p>
    <w:p w14:paraId="45420054" w14:textId="2C4AB244" w:rsidR="00BA684B" w:rsidRPr="000542FC" w:rsidRDefault="0018512E" w:rsidP="0018512E">
      <w:pPr>
        <w:pStyle w:val="ListParagraph"/>
        <w:numPr>
          <w:ilvl w:val="0"/>
          <w:numId w:val="13"/>
        </w:numPr>
      </w:pPr>
      <w:r>
        <w:t xml:space="preserve">The </w:t>
      </w:r>
      <w:r>
        <w:t xml:space="preserve">group </w:t>
      </w:r>
      <w:r>
        <w:t>with SPC who ca</w:t>
      </w:r>
      <w:r>
        <w:t xml:space="preserve">n </w:t>
      </w:r>
      <w:r w:rsidRPr="001A2493">
        <w:rPr>
          <w:i/>
          <w:iCs/>
        </w:rPr>
        <w:t>mobilise</w:t>
      </w:r>
      <w:r>
        <w:t xml:space="preserve"> </w:t>
      </w:r>
      <w:r w:rsidRPr="0018512E">
        <w:rPr>
          <w:i/>
          <w:iCs/>
        </w:rPr>
        <w:t>resources</w:t>
      </w:r>
      <w:r>
        <w:t xml:space="preserve">, including </w:t>
      </w:r>
      <w:r>
        <w:t>internal data sources and expertise</w:t>
      </w:r>
      <w:r>
        <w:t xml:space="preserve">, within </w:t>
      </w:r>
      <w:r>
        <w:t xml:space="preserve">their </w:t>
      </w:r>
      <w:r>
        <w:t xml:space="preserve">respective </w:t>
      </w:r>
      <w:r>
        <w:t xml:space="preserve">divisions to aid the development of </w:t>
      </w:r>
      <w:r w:rsidRPr="000542FC">
        <w:t>Environmental</w:t>
      </w:r>
      <w:r w:rsidR="00024384">
        <w:t>-Economic</w:t>
      </w:r>
      <w:r w:rsidRPr="000542FC">
        <w:t xml:space="preserve"> </w:t>
      </w:r>
      <w:r>
        <w:t>Statistical</w:t>
      </w:r>
      <w:r w:rsidRPr="000542FC">
        <w:t xml:space="preserve"> Accounts, including Ocean Accounts</w:t>
      </w:r>
      <w:r>
        <w:t xml:space="preserve">. </w:t>
      </w:r>
    </w:p>
    <w:p w14:paraId="10136E43" w14:textId="77777777" w:rsidR="00BA684B" w:rsidRPr="000542FC" w:rsidRDefault="00BA684B" w:rsidP="00BA684B">
      <w:pPr>
        <w:pStyle w:val="Heading1"/>
        <w:ind w:left="292" w:hanging="307"/>
      </w:pPr>
      <w:r w:rsidRPr="000542FC">
        <w:t xml:space="preserve">Term </w:t>
      </w:r>
    </w:p>
    <w:p w14:paraId="5A3C5E62" w14:textId="141A29B0" w:rsidR="00BA684B" w:rsidRPr="000542FC" w:rsidRDefault="00BA684B" w:rsidP="001A2493">
      <w:pPr>
        <w:ind w:left="-5"/>
      </w:pPr>
      <w:r w:rsidRPr="000542FC">
        <w:t xml:space="preserve">This Terms of Reference is effective from </w:t>
      </w:r>
      <w:r w:rsidR="000542FC">
        <w:t>adoption by the Governance Group</w:t>
      </w:r>
      <w:r w:rsidRPr="000542FC">
        <w:t xml:space="preserve"> and will be ongoing until terminated by agreement between the parties.   </w:t>
      </w:r>
    </w:p>
    <w:p w14:paraId="58FDBFB3" w14:textId="77777777" w:rsidR="00BA684B" w:rsidRPr="000542FC" w:rsidRDefault="00BA684B" w:rsidP="00BA684B">
      <w:pPr>
        <w:pStyle w:val="Heading1"/>
        <w:ind w:left="292" w:hanging="307"/>
      </w:pPr>
      <w:r w:rsidRPr="000542FC">
        <w:t xml:space="preserve">Membership </w:t>
      </w:r>
    </w:p>
    <w:p w14:paraId="19B017A9" w14:textId="025F0C59" w:rsidR="00BA684B" w:rsidRPr="000542FC" w:rsidRDefault="00BA684B" w:rsidP="00BA684B">
      <w:pPr>
        <w:ind w:left="-5"/>
      </w:pPr>
      <w:r w:rsidRPr="000542FC">
        <w:t xml:space="preserve">The </w:t>
      </w:r>
      <w:r w:rsidR="0018512E" w:rsidRPr="000542FC">
        <w:t xml:space="preserve">Governance Group </w:t>
      </w:r>
      <w:r w:rsidRPr="000542FC">
        <w:t xml:space="preserve">will comprise: </w:t>
      </w:r>
    </w:p>
    <w:p w14:paraId="13887BE0" w14:textId="3BD7C606" w:rsidR="00BA684B" w:rsidRDefault="000542FC" w:rsidP="00BA684B">
      <w:pPr>
        <w:numPr>
          <w:ilvl w:val="0"/>
          <w:numId w:val="10"/>
        </w:numPr>
        <w:spacing w:after="110" w:line="249" w:lineRule="auto"/>
        <w:ind w:hanging="180"/>
        <w:jc w:val="both"/>
      </w:pPr>
      <w:r>
        <w:t>Neville Smith, Director</w:t>
      </w:r>
      <w:r w:rsidR="001A2493">
        <w:t xml:space="preserve"> –</w:t>
      </w:r>
      <w:r>
        <w:t xml:space="preserve"> F</w:t>
      </w:r>
      <w:r w:rsidR="001A2493">
        <w:t>isheries, Aquaculture &amp; Marine Ecosystems</w:t>
      </w:r>
    </w:p>
    <w:p w14:paraId="42BA6479" w14:textId="5DE94A9A" w:rsidR="001A2493" w:rsidRDefault="001A2493" w:rsidP="00BA684B">
      <w:pPr>
        <w:numPr>
          <w:ilvl w:val="0"/>
          <w:numId w:val="10"/>
        </w:numPr>
        <w:spacing w:after="110" w:line="249" w:lineRule="auto"/>
        <w:ind w:hanging="180"/>
        <w:jc w:val="both"/>
      </w:pPr>
      <w:r>
        <w:t>Coral Pasisi, Director – Climate Change and Environmental Sustainability</w:t>
      </w:r>
    </w:p>
    <w:p w14:paraId="79B4A961" w14:textId="22955637" w:rsidR="001A2493" w:rsidRDefault="001A2493" w:rsidP="00BA684B">
      <w:pPr>
        <w:numPr>
          <w:ilvl w:val="0"/>
          <w:numId w:val="10"/>
        </w:numPr>
        <w:spacing w:after="110" w:line="249" w:lineRule="auto"/>
        <w:ind w:hanging="180"/>
        <w:jc w:val="both"/>
      </w:pPr>
      <w:r w:rsidRPr="001A2493">
        <w:t>Karen Mapusua</w:t>
      </w:r>
      <w:r>
        <w:t>, Director – Land Resources</w:t>
      </w:r>
    </w:p>
    <w:p w14:paraId="2446333D" w14:textId="14333314" w:rsidR="001A2493" w:rsidRPr="001A2493" w:rsidRDefault="001A2493" w:rsidP="00BA684B">
      <w:pPr>
        <w:numPr>
          <w:ilvl w:val="0"/>
          <w:numId w:val="10"/>
        </w:numPr>
        <w:spacing w:after="110" w:line="249" w:lineRule="auto"/>
        <w:ind w:hanging="180"/>
        <w:jc w:val="both"/>
        <w:rPr>
          <w:lang w:val="en-AU"/>
        </w:rPr>
      </w:pPr>
      <w:r w:rsidRPr="001A2493">
        <w:rPr>
          <w:lang w:val="en-AU"/>
        </w:rPr>
        <w:t>Rhonda Robinson, Director – Geoscience, Energy an</w:t>
      </w:r>
      <w:r>
        <w:rPr>
          <w:lang w:val="en-AU"/>
        </w:rPr>
        <w:t>d Maritime</w:t>
      </w:r>
    </w:p>
    <w:p w14:paraId="5B8B1350" w14:textId="74836A96" w:rsidR="00BA684B" w:rsidRPr="000542FC" w:rsidRDefault="001A2493" w:rsidP="00BA684B">
      <w:pPr>
        <w:numPr>
          <w:ilvl w:val="0"/>
          <w:numId w:val="10"/>
        </w:numPr>
        <w:spacing w:after="155" w:line="259" w:lineRule="auto"/>
        <w:ind w:hanging="180"/>
        <w:jc w:val="both"/>
      </w:pPr>
      <w:r>
        <w:t>Peter Ellis, Director – Statistics for Development</w:t>
      </w:r>
    </w:p>
    <w:p w14:paraId="7798942F" w14:textId="77777777" w:rsidR="00024384" w:rsidRDefault="00024384">
      <w:pPr>
        <w:rPr>
          <w:rFonts w:eastAsiaTheme="majorEastAsia" w:cstheme="majorBidi"/>
          <w:b/>
          <w:bCs/>
          <w:sz w:val="36"/>
          <w:szCs w:val="32"/>
        </w:rPr>
      </w:pPr>
      <w:r>
        <w:br w:type="page"/>
      </w:r>
    </w:p>
    <w:p w14:paraId="0170DBCD" w14:textId="0BAFF00B" w:rsidR="00BA684B" w:rsidRPr="000542FC" w:rsidRDefault="00BA684B" w:rsidP="00BA684B">
      <w:pPr>
        <w:pStyle w:val="Heading1"/>
        <w:ind w:left="292" w:hanging="307"/>
      </w:pPr>
      <w:r w:rsidRPr="000542FC">
        <w:lastRenderedPageBreak/>
        <w:t xml:space="preserve">Roles and Responsibilities </w:t>
      </w:r>
    </w:p>
    <w:p w14:paraId="61AD04FD" w14:textId="55D57A13" w:rsidR="00BA684B" w:rsidRPr="000542FC" w:rsidRDefault="00BA684B" w:rsidP="00BA684B">
      <w:pPr>
        <w:ind w:left="-5"/>
      </w:pPr>
      <w:r w:rsidRPr="000542FC">
        <w:t xml:space="preserve">To be discussed with the </w:t>
      </w:r>
      <w:r w:rsidR="0018512E" w:rsidRPr="000542FC">
        <w:t xml:space="preserve">Governance Group </w:t>
      </w:r>
      <w:r w:rsidRPr="000542FC">
        <w:t xml:space="preserve">some examples may include: </w:t>
      </w:r>
    </w:p>
    <w:p w14:paraId="45A53C9F" w14:textId="03AE9EF4" w:rsidR="00BA684B" w:rsidRPr="00024384" w:rsidRDefault="00BA684B" w:rsidP="00BA684B">
      <w:pPr>
        <w:ind w:left="-5"/>
        <w:rPr>
          <w:b/>
          <w:bCs/>
        </w:rPr>
      </w:pPr>
      <w:r w:rsidRPr="00024384">
        <w:rPr>
          <w:b/>
          <w:bCs/>
        </w:rPr>
        <w:t xml:space="preserve">The </w:t>
      </w:r>
      <w:r w:rsidR="00024384">
        <w:rPr>
          <w:b/>
          <w:bCs/>
        </w:rPr>
        <w:t>Governance</w:t>
      </w:r>
      <w:r w:rsidRPr="00024384">
        <w:rPr>
          <w:b/>
          <w:bCs/>
        </w:rPr>
        <w:t xml:space="preserve"> </w:t>
      </w:r>
      <w:r w:rsidR="00024384">
        <w:rPr>
          <w:b/>
          <w:bCs/>
        </w:rPr>
        <w:t>G</w:t>
      </w:r>
      <w:r w:rsidRPr="00024384">
        <w:rPr>
          <w:b/>
          <w:bCs/>
        </w:rPr>
        <w:t xml:space="preserve">roup is accountable for:  </w:t>
      </w:r>
    </w:p>
    <w:p w14:paraId="6F13757A" w14:textId="16A4A3E9" w:rsidR="00BA684B" w:rsidRPr="000542FC" w:rsidRDefault="00BA684B" w:rsidP="00BA684B">
      <w:pPr>
        <w:numPr>
          <w:ilvl w:val="0"/>
          <w:numId w:val="11"/>
        </w:numPr>
        <w:spacing w:after="134" w:line="249" w:lineRule="auto"/>
        <w:ind w:hanging="180"/>
        <w:jc w:val="both"/>
      </w:pPr>
      <w:r w:rsidRPr="000542FC">
        <w:t xml:space="preserve">fostering collaboration </w:t>
      </w:r>
      <w:r w:rsidR="0018512E">
        <w:t>within SPC and between SPC and member countries</w:t>
      </w:r>
      <w:r w:rsidR="00024384">
        <w:t xml:space="preserve"> around evidence-based environmental-economic reporting and analysis</w:t>
      </w:r>
    </w:p>
    <w:p w14:paraId="588EC1BB" w14:textId="7A985EDF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removing obstacles to </w:t>
      </w:r>
      <w:r w:rsidR="0018512E">
        <w:t>developing</w:t>
      </w:r>
      <w:r w:rsidRPr="000542FC">
        <w:t xml:space="preserve"> </w:t>
      </w:r>
      <w:r w:rsidR="00024384" w:rsidRPr="000542FC">
        <w:t>Environmental</w:t>
      </w:r>
      <w:r w:rsidR="00024384">
        <w:t>-Economic</w:t>
      </w:r>
      <w:r w:rsidR="00024384" w:rsidRPr="000542FC">
        <w:t xml:space="preserve"> </w:t>
      </w:r>
      <w:r w:rsidR="00024384">
        <w:t>Statistical</w:t>
      </w:r>
      <w:r w:rsidR="00024384" w:rsidRPr="000542FC">
        <w:t xml:space="preserve"> Accounts, including Ocean Accounts</w:t>
      </w:r>
      <w:r w:rsidR="00024384">
        <w:t xml:space="preserve"> </w:t>
      </w:r>
      <w:r w:rsidR="0018512E">
        <w:t xml:space="preserve">and for ensuring their </w:t>
      </w:r>
      <w:r w:rsidRPr="000542FC">
        <w:t xml:space="preserve">successful delivery, adoption and use </w:t>
      </w:r>
    </w:p>
    <w:p w14:paraId="0CF6D379" w14:textId="4BC967FF" w:rsidR="00BA684B" w:rsidRPr="000542FC" w:rsidRDefault="00BA684B" w:rsidP="00BA684B">
      <w:pPr>
        <w:numPr>
          <w:ilvl w:val="0"/>
          <w:numId w:val="11"/>
        </w:numPr>
        <w:spacing w:after="31" w:line="259" w:lineRule="auto"/>
        <w:ind w:hanging="180"/>
        <w:jc w:val="both"/>
      </w:pPr>
      <w:r w:rsidRPr="000542FC">
        <w:t xml:space="preserve">maintaining at all times the focus of the </w:t>
      </w:r>
      <w:r w:rsidR="0018512E" w:rsidRPr="000542FC">
        <w:t xml:space="preserve">Group </w:t>
      </w:r>
      <w:r w:rsidRPr="000542FC">
        <w:t xml:space="preserve">on </w:t>
      </w:r>
      <w:r w:rsidR="00024384">
        <w:t xml:space="preserve">SPC progressing </w:t>
      </w:r>
      <w:r w:rsidR="00024384" w:rsidRPr="000542FC">
        <w:t>Environmental</w:t>
      </w:r>
      <w:r w:rsidR="00024384">
        <w:t>-Economic</w:t>
      </w:r>
      <w:r w:rsidR="00024384" w:rsidRPr="000542FC">
        <w:t xml:space="preserve"> </w:t>
      </w:r>
      <w:r w:rsidR="00024384">
        <w:t>Statistical</w:t>
      </w:r>
      <w:r w:rsidR="00024384" w:rsidRPr="000542FC">
        <w:t xml:space="preserve"> Accounts, including Ocean Accounts</w:t>
      </w:r>
      <w:r w:rsidR="00024384">
        <w:t xml:space="preserve"> to </w:t>
      </w:r>
      <w:r w:rsidRPr="000542FC">
        <w:t xml:space="preserve">the agreed scope, outcomes and benefits </w:t>
      </w:r>
      <w:r w:rsidRPr="00024384">
        <w:rPr>
          <w:sz w:val="18"/>
        </w:rPr>
        <w:t xml:space="preserve"> </w:t>
      </w:r>
    </w:p>
    <w:p w14:paraId="603640D4" w14:textId="4868168B" w:rsidR="00BA684B" w:rsidRPr="000542FC" w:rsidRDefault="00BA684B" w:rsidP="00BA684B">
      <w:pPr>
        <w:numPr>
          <w:ilvl w:val="0"/>
          <w:numId w:val="11"/>
        </w:numPr>
        <w:spacing w:after="98" w:line="259" w:lineRule="auto"/>
        <w:ind w:hanging="180"/>
        <w:jc w:val="both"/>
      </w:pPr>
      <w:r w:rsidRPr="000542FC">
        <w:t xml:space="preserve">monitoring and managing the factors outside the </w:t>
      </w:r>
      <w:r w:rsidR="00024384">
        <w:t>Group’s</w:t>
      </w:r>
      <w:r w:rsidRPr="000542FC">
        <w:t xml:space="preserve"> control that are critical to its success.</w:t>
      </w:r>
      <w:r w:rsidR="00024384">
        <w:br/>
      </w:r>
    </w:p>
    <w:p w14:paraId="1C61E2C1" w14:textId="2900E2FE" w:rsidR="00BA684B" w:rsidRPr="00024384" w:rsidRDefault="00BA684B" w:rsidP="00BA684B">
      <w:pPr>
        <w:ind w:left="-5"/>
        <w:rPr>
          <w:b/>
          <w:bCs/>
        </w:rPr>
      </w:pPr>
      <w:r w:rsidRPr="00024384">
        <w:rPr>
          <w:b/>
          <w:bCs/>
        </w:rPr>
        <w:t xml:space="preserve">The membership of the </w:t>
      </w:r>
      <w:r w:rsidR="00024384">
        <w:rPr>
          <w:b/>
          <w:bCs/>
        </w:rPr>
        <w:t>Governance</w:t>
      </w:r>
      <w:r w:rsidRPr="00024384">
        <w:rPr>
          <w:b/>
          <w:bCs/>
        </w:rPr>
        <w:t xml:space="preserve"> group will commit to:  </w:t>
      </w:r>
    </w:p>
    <w:p w14:paraId="7244C281" w14:textId="7B00D418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attending all scheduled </w:t>
      </w:r>
      <w:r w:rsidR="0018512E" w:rsidRPr="000542FC">
        <w:t xml:space="preserve">Governance Group </w:t>
      </w:r>
      <w:r w:rsidRPr="000542FC">
        <w:t xml:space="preserve">meetings </w:t>
      </w:r>
    </w:p>
    <w:p w14:paraId="52E6B823" w14:textId="2237220F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wholeheartedly championing </w:t>
      </w:r>
      <w:r w:rsidR="00024384">
        <w:t xml:space="preserve">evidence-based </w:t>
      </w:r>
      <w:r w:rsidR="0018512E" w:rsidRPr="000542FC">
        <w:t>Environmental</w:t>
      </w:r>
      <w:r w:rsidR="00024384">
        <w:t>-Economic statistical accounts with member countries</w:t>
      </w:r>
      <w:r w:rsidRPr="000542FC">
        <w:t xml:space="preserve"> within and outside of work areas </w:t>
      </w:r>
    </w:p>
    <w:p w14:paraId="7832F87E" w14:textId="47D12198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sharing all </w:t>
      </w:r>
      <w:r w:rsidR="00024384">
        <w:t xml:space="preserve">relevant </w:t>
      </w:r>
      <w:r w:rsidRPr="000542FC">
        <w:t xml:space="preserve">communications and information across all </w:t>
      </w:r>
      <w:r w:rsidR="00024384" w:rsidRPr="000542FC">
        <w:t xml:space="preserve">Governance Group </w:t>
      </w:r>
      <w:r w:rsidRPr="000542FC">
        <w:t xml:space="preserve">members </w:t>
      </w:r>
    </w:p>
    <w:p w14:paraId="5673FB8C" w14:textId="04413E69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>making timely decisions and tak</w:t>
      </w:r>
      <w:r w:rsidR="00024384">
        <w:t>e</w:t>
      </w:r>
      <w:r w:rsidRPr="000542FC">
        <w:t xml:space="preserve"> action to </w:t>
      </w:r>
      <w:r w:rsidR="00024384">
        <w:t xml:space="preserve">progress developing </w:t>
      </w:r>
      <w:r w:rsidR="00024384" w:rsidRPr="000542FC">
        <w:t>Environmental</w:t>
      </w:r>
      <w:r w:rsidR="00024384">
        <w:t>-Economic</w:t>
      </w:r>
      <w:r w:rsidR="00024384" w:rsidRPr="000542FC">
        <w:t xml:space="preserve"> </w:t>
      </w:r>
      <w:r w:rsidR="00024384">
        <w:t>Statistical</w:t>
      </w:r>
      <w:r w:rsidR="00024384" w:rsidRPr="000542FC">
        <w:t xml:space="preserve"> Accounts, including Ocean Accounts</w:t>
      </w:r>
      <w:r w:rsidRPr="000542FC">
        <w:t xml:space="preserve"> </w:t>
      </w:r>
    </w:p>
    <w:p w14:paraId="703B9171" w14:textId="6D2E29AB" w:rsidR="00024384" w:rsidRDefault="00BA684B" w:rsidP="00BA684B">
      <w:pPr>
        <w:numPr>
          <w:ilvl w:val="0"/>
          <w:numId w:val="11"/>
        </w:numPr>
        <w:spacing w:after="69" w:line="296" w:lineRule="auto"/>
        <w:ind w:hanging="180"/>
        <w:jc w:val="both"/>
      </w:pPr>
      <w:r w:rsidRPr="000542FC">
        <w:t xml:space="preserve">notifying members of the </w:t>
      </w:r>
      <w:r w:rsidR="00024384" w:rsidRPr="000542FC">
        <w:t>Governance Group</w:t>
      </w:r>
      <w:r w:rsidRPr="000542FC">
        <w:t xml:space="preserve">, as soon as practical, if any matter arises which may be </w:t>
      </w:r>
      <w:r w:rsidR="00024384">
        <w:t xml:space="preserve">impact on developing </w:t>
      </w:r>
      <w:r w:rsidRPr="000542FC">
        <w:t xml:space="preserve"> </w:t>
      </w:r>
      <w:r w:rsidR="00024384" w:rsidRPr="000542FC">
        <w:t>Environmental</w:t>
      </w:r>
      <w:r w:rsidR="00024384">
        <w:t>-Economic</w:t>
      </w:r>
      <w:r w:rsidR="00024384" w:rsidRPr="000542FC">
        <w:t xml:space="preserve"> </w:t>
      </w:r>
      <w:r w:rsidR="00024384">
        <w:t>Statistical</w:t>
      </w:r>
      <w:r w:rsidR="00024384" w:rsidRPr="000542FC">
        <w:t xml:space="preserve"> Accounts</w:t>
      </w:r>
    </w:p>
    <w:p w14:paraId="45BE13DE" w14:textId="256E7C12" w:rsidR="00BA684B" w:rsidRPr="000542FC" w:rsidRDefault="00BA684B" w:rsidP="00BA684B">
      <w:pPr>
        <w:numPr>
          <w:ilvl w:val="0"/>
          <w:numId w:val="11"/>
        </w:numPr>
        <w:spacing w:after="98" w:line="259" w:lineRule="auto"/>
        <w:ind w:hanging="180"/>
        <w:jc w:val="both"/>
      </w:pPr>
      <w:r w:rsidRPr="000542FC">
        <w:t>attending all meetings and if necessary nominate a proxy</w:t>
      </w:r>
      <w:r w:rsidR="00024384">
        <w:t xml:space="preserve"> if unable to attend</w:t>
      </w:r>
      <w:r w:rsidRPr="000542FC">
        <w:t xml:space="preserve">. </w:t>
      </w:r>
      <w:r w:rsidR="00024384">
        <w:br/>
      </w:r>
      <w:r w:rsidRPr="000542FC">
        <w:t xml:space="preserve"> </w:t>
      </w:r>
    </w:p>
    <w:p w14:paraId="280D01BE" w14:textId="7DCCCCC3" w:rsidR="00BA684B" w:rsidRPr="00024384" w:rsidRDefault="00BA684B" w:rsidP="00BA684B">
      <w:pPr>
        <w:ind w:left="-5"/>
        <w:rPr>
          <w:b/>
          <w:bCs/>
        </w:rPr>
      </w:pPr>
      <w:r w:rsidRPr="00024384">
        <w:rPr>
          <w:b/>
          <w:bCs/>
        </w:rPr>
        <w:t xml:space="preserve">Members of the </w:t>
      </w:r>
      <w:r w:rsidR="00024384">
        <w:rPr>
          <w:b/>
          <w:bCs/>
        </w:rPr>
        <w:t>Governance</w:t>
      </w:r>
      <w:r w:rsidRPr="00024384">
        <w:rPr>
          <w:b/>
          <w:bCs/>
        </w:rPr>
        <w:t xml:space="preserve"> group will expect:  </w:t>
      </w:r>
    </w:p>
    <w:p w14:paraId="1608A48D" w14:textId="77777777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that each member will be provided with complete, accurate and meaningful information in a timely manner </w:t>
      </w:r>
    </w:p>
    <w:p w14:paraId="649D767C" w14:textId="77777777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to be given reasonable time to make key decisions </w:t>
      </w:r>
    </w:p>
    <w:p w14:paraId="07D754E8" w14:textId="77777777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to be alerted to potential risks and issues that could impact the project, as they arise </w:t>
      </w:r>
    </w:p>
    <w:p w14:paraId="6AE1044C" w14:textId="77777777" w:rsidR="00BA684B" w:rsidRPr="000542FC" w:rsidRDefault="00BA684B" w:rsidP="00BA684B">
      <w:pPr>
        <w:numPr>
          <w:ilvl w:val="0"/>
          <w:numId w:val="11"/>
        </w:numPr>
        <w:spacing w:after="147" w:line="249" w:lineRule="auto"/>
        <w:ind w:hanging="180"/>
        <w:jc w:val="both"/>
      </w:pPr>
      <w:r w:rsidRPr="000542FC">
        <w:t xml:space="preserve">open and honest discussions, without resort to any misleading assertions </w:t>
      </w:r>
    </w:p>
    <w:p w14:paraId="556EC467" w14:textId="77777777" w:rsidR="00BA684B" w:rsidRPr="000542FC" w:rsidRDefault="00BA684B" w:rsidP="00BA684B">
      <w:pPr>
        <w:numPr>
          <w:ilvl w:val="0"/>
          <w:numId w:val="11"/>
        </w:numPr>
        <w:spacing w:after="110" w:line="249" w:lineRule="auto"/>
        <w:ind w:hanging="180"/>
        <w:jc w:val="both"/>
      </w:pPr>
      <w:r w:rsidRPr="000542FC">
        <w:t xml:space="preserve">ongoing ‘health checks’ to verify the overall status and ‘health’ of the network. </w:t>
      </w:r>
    </w:p>
    <w:p w14:paraId="157199BC" w14:textId="77777777" w:rsidR="00BA684B" w:rsidRPr="000542FC" w:rsidRDefault="00BA684B" w:rsidP="00BA684B">
      <w:pPr>
        <w:spacing w:after="153" w:line="259" w:lineRule="auto"/>
        <w:ind w:left="180"/>
      </w:pPr>
      <w:r w:rsidRPr="000542FC">
        <w:t xml:space="preserve"> </w:t>
      </w:r>
    </w:p>
    <w:p w14:paraId="150F6F2A" w14:textId="77777777" w:rsidR="00024384" w:rsidRDefault="00024384">
      <w:pPr>
        <w:rPr>
          <w:rFonts w:eastAsiaTheme="majorEastAsia" w:cstheme="majorBidi"/>
          <w:b/>
          <w:bCs/>
          <w:sz w:val="36"/>
          <w:szCs w:val="32"/>
        </w:rPr>
      </w:pPr>
      <w:r>
        <w:br w:type="page"/>
      </w:r>
    </w:p>
    <w:p w14:paraId="42236D81" w14:textId="5C35BFE4" w:rsidR="00BA684B" w:rsidRPr="000542FC" w:rsidRDefault="00BA684B" w:rsidP="00BA684B">
      <w:pPr>
        <w:pStyle w:val="Heading1"/>
        <w:ind w:left="292" w:hanging="307"/>
      </w:pPr>
      <w:r w:rsidRPr="000542FC">
        <w:lastRenderedPageBreak/>
        <w:t xml:space="preserve">Meetings </w:t>
      </w:r>
    </w:p>
    <w:p w14:paraId="642CCE25" w14:textId="75DF4C6B" w:rsidR="00BA684B" w:rsidRPr="000542FC" w:rsidRDefault="00BA684B" w:rsidP="00BA684B">
      <w:pPr>
        <w:ind w:left="-5"/>
      </w:pPr>
      <w:r w:rsidRPr="000542FC">
        <w:t xml:space="preserve">All meetings will be chaired by </w:t>
      </w:r>
      <w:r w:rsidR="00024384">
        <w:t>a rotating chair from the Group.</w:t>
      </w:r>
    </w:p>
    <w:p w14:paraId="25ED4AF1" w14:textId="61888191" w:rsidR="00BA684B" w:rsidRPr="000542FC" w:rsidRDefault="00BA684B" w:rsidP="00BA684B">
      <w:pPr>
        <w:ind w:left="-5"/>
      </w:pPr>
      <w:r w:rsidRPr="000542FC">
        <w:t xml:space="preserve">A meeting quorum will be </w:t>
      </w:r>
      <w:r w:rsidR="000D7003">
        <w:t>all</w:t>
      </w:r>
      <w:r w:rsidRPr="000542FC">
        <w:t xml:space="preserve"> members of the </w:t>
      </w:r>
      <w:r w:rsidR="00024384">
        <w:t>Governance</w:t>
      </w:r>
      <w:r w:rsidRPr="000542FC">
        <w:t xml:space="preserve"> group</w:t>
      </w:r>
      <w:r w:rsidR="000D7003">
        <w:t>, or their proxies.</w:t>
      </w:r>
    </w:p>
    <w:p w14:paraId="1B60CFCD" w14:textId="51456DE8" w:rsidR="00BA684B" w:rsidRPr="000542FC" w:rsidRDefault="00BA684B" w:rsidP="00BA684B">
      <w:pPr>
        <w:ind w:left="-5"/>
      </w:pPr>
      <w:r w:rsidRPr="000542FC">
        <w:t xml:space="preserve">Decisions </w:t>
      </w:r>
      <w:r w:rsidR="000D7003">
        <w:t xml:space="preserve">are </w:t>
      </w:r>
      <w:r w:rsidRPr="000542FC">
        <w:t xml:space="preserve">made by consensus (i.e. members are satisfied with the decision even though it may not be their first choice). If not possible, </w:t>
      </w:r>
      <w:r w:rsidR="00024384">
        <w:t>Governance</w:t>
      </w:r>
      <w:r w:rsidRPr="000542FC">
        <w:t xml:space="preserve"> group chair makes final decision </w:t>
      </w:r>
    </w:p>
    <w:p w14:paraId="6C10B38D" w14:textId="16717A1C" w:rsidR="00BA684B" w:rsidRPr="000542FC" w:rsidRDefault="00BA684B" w:rsidP="00BA684B">
      <w:pPr>
        <w:ind w:left="-5"/>
      </w:pPr>
      <w:r w:rsidRPr="000542FC">
        <w:t xml:space="preserve">Meeting agendas minutes will be provided by </w:t>
      </w:r>
      <w:r w:rsidR="000D7003">
        <w:t>James Hogan - FAME</w:t>
      </w:r>
      <w:r w:rsidRPr="000542FC">
        <w:t xml:space="preserve">, this includes: </w:t>
      </w:r>
    </w:p>
    <w:p w14:paraId="163B15F7" w14:textId="2DF9A285" w:rsidR="000D7003" w:rsidRDefault="00BA684B" w:rsidP="000D7003">
      <w:pPr>
        <w:pStyle w:val="ListParagraph"/>
        <w:numPr>
          <w:ilvl w:val="0"/>
          <w:numId w:val="14"/>
        </w:numPr>
        <w:spacing w:after="8" w:line="354" w:lineRule="auto"/>
        <w:ind w:right="2777"/>
      </w:pPr>
      <w:r w:rsidRPr="000542FC">
        <w:t xml:space="preserve">preparing agendas </w:t>
      </w:r>
      <w:r w:rsidR="000D7003">
        <w:t xml:space="preserve">and </w:t>
      </w:r>
      <w:r w:rsidRPr="000542FC">
        <w:t>supporting papers</w:t>
      </w:r>
    </w:p>
    <w:p w14:paraId="57C51E62" w14:textId="15FDF8F3" w:rsidR="00BA684B" w:rsidRPr="000542FC" w:rsidRDefault="00BA684B" w:rsidP="000D7003">
      <w:pPr>
        <w:pStyle w:val="ListParagraph"/>
        <w:numPr>
          <w:ilvl w:val="0"/>
          <w:numId w:val="14"/>
        </w:numPr>
        <w:spacing w:after="8" w:line="354" w:lineRule="auto"/>
        <w:ind w:right="2777"/>
      </w:pPr>
      <w:r w:rsidRPr="000542FC">
        <w:t>preparing meeting</w:t>
      </w:r>
      <w:r w:rsidR="000D7003">
        <w:t xml:space="preserve"> n</w:t>
      </w:r>
      <w:r w:rsidRPr="000542FC">
        <w:t xml:space="preserve">otes and information. </w:t>
      </w:r>
    </w:p>
    <w:p w14:paraId="402B80AD" w14:textId="4F3C72BF" w:rsidR="00BA684B" w:rsidRPr="000542FC" w:rsidRDefault="00BA684B" w:rsidP="00BA684B">
      <w:pPr>
        <w:ind w:left="-5"/>
      </w:pPr>
      <w:r w:rsidRPr="000542FC">
        <w:t xml:space="preserve">Meetings will be held </w:t>
      </w:r>
      <w:r w:rsidR="000D7003">
        <w:t>monthly</w:t>
      </w:r>
      <w:r w:rsidRPr="000542FC">
        <w:t xml:space="preserve">.  </w:t>
      </w:r>
    </w:p>
    <w:p w14:paraId="5FF435FA" w14:textId="77777777" w:rsidR="00BA684B" w:rsidRPr="000542FC" w:rsidRDefault="00BA684B" w:rsidP="00BA684B">
      <w:pPr>
        <w:ind w:left="-5"/>
      </w:pPr>
      <w:r w:rsidRPr="000542FC">
        <w:t xml:space="preserve">If required subgroup meetings will be arranged outside of these times at a time convenient to subgroup members.  </w:t>
      </w:r>
    </w:p>
    <w:p w14:paraId="36C79C73" w14:textId="77777777" w:rsidR="00BA684B" w:rsidRPr="000542FC" w:rsidRDefault="00BA684B" w:rsidP="00BA684B">
      <w:pPr>
        <w:spacing w:after="153" w:line="259" w:lineRule="auto"/>
      </w:pPr>
      <w:r w:rsidRPr="000542FC">
        <w:t xml:space="preserve"> </w:t>
      </w:r>
    </w:p>
    <w:p w14:paraId="22C9BF72" w14:textId="77777777" w:rsidR="00BA684B" w:rsidRPr="000542FC" w:rsidRDefault="00BA684B" w:rsidP="00BA684B">
      <w:pPr>
        <w:pStyle w:val="Heading1"/>
        <w:ind w:left="292" w:hanging="307"/>
      </w:pPr>
      <w:r w:rsidRPr="000542FC">
        <w:t xml:space="preserve">Amendment, Modification or Variation </w:t>
      </w:r>
    </w:p>
    <w:p w14:paraId="30C23FD2" w14:textId="5D0ADC55" w:rsidR="00BA684B" w:rsidRPr="000542FC" w:rsidRDefault="00BA684B" w:rsidP="00BA684B">
      <w:pPr>
        <w:spacing w:after="74"/>
        <w:ind w:left="-5"/>
      </w:pPr>
      <w:r w:rsidRPr="000542FC">
        <w:t xml:space="preserve">This Terms of Reference may be amended, varied or modified in writing after consultation and agreement by </w:t>
      </w:r>
      <w:r w:rsidR="00024384">
        <w:t>Governance</w:t>
      </w:r>
      <w:r w:rsidRPr="000542FC">
        <w:t xml:space="preserve"> Group members. </w:t>
      </w:r>
    </w:p>
    <w:p w14:paraId="23A4BD85" w14:textId="5B462F54" w:rsidR="002C6215" w:rsidRPr="002C6215" w:rsidRDefault="00BA684B" w:rsidP="0018512E">
      <w:pPr>
        <w:spacing w:after="0" w:line="259" w:lineRule="auto"/>
      </w:pPr>
      <w:r w:rsidRPr="000542FC">
        <w:rPr>
          <w:sz w:val="18"/>
        </w:rPr>
        <w:t xml:space="preserve"> </w:t>
      </w:r>
    </w:p>
    <w:sectPr w:rsidR="002C6215" w:rsidRPr="002C6215" w:rsidSect="00302A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440" w:right="1800" w:bottom="1440" w:left="1800" w:header="720" w:footer="720" w:gutter="0"/>
      <w:pgBorders w:offsetFrom="page">
        <w:bottom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506C3" w14:textId="77777777" w:rsidR="00920695" w:rsidRPr="000542FC" w:rsidRDefault="00920695">
      <w:pPr>
        <w:spacing w:after="0"/>
      </w:pPr>
      <w:r w:rsidRPr="000542FC">
        <w:separator/>
      </w:r>
    </w:p>
  </w:endnote>
  <w:endnote w:type="continuationSeparator" w:id="0">
    <w:p w14:paraId="413EC799" w14:textId="77777777" w:rsidR="00920695" w:rsidRPr="000542FC" w:rsidRDefault="00920695">
      <w:pPr>
        <w:spacing w:after="0"/>
      </w:pPr>
      <w:r w:rsidRPr="000542F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3708663"/>
      <w:docPartObj>
        <w:docPartGallery w:val="Page Numbers (Bottom of Page)"/>
        <w:docPartUnique/>
      </w:docPartObj>
    </w:sdtPr>
    <w:sdtEndPr/>
    <w:sdtContent>
      <w:p w14:paraId="1DDF8D72" w14:textId="25ACB955" w:rsidR="004E7FA2" w:rsidRPr="000542FC" w:rsidRDefault="004E7FA2">
        <w:pPr>
          <w:pStyle w:val="Footer"/>
          <w:jc w:val="center"/>
          <w:rPr>
            <w:sz w:val="28"/>
            <w:szCs w:val="32"/>
          </w:rPr>
        </w:pPr>
        <w:r w:rsidRPr="000542FC">
          <w:fldChar w:fldCharType="begin"/>
        </w:r>
        <w:r w:rsidRPr="000542FC">
          <w:instrText xml:space="preserve"> PAGE   \* MERGEFORMAT </w:instrText>
        </w:r>
        <w:r w:rsidRPr="000542FC">
          <w:fldChar w:fldCharType="separate"/>
        </w:r>
        <w:r w:rsidRPr="000542FC">
          <w:t>2</w:t>
        </w:r>
        <w:r w:rsidRPr="000542FC">
          <w:fldChar w:fldCharType="end"/>
        </w:r>
      </w:p>
    </w:sdtContent>
  </w:sdt>
  <w:p w14:paraId="0B927F3F" w14:textId="20ECE535" w:rsidR="00FE0BE0" w:rsidRPr="000542FC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8"/>
      </w:rPr>
      <w:id w:val="-1177891461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1B93E0C4" w14:textId="549B179A" w:rsidR="00BC6450" w:rsidRPr="000542FC" w:rsidRDefault="00BC6450">
        <w:pPr>
          <w:pStyle w:val="Footer"/>
          <w:jc w:val="center"/>
        </w:pPr>
        <w:r w:rsidRPr="000542FC">
          <w:fldChar w:fldCharType="begin"/>
        </w:r>
        <w:r w:rsidRPr="000542FC">
          <w:instrText xml:space="preserve"> PAGE   \* MERGEFORMAT </w:instrText>
        </w:r>
        <w:r w:rsidRPr="000542FC">
          <w:fldChar w:fldCharType="separate"/>
        </w:r>
        <w:r w:rsidRPr="000542FC">
          <w:t>2</w:t>
        </w:r>
        <w:r w:rsidRPr="000542FC">
          <w:fldChar w:fldCharType="end"/>
        </w:r>
      </w:p>
    </w:sdtContent>
  </w:sdt>
  <w:p w14:paraId="3C0F97E5" w14:textId="77777777" w:rsidR="00FE0BE0" w:rsidRPr="000542FC" w:rsidRDefault="00FE0BE0" w:rsidP="00BC6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35B12" w14:textId="77777777" w:rsidR="00920695" w:rsidRPr="000542FC" w:rsidRDefault="00920695">
      <w:r w:rsidRPr="000542FC">
        <w:separator/>
      </w:r>
    </w:p>
  </w:footnote>
  <w:footnote w:type="continuationSeparator" w:id="0">
    <w:p w14:paraId="3170EC2F" w14:textId="77777777" w:rsidR="00920695" w:rsidRPr="000542FC" w:rsidRDefault="00920695">
      <w:r w:rsidRPr="000542F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D6886" w14:textId="55B6E54F" w:rsidR="000625BA" w:rsidRPr="00024384" w:rsidRDefault="000D7003" w:rsidP="00024384">
    <w:pPr>
      <w:pStyle w:val="Header"/>
      <w:ind w:right="-1333"/>
      <w:jc w:val="right"/>
      <w:rPr>
        <w:i/>
        <w:iCs/>
        <w:color w:val="A6A6A6" w:themeColor="background1" w:themeShade="A6"/>
      </w:rPr>
    </w:pPr>
    <w:r w:rsidRPr="000542FC">
      <w:pict w14:anchorId="6554D7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7761766" o:spid="_x0000_s1026" type="#_x0000_t136" style="position:absolute;left:0;text-align:left;margin-left:0;margin-top:0;width:497.65pt;height:87.8pt;rotation:315;z-index:-251652608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NOT APPROVED"/>
          <w10:wrap anchorx="margin" anchory="margin"/>
        </v:shape>
      </w:pict>
    </w:r>
    <w:r w:rsidR="00EC55E3" w:rsidRPr="000542FC">
      <w:drawing>
        <wp:anchor distT="0" distB="0" distL="114300" distR="114300" simplePos="0" relativeHeight="251665408" behindDoc="0" locked="0" layoutInCell="1" allowOverlap="1" wp14:anchorId="785E2F50" wp14:editId="629CEE51">
          <wp:simplePos x="0" y="0"/>
          <wp:positionH relativeFrom="column">
            <wp:posOffset>-1371600</wp:posOffset>
          </wp:positionH>
          <wp:positionV relativeFrom="paragraph">
            <wp:posOffset>-451116</wp:posOffset>
          </wp:positionV>
          <wp:extent cx="7788275" cy="266700"/>
          <wp:effectExtent l="0" t="0" r="0" b="0"/>
          <wp:wrapNone/>
          <wp:docPr id="1569086092" name="Picture 15690860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384" w:rsidRPr="00024384">
      <w:t xml:space="preserve"> </w:t>
    </w:r>
    <w:r w:rsidR="00024384" w:rsidRPr="00024384">
      <w:rPr>
        <w:i/>
        <w:iCs/>
        <w:color w:val="A6A6A6" w:themeColor="background1" w:themeShade="A6"/>
      </w:rPr>
      <w:t>Pacific Regional Environmental Accounts Governance Group</w:t>
    </w:r>
  </w:p>
  <w:p w14:paraId="1D928028" w14:textId="67CBC4DA" w:rsidR="00FE0BE0" w:rsidRPr="000542FC" w:rsidRDefault="00FE0BE0" w:rsidP="000625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D71B6" w14:textId="6E149958" w:rsidR="00FE0BE0" w:rsidRPr="00024384" w:rsidRDefault="000D7003" w:rsidP="00024384">
    <w:pPr>
      <w:pStyle w:val="Header"/>
      <w:ind w:hanging="1418"/>
      <w:rPr>
        <w:i/>
        <w:iCs/>
        <w:color w:val="A6A6A6" w:themeColor="background1" w:themeShade="A6"/>
      </w:rPr>
    </w:pPr>
    <w:r w:rsidRPr="000542FC">
      <w:pict w14:anchorId="48F6D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7761767" o:spid="_x0000_s1027" type="#_x0000_t136" style="position:absolute;margin-left:0;margin-top:0;width:497.65pt;height:87.8pt;rotation:315;z-index:-251650560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NOT APPROVED"/>
          <w10:wrap anchorx="margin" anchory="margin"/>
        </v:shape>
      </w:pict>
    </w:r>
    <w:r w:rsidR="00EC55E3" w:rsidRPr="000542FC">
      <w:drawing>
        <wp:anchor distT="0" distB="0" distL="114300" distR="114300" simplePos="0" relativeHeight="251655168" behindDoc="0" locked="0" layoutInCell="1" allowOverlap="1" wp14:anchorId="1B71EE69" wp14:editId="238A7C74">
          <wp:simplePos x="0" y="0"/>
          <wp:positionH relativeFrom="column">
            <wp:posOffset>-1144270</wp:posOffset>
          </wp:positionH>
          <wp:positionV relativeFrom="paragraph">
            <wp:posOffset>-456713</wp:posOffset>
          </wp:positionV>
          <wp:extent cx="7788275" cy="2667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275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4384" w:rsidRPr="00024384">
      <w:t xml:space="preserve"> </w:t>
    </w:r>
    <w:r w:rsidR="00024384" w:rsidRPr="00024384">
      <w:rPr>
        <w:i/>
        <w:iCs/>
        <w:color w:val="A6A6A6" w:themeColor="background1" w:themeShade="A6"/>
      </w:rPr>
      <w:t>Pacific Regional Environmental Accounts Governance Group</w:t>
    </w:r>
    <w:r w:rsidR="00BC6450" w:rsidRPr="00024384">
      <w:rPr>
        <w:i/>
        <w:iCs/>
        <w:color w:val="A6A6A6" w:themeColor="background1" w:themeShade="A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0AF1" w14:textId="097C77C9" w:rsidR="00302AD9" w:rsidRPr="000542FC" w:rsidRDefault="000D7003">
    <w:pPr>
      <w:pStyle w:val="Header"/>
    </w:pPr>
    <w:r w:rsidRPr="000542FC">
      <w:pict w14:anchorId="3EFCF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7761765" o:spid="_x0000_s1025" type="#_x0000_t136" style="position:absolute;margin-left:0;margin-top:0;width:497.65pt;height:87.8pt;rotation:315;z-index:-25165465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Draft - NOT APPROVED"/>
          <w10:wrap anchorx="margin" anchory="margin"/>
        </v:shape>
      </w:pict>
    </w:r>
    <w:r w:rsidR="004E7FA2" w:rsidRPr="000542FC">
      <w:drawing>
        <wp:anchor distT="0" distB="0" distL="114300" distR="114300" simplePos="0" relativeHeight="251657216" behindDoc="1" locked="0" layoutInCell="1" allowOverlap="1" wp14:anchorId="3C24C5E2" wp14:editId="71036682">
          <wp:simplePos x="0" y="0"/>
          <wp:positionH relativeFrom="margin">
            <wp:posOffset>-1130877</wp:posOffset>
          </wp:positionH>
          <wp:positionV relativeFrom="paragraph">
            <wp:posOffset>-433078</wp:posOffset>
          </wp:positionV>
          <wp:extent cx="7541927" cy="1314450"/>
          <wp:effectExtent l="0" t="0" r="0" b="0"/>
          <wp:wrapNone/>
          <wp:docPr id="5" name="Picture 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927" cy="1314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1BF"/>
    <w:multiLevelType w:val="hybridMultilevel"/>
    <w:tmpl w:val="2A1CBA56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08F69E8"/>
    <w:multiLevelType w:val="hybridMultilevel"/>
    <w:tmpl w:val="7AE877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D5A3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65741"/>
    <w:multiLevelType w:val="hybridMultilevel"/>
    <w:tmpl w:val="36E45372"/>
    <w:lvl w:ilvl="0" w:tplc="31169C0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AE401"/>
    <w:multiLevelType w:val="multilevel"/>
    <w:tmpl w:val="A8E29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39890DBA"/>
    <w:multiLevelType w:val="hybridMultilevel"/>
    <w:tmpl w:val="9C68E5B2"/>
    <w:lvl w:ilvl="0" w:tplc="A9E2BE0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C77C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CC13CB"/>
    <w:multiLevelType w:val="hybridMultilevel"/>
    <w:tmpl w:val="EC6805C4"/>
    <w:lvl w:ilvl="0" w:tplc="0C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48E300DB"/>
    <w:multiLevelType w:val="hybridMultilevel"/>
    <w:tmpl w:val="DF0C931C"/>
    <w:lvl w:ilvl="0" w:tplc="7D386C7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506B6"/>
    <w:multiLevelType w:val="hybridMultilevel"/>
    <w:tmpl w:val="5D8AF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83B8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352EA5"/>
    <w:multiLevelType w:val="hybridMultilevel"/>
    <w:tmpl w:val="7BCE2848"/>
    <w:lvl w:ilvl="0" w:tplc="CCF6999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1603E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84CC6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C06818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20609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1B0A5E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FECF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77653F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F0EE4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E63475"/>
    <w:multiLevelType w:val="hybridMultilevel"/>
    <w:tmpl w:val="586EDF04"/>
    <w:lvl w:ilvl="0" w:tplc="2F0AF79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FD4DC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B2E21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22494E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05635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5F0E1C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A60EA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D2C37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29820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C3C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9B348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0667902">
    <w:abstractNumId w:val="4"/>
  </w:num>
  <w:num w:numId="2" w16cid:durableId="212280475">
    <w:abstractNumId w:val="1"/>
  </w:num>
  <w:num w:numId="3" w16cid:durableId="963316209">
    <w:abstractNumId w:val="2"/>
  </w:num>
  <w:num w:numId="4" w16cid:durableId="1063527880">
    <w:abstractNumId w:val="3"/>
  </w:num>
  <w:num w:numId="5" w16cid:durableId="1328440301">
    <w:abstractNumId w:val="10"/>
  </w:num>
  <w:num w:numId="6" w16cid:durableId="352875897">
    <w:abstractNumId w:val="13"/>
  </w:num>
  <w:num w:numId="7" w16cid:durableId="2064401553">
    <w:abstractNumId w:val="6"/>
  </w:num>
  <w:num w:numId="8" w16cid:durableId="770591970">
    <w:abstractNumId w:val="8"/>
  </w:num>
  <w:num w:numId="9" w16cid:durableId="117267032">
    <w:abstractNumId w:val="5"/>
  </w:num>
  <w:num w:numId="10" w16cid:durableId="247662922">
    <w:abstractNumId w:val="11"/>
  </w:num>
  <w:num w:numId="11" w16cid:durableId="1559515060">
    <w:abstractNumId w:val="12"/>
  </w:num>
  <w:num w:numId="12" w16cid:durableId="17783972">
    <w:abstractNumId w:val="7"/>
  </w:num>
  <w:num w:numId="13" w16cid:durableId="1567449623">
    <w:abstractNumId w:val="9"/>
  </w:num>
  <w:num w:numId="14" w16cid:durableId="53674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24384"/>
    <w:rsid w:val="0004295B"/>
    <w:rsid w:val="000542FC"/>
    <w:rsid w:val="000625BA"/>
    <w:rsid w:val="0008430B"/>
    <w:rsid w:val="000C5060"/>
    <w:rsid w:val="000D7003"/>
    <w:rsid w:val="000F3A6D"/>
    <w:rsid w:val="0010049E"/>
    <w:rsid w:val="0018512E"/>
    <w:rsid w:val="001A2493"/>
    <w:rsid w:val="001D3C2B"/>
    <w:rsid w:val="00256D65"/>
    <w:rsid w:val="0029224F"/>
    <w:rsid w:val="002A7B38"/>
    <w:rsid w:val="002B42A8"/>
    <w:rsid w:val="002C3724"/>
    <w:rsid w:val="002C6215"/>
    <w:rsid w:val="002D77EB"/>
    <w:rsid w:val="00302AD9"/>
    <w:rsid w:val="00307DAA"/>
    <w:rsid w:val="0031123D"/>
    <w:rsid w:val="003346AA"/>
    <w:rsid w:val="003811D7"/>
    <w:rsid w:val="003836D8"/>
    <w:rsid w:val="003D4EC7"/>
    <w:rsid w:val="00427B3A"/>
    <w:rsid w:val="0047794B"/>
    <w:rsid w:val="004909C1"/>
    <w:rsid w:val="00492A21"/>
    <w:rsid w:val="004E29B3"/>
    <w:rsid w:val="004E7FA2"/>
    <w:rsid w:val="0054487E"/>
    <w:rsid w:val="00550F77"/>
    <w:rsid w:val="0058551E"/>
    <w:rsid w:val="00590D07"/>
    <w:rsid w:val="005C6347"/>
    <w:rsid w:val="005E4326"/>
    <w:rsid w:val="00600F57"/>
    <w:rsid w:val="00602EF4"/>
    <w:rsid w:val="0061100D"/>
    <w:rsid w:val="00631E9C"/>
    <w:rsid w:val="0064758A"/>
    <w:rsid w:val="00675CEC"/>
    <w:rsid w:val="00680D48"/>
    <w:rsid w:val="006951B6"/>
    <w:rsid w:val="006A4213"/>
    <w:rsid w:val="006A6D0D"/>
    <w:rsid w:val="006C3442"/>
    <w:rsid w:val="007174DA"/>
    <w:rsid w:val="00742E6D"/>
    <w:rsid w:val="00784D58"/>
    <w:rsid w:val="00792C66"/>
    <w:rsid w:val="007A1FC3"/>
    <w:rsid w:val="007A25E4"/>
    <w:rsid w:val="007F6E58"/>
    <w:rsid w:val="008408D6"/>
    <w:rsid w:val="008D4397"/>
    <w:rsid w:val="008D6863"/>
    <w:rsid w:val="008F27FB"/>
    <w:rsid w:val="00901A09"/>
    <w:rsid w:val="009116AE"/>
    <w:rsid w:val="00920695"/>
    <w:rsid w:val="0092379D"/>
    <w:rsid w:val="009A1802"/>
    <w:rsid w:val="009C3922"/>
    <w:rsid w:val="009C3C6C"/>
    <w:rsid w:val="009E6AEC"/>
    <w:rsid w:val="009F287E"/>
    <w:rsid w:val="00A2743B"/>
    <w:rsid w:val="00A4768A"/>
    <w:rsid w:val="00A517C0"/>
    <w:rsid w:val="00A66767"/>
    <w:rsid w:val="00A917BB"/>
    <w:rsid w:val="00A91C46"/>
    <w:rsid w:val="00A923A1"/>
    <w:rsid w:val="00AA4664"/>
    <w:rsid w:val="00AB2CAF"/>
    <w:rsid w:val="00AD57C0"/>
    <w:rsid w:val="00B34274"/>
    <w:rsid w:val="00B45535"/>
    <w:rsid w:val="00B504C0"/>
    <w:rsid w:val="00B86B75"/>
    <w:rsid w:val="00BA684B"/>
    <w:rsid w:val="00BC48D5"/>
    <w:rsid w:val="00BC6450"/>
    <w:rsid w:val="00BE06AD"/>
    <w:rsid w:val="00C1614F"/>
    <w:rsid w:val="00C36279"/>
    <w:rsid w:val="00C608F5"/>
    <w:rsid w:val="00C62593"/>
    <w:rsid w:val="00C71DE2"/>
    <w:rsid w:val="00CF3583"/>
    <w:rsid w:val="00CF3F35"/>
    <w:rsid w:val="00D14FEA"/>
    <w:rsid w:val="00D265AF"/>
    <w:rsid w:val="00D6748A"/>
    <w:rsid w:val="00DD5733"/>
    <w:rsid w:val="00DE466A"/>
    <w:rsid w:val="00E25AF1"/>
    <w:rsid w:val="00E315A3"/>
    <w:rsid w:val="00E3354D"/>
    <w:rsid w:val="00E46F2B"/>
    <w:rsid w:val="00E719EA"/>
    <w:rsid w:val="00EC55E3"/>
    <w:rsid w:val="00ED2818"/>
    <w:rsid w:val="00F0766D"/>
    <w:rsid w:val="00F541A0"/>
    <w:rsid w:val="00F5717D"/>
    <w:rsid w:val="00F62245"/>
    <w:rsid w:val="00F85740"/>
    <w:rsid w:val="00FE0BE0"/>
    <w:rsid w:val="00FF1A42"/>
    <w:rsid w:val="00FF4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B8B9433"/>
  <w15:docId w15:val="{7837A3E8-C2B7-443B-8ECF-36280A31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060"/>
    <w:rPr>
      <w:rFonts w:ascii="Calibri" w:hAnsi="Calibri"/>
      <w:sz w:val="22"/>
      <w:lang w:val="en-NZ"/>
    </w:rPr>
  </w:style>
  <w:style w:type="paragraph" w:styleId="Heading1">
    <w:name w:val="heading 1"/>
    <w:basedOn w:val="Normal"/>
    <w:next w:val="BodyText"/>
    <w:uiPriority w:val="9"/>
    <w:qFormat/>
    <w:rsid w:val="006951B6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6951B6"/>
    <w:pPr>
      <w:spacing w:before="200"/>
      <w:outlineLvl w:val="1"/>
    </w:pPr>
    <w:rPr>
      <w:b w:val="0"/>
      <w:bCs w:val="0"/>
      <w:i/>
      <w:sz w:val="28"/>
      <w:szCs w:val="28"/>
    </w:rPr>
  </w:style>
  <w:style w:type="paragraph" w:styleId="Heading3">
    <w:name w:val="heading 3"/>
    <w:basedOn w:val="Heading1"/>
    <w:next w:val="BodyText"/>
    <w:uiPriority w:val="9"/>
    <w:unhideWhenUsed/>
    <w:qFormat/>
    <w:rsid w:val="006951B6"/>
    <w:pPr>
      <w:spacing w:before="200"/>
      <w:outlineLvl w:val="2"/>
    </w:pPr>
    <w:rPr>
      <w:b w:val="0"/>
      <w:bCs w:val="0"/>
      <w:i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6951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E7FA2"/>
    <w:pPr>
      <w:spacing w:after="180" w:line="288" w:lineRule="auto"/>
      <w:jc w:val="both"/>
    </w:pPr>
    <w:rPr>
      <w:rFonts w:cs="Kaling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8551E"/>
    <w:pPr>
      <w:spacing w:after="0" w:line="240" w:lineRule="auto"/>
    </w:pPr>
    <w:rPr>
      <w:sz w:val="18"/>
    </w:rPr>
  </w:style>
  <w:style w:type="paragraph" w:styleId="Title">
    <w:name w:val="Title"/>
    <w:basedOn w:val="Normal"/>
    <w:next w:val="BodyText"/>
    <w:qFormat/>
    <w:rsid w:val="00F541A0"/>
    <w:pPr>
      <w:keepNext/>
      <w:keepLines/>
      <w:spacing w:before="2280" w:after="600"/>
      <w:jc w:val="center"/>
    </w:pPr>
    <w:rPr>
      <w:rFonts w:eastAsiaTheme="majorEastAsia" w:cstheme="majorBidi"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F3583"/>
    <w:pPr>
      <w:spacing w:after="0"/>
    </w:pPr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0BE0"/>
  </w:style>
  <w:style w:type="paragraph" w:styleId="Footer">
    <w:name w:val="footer"/>
    <w:basedOn w:val="Normal"/>
    <w:link w:val="FooterChar"/>
    <w:uiPriority w:val="99"/>
    <w:unhideWhenUsed/>
    <w:rsid w:val="00FE0BE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0BE0"/>
  </w:style>
  <w:style w:type="character" w:styleId="PlaceholderText">
    <w:name w:val="Placeholder Text"/>
    <w:basedOn w:val="DefaultParagraphFont"/>
    <w:semiHidden/>
    <w:rsid w:val="00FE0BE0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D2818"/>
    <w:pPr>
      <w:spacing w:before="360" w:after="0"/>
    </w:pPr>
    <w:rPr>
      <w:rFonts w:asciiTheme="majorHAnsi" w:hAnsiTheme="majorHAnsi" w:cstheme="majorHAnsi"/>
      <w:b/>
      <w:bCs/>
      <w:caps/>
      <w:sz w:val="24"/>
    </w:rPr>
  </w:style>
  <w:style w:type="paragraph" w:styleId="TOC2">
    <w:name w:val="toc 2"/>
    <w:basedOn w:val="Normal"/>
    <w:next w:val="Normal"/>
    <w:autoRedefine/>
    <w:unhideWhenUsed/>
    <w:rsid w:val="00ED2818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nhideWhenUsed/>
    <w:rsid w:val="00ED2818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ED2818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ED281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ED281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ED281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ED281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ED2818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rsid w:val="0005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3157-3C50-48CB-8162-5D51271F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Hogan</dc:creator>
  <cp:keywords/>
  <cp:lastModifiedBy>James Hogan</cp:lastModifiedBy>
  <cp:revision>3</cp:revision>
  <dcterms:created xsi:type="dcterms:W3CDTF">2025-08-27T01:50:00Z</dcterms:created>
  <dcterms:modified xsi:type="dcterms:W3CDTF">2025-08-27T02:33:00Z</dcterms:modified>
</cp:coreProperties>
</file>