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121.png" ContentType="image/png"/>
  <Override PartName="/word/media/rId61.png" ContentType="image/png"/>
  <Override PartName="/word/media/rId73.png" ContentType="image/png"/>
  <Override PartName="/word/media/rId77.png" ContentType="image/png"/>
  <Override PartName="/word/media/rId57.png" ContentType="image/png"/>
  <Override PartName="/word/media/rId81.png" ContentType="image/png"/>
  <Override PartName="/word/media/rId93.png" ContentType="image/png"/>
  <Override PartName="/word/media/rId35.png" ContentType="image/png"/>
  <Override PartName="/word/media/rId98.png" ContentType="image/png"/>
  <Override PartName="/word/media/rId65.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r>
        <w:t xml:space="preserve"> </w:t>
      </w:r>
      <w:r>
        <w:t xml:space="preserve">Incorporating Ocean Accounts</w:t>
      </w:r>
    </w:p>
    <w:p>
      <w:pPr>
        <w:pStyle w:val="Subtitle"/>
      </w:pPr>
      <w:r>
        <w:t xml:space="preserve">An SPC Digital Earth Pacific Data Source and Foundation Augmented with FAME and GEM Data</w:t>
      </w:r>
    </w:p>
    <w:p>
      <w:pPr>
        <w:pStyle w:val="Author"/>
      </w:pPr>
      <w:r>
        <w:t xml:space="preserve">FAME Economics</w:t>
      </w:r>
    </w:p>
    <w:p>
      <w:pPr>
        <w:pStyle w:val="Date"/>
      </w:pPr>
      <w:r>
        <w:t xml:space="preserve">31 July 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executive-summary"/>
    <w:p>
      <w:pPr>
        <w:pStyle w:val="Heading1"/>
      </w:pPr>
      <w:r>
        <w:rPr>
          <w:rStyle w:val="SectionNumber"/>
        </w:rPr>
        <w:t xml:space="preserve">1</w:t>
      </w:r>
      <w:r>
        <w:tab/>
      </w:r>
      <w:r>
        <w:t xml:space="preserve">Executive Summary</w:t>
      </w:r>
    </w:p>
    <w:p>
      <w:r>
        <w:br w:type="page"/>
      </w:r>
    </w:p>
    <w:bookmarkEnd w:id="20"/>
    <w:bookmarkStart w:id="44" w:name="background-and-context"/>
    <w:p>
      <w:pPr>
        <w:pStyle w:val="Heading1"/>
      </w:pPr>
      <w:r>
        <w:rPr>
          <w:rStyle w:val="SectionNumber"/>
        </w:rPr>
        <w:t xml:space="preserve">2</w:t>
      </w:r>
      <w:r>
        <w:tab/>
      </w:r>
      <w:r>
        <w:t xml:space="preserve">Background and context</w:t>
      </w:r>
    </w:p>
    <w:p>
      <w:pPr>
        <w:pStyle w:val="FirstParagraph"/>
      </w:pPr>
      <w:r>
        <w:t xml:space="preserve">A</w:t>
      </w:r>
      <w:r>
        <w:t xml:space="preserve"> </w:t>
      </w:r>
      <w:r>
        <w:t xml:space="preserve">“confluence of factors”</w:t>
      </w:r>
      <w:r>
        <w:t xml:space="preserve"> </w:t>
      </w:r>
      <w:r>
        <w:t xml:space="preserve">have come together for this paper.</w:t>
      </w:r>
    </w:p>
    <w:p>
      <w:pPr>
        <w:pStyle w:val="BodyText"/>
      </w:pPr>
      <w:r>
        <w:t xml:space="preserve">Firstly, despite climate changing being an existential threat for Pacific nations</w:t>
      </w:r>
      <w:r>
        <w:rPr>
          <w:rStyle w:val="FootnoteReference"/>
        </w:rPr>
        <w:footnoteReference w:id="21"/>
      </w:r>
      <w:r>
        <w:t xml:space="preserve">, the standard economic metrics developed according to international frameworks have not served Pacific Island Countries and Territories (PICTs) well. A better measurement framework is needed, and this paper suggests that framework be based of the System of Environmental-Economic Accounts - Central Framework 2012 (SEEA-CF).</w:t>
      </w:r>
    </w:p>
    <w:p>
      <w:pPr>
        <w:pStyle w:val="BodyText"/>
      </w:pPr>
      <w:r>
        <w:t xml:space="preserve">Secondly, in an age where earth-observing satellite systems encompass the planet, the cost of employing remote-sensing satellite technologies for statistically measuring the environment is now relatively low. Efficiencies can be gained through employing The Pacific Community’s Digital Earth Pacific (DEP) geospatial system as a data measurment tool to measure the SEEA-CF dimensions of member country all at once.</w:t>
      </w:r>
    </w:p>
    <w:p>
      <w:pPr>
        <w:pStyle w:val="BodyText"/>
      </w:pPr>
      <w:r>
        <w:t xml:space="preserve">Thirdly, developing a centrally estimated suite of SEEA-CF accounts using remote-sensing lays a preparatory foundation for measuring member country marine-based biodiversity. Environmental Accounts provide an evidence-based framework for the development of markets in the protection of biodiversity, creating a funding source that becomes more valuable</w:t>
      </w:r>
      <w:r>
        <w:t xml:space="preserve"> </w:t>
      </w:r>
      <w:r>
        <w:rPr>
          <w:i/>
          <w:iCs/>
        </w:rPr>
        <w:t xml:space="preserve">with</w:t>
      </w:r>
      <w:r>
        <w:t xml:space="preserve"> </w:t>
      </w:r>
      <w:r>
        <w:t xml:space="preserve">climate change.</w:t>
      </w:r>
    </w:p>
    <w:bookmarkStart w:id="29" w:name="Xe2b2946bea240415a0c2c90e7cf6ef1e84d7530"/>
    <w:p>
      <w:pPr>
        <w:pStyle w:val="Heading2"/>
      </w:pPr>
      <w:r>
        <w:t xml:space="preserve">Climate change needs a better suite of metrics</w:t>
      </w:r>
    </w:p>
    <w:p>
      <w:pPr>
        <w:pStyle w:val="FirstParagraph"/>
      </w:pPr>
      <w:r>
        <w:t xml:space="preserve">For most of the 20th century, and up until relatively recently into the 21st century, the environment’s contribution to economic production had received little statistical measurement attention.</w:t>
      </w:r>
    </w:p>
    <w:p>
      <w:pPr>
        <w:pStyle w:val="BodyText"/>
      </w:pPr>
      <w:r>
        <w:t xml:space="preserve">What was becoming</w:t>
      </w:r>
      <w:r>
        <w:t xml:space="preserve"> </w:t>
      </w:r>
      <w:r>
        <w:rPr>
          <w:i/>
          <w:iCs/>
        </w:rPr>
        <w:t xml:space="preserve">Issue de Jure</w:t>
      </w:r>
      <w:r>
        <w:t xml:space="preserve"> </w:t>
      </w:r>
      <w:r>
        <w:t xml:space="preserve">for countries - climate change - came onto the national accounting statistical radar in 1987 with the publication of the</w:t>
      </w:r>
      <w:r>
        <w:t xml:space="preserve"> </w:t>
      </w:r>
      <w:r>
        <w:rPr>
          <w:i/>
          <w:iCs/>
        </w:rPr>
        <w:t xml:space="preserve">Brudtland Report</w:t>
      </w:r>
      <w:r>
        <w:t xml:space="preserve">.</w:t>
      </w:r>
      <w:r>
        <w:rPr>
          <w:rStyle w:val="FootnoteReference"/>
        </w:rPr>
        <w:footnoteReference w:id="23"/>
      </w:r>
      <w:r>
        <w:t xml:space="preserve"> </w:t>
      </w:r>
      <w:r>
        <w:t xml:space="preserve">The latest statistical framework with its origins from that report is the United Nations System of Environmental-Economic Accounts - Central Framework (SEEA-CF)</w:t>
      </w:r>
      <w:r>
        <w:rPr>
          <w:rStyle w:val="FootnoteReference"/>
        </w:rPr>
        <w:footnoteReference w:id="25"/>
      </w:r>
      <w:r>
        <w:t xml:space="preserve">: a robust suite of measures that both supports the System of National Accounts</w:t>
      </w:r>
      <w:r>
        <w:rPr>
          <w:rStyle w:val="FootnoteReference"/>
        </w:rPr>
        <w:footnoteReference w:id="27"/>
      </w:r>
      <w:r>
        <w:t xml:space="preserve"> </w:t>
      </w:r>
      <w:r>
        <w:t xml:space="preserve">(SNA) measures and reflects SNA principals.</w:t>
      </w:r>
    </w:p>
    <w:p>
      <w:pPr>
        <w:pStyle w:val="BodyText"/>
      </w:pPr>
      <w:r>
        <w:t xml:space="preserve">SEEA-CF and its theoretical companion, the System of Environmental-Economic Accounts - Exosystem Accounting (SEEA-EA), create a suite of environmental statistical measures that complement the economics metrics from the SNA. Countries now have the</w:t>
      </w:r>
      <w:r>
        <w:t xml:space="preserve"> </w:t>
      </w:r>
      <w:r>
        <w:rPr>
          <w:i/>
          <w:iCs/>
        </w:rPr>
        <w:t xml:space="preserve">theoretical</w:t>
      </w:r>
      <w:r>
        <w:t xml:space="preserve"> </w:t>
      </w:r>
      <w:r>
        <w:t xml:space="preserve">tools for connecting changes in their economic systems to environmental changes, and (importantly)</w:t>
      </w:r>
      <w:r>
        <w:t xml:space="preserve"> </w:t>
      </w:r>
      <w:r>
        <w:rPr>
          <w:b/>
          <w:bCs/>
          <w:i/>
          <w:iCs/>
        </w:rPr>
        <w:t xml:space="preserve">vice versa</w:t>
      </w:r>
      <w:r>
        <w:t xml:space="preserve">.</w:t>
      </w:r>
    </w:p>
    <w:bookmarkEnd w:id="29"/>
    <w:bookmarkStart w:id="32" w:name="X80f60efa5582636e29629d9a76b03c18448f514"/>
    <w:p>
      <w:pPr>
        <w:pStyle w:val="Heading2"/>
      </w:pPr>
      <w:r>
        <w:t xml:space="preserve">Weather extremes regularly destroy PICT land-based capital…</w:t>
      </w:r>
    </w:p>
    <w:p>
      <w:pPr>
        <w:pStyle w:val="FirstParagraph"/>
      </w:pPr>
      <w:r>
        <w:t xml:space="preserve">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scarce resources from more productive alternative uses.</w:t>
      </w:r>
    </w:p>
    <w:p>
      <w:pPr>
        <w:pStyle w:val="BodyText"/>
      </w:pPr>
      <w:r>
        <w:t xml:space="preserve">The latest statistics from Kiribati’</w:t>
      </w:r>
      <w:r>
        <w:t xml:space="preserve"> </w:t>
      </w:r>
      <w:r>
        <w:t xml:space="preserve">“Kiribati Natural Disasters and Climate Change Survey Report 2023–2024”</w:t>
      </w:r>
      <w:r>
        <w:rPr>
          <w:rStyle w:val="FootnoteReference"/>
        </w:rPr>
        <w:footnoteReference w:id="30"/>
      </w:r>
      <w:r>
        <w:t xml:space="preserve"> </w:t>
      </w:r>
      <w:r>
        <w:t xml:space="preserve">provides some scale to how climate change is impacting PICTs.</w:t>
      </w:r>
    </w:p>
    <w:p>
      <w:pPr>
        <w:pStyle w:val="BodyText"/>
      </w:pPr>
      <w:r>
        <w:t xml:space="preserve">During the 2023–2024 period:</w:t>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32"/>
    <w:bookmarkStart w:id="34" w:name="X05d3cebac7e98ead842194afd0593c09eafb164"/>
    <w:p>
      <w:pPr>
        <w:pStyle w:val="Heading2"/>
      </w:pPr>
      <w:r>
        <w:t xml:space="preserve">… while ocean-based capital is more weather resilient</w:t>
      </w:r>
    </w:p>
    <w:p>
      <w:pPr>
        <w:pStyle w:val="FirstParagraph"/>
      </w:pPr>
      <w:r>
        <w:t xml:space="preserve">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independent of their land-based capital.</w:t>
      </w:r>
    </w:p>
    <w:p>
      <w:pPr>
        <w:pStyle w:val="BodyText"/>
      </w:pPr>
      <w:r>
        <w:t xml:space="preserve">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$US463.66 million per year over the last 10 years from fishing license fees of tuna alone.</w:t>
      </w:r>
    </w:p>
    <w:p>
      <w:pPr>
        <w:pStyle w:val="TableCaption"/>
      </w:pPr>
      <w:bookmarkStart w:id="33" w:name="tab:LicenseRevenues"/>
      <w:bookmarkEnd w:id="33"/>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700"/>
        <w:gridCol w:w="540"/>
        <w:gridCol w:w="540"/>
        <w:gridCol w:w="540"/>
        <w:gridCol w:w="540"/>
        <w:gridCol w:w="540"/>
        <w:gridCol w:w="540"/>
        <w:gridCol w:w="450"/>
        <w:gridCol w:w="540"/>
        <w:gridCol w:w="540"/>
        <w:gridCol w:w="450"/>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Total Fishing License Revenue</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While the ocean is facing its own climate-related issues, having a</w:t>
      </w:r>
      <w:r>
        <w:t xml:space="preserve"> </w:t>
      </w:r>
      <w:r>
        <w:t xml:space="preserve">“sea-based”</w:t>
      </w:r>
      <w:r>
        <w:t xml:space="preserve"> </w:t>
      </w:r>
      <w:r>
        <w:t xml:space="preserve">alternative revenue source to more traditional</w:t>
      </w:r>
      <w:r>
        <w:t xml:space="preserve"> </w:t>
      </w:r>
      <w:r>
        <w:t xml:space="preserve">“land-based”</w:t>
      </w:r>
      <w:r>
        <w:t xml:space="preserve"> </w:t>
      </w:r>
      <w:r>
        <w:t xml:space="preserve">economic activity acts like a form of insurance against depending on one type of revenue source alone.</w:t>
      </w:r>
    </w:p>
    <w:bookmarkEnd w:id="34"/>
    <w:bookmarkStart w:id="39" w:name="Xf22ae90a6531a2484e42cf05b7b47a65bc1731b"/>
    <w:p>
      <w:pPr>
        <w:pStyle w:val="Heading2"/>
      </w:pPr>
      <w:r>
        <w:t xml:space="preserve">The value of simulatenously measuring both the enviromental and the economic system is high</w:t>
      </w:r>
    </w:p>
    <w:p>
      <w:pPr>
        <w:pStyle w:val="FirstParagraph"/>
      </w:pPr>
      <w:r>
        <w:t xml:space="preserve">Unlike large countries with larger land areas, the scarcity of land for PICTs relative to the area of their Exclusive Economic Zones (EEZ) implies the bulk of exploitable economic resources are marine-based. For PICTs, SEEA-CF allows countries to understand how value is created within their environment, and how their environment shapes their future economic opportunities.</w:t>
      </w:r>
    </w:p>
    <w:p>
      <w:pPr>
        <w:pStyle w:val="CaptionedFigure"/>
      </w:pPr>
      <w:r>
        <w:drawing>
          <wp:inline>
            <wp:extent cx="6588125" cy="4407983"/>
            <wp:effectExtent b="0" l="0" r="0" t="0"/>
            <wp:docPr descr="Figure 1: Distribution of countries by land size relative to EEZ size (World Bank Groupings)" title="" id="36" name="Picture"/>
            <a:graphic>
              <a:graphicData uri="http://schemas.openxmlformats.org/drawingml/2006/picture">
                <pic:pic>
                  <pic:nvPicPr>
                    <pic:cNvPr descr="Graphical_Output/Relative%20Land%20Area%20to%20EEZ.png" id="37" name="Picture"/>
                    <pic:cNvPicPr>
                      <a:picLocks noChangeArrowheads="1" noChangeAspect="1"/>
                    </pic:cNvPicPr>
                  </pic:nvPicPr>
                  <pic:blipFill>
                    <a:blip r:embed="rId35"/>
                    <a:stretch>
                      <a:fillRect/>
                    </a:stretch>
                  </pic:blipFill>
                  <pic:spPr bwMode="auto">
                    <a:xfrm>
                      <a:off x="0" y="0"/>
                      <a:ext cx="6588125" cy="4407983"/>
                    </a:xfrm>
                    <a:prstGeom prst="rect">
                      <a:avLst/>
                    </a:prstGeom>
                    <a:noFill/>
                    <a:ln w="9525">
                      <a:noFill/>
                      <a:headEnd/>
                      <a:tailEnd/>
                    </a:ln>
                  </pic:spPr>
                </pic:pic>
              </a:graphicData>
            </a:graphic>
          </wp:inline>
        </w:drawing>
      </w:r>
    </w:p>
    <w:p>
      <w:pPr>
        <w:pStyle w:val="ImageCaption"/>
      </w:pPr>
      <w:bookmarkStart w:id="38" w:name="fig:unnamed-chunk-1"/>
      <w:bookmarkEnd w:id="38"/>
      <w:r>
        <w:t xml:space="preserve">Figure 1: Distribution of countries by land size relative to EEZ size (World Bank Groupings)</w:t>
      </w:r>
    </w:p>
    <w:p>
      <w:pPr>
        <w:pStyle w:val="BodyText"/>
      </w:pPr>
      <w:r>
        <w:rPr>
          <w:i/>
          <w:iCs/>
        </w:rPr>
        <w:t xml:space="preserve">Note:* These are: Clipperton Island, Maldives, Mauritius, Saint Helena, Seychelles, South Georgia and the South Sandwich Islands</w:t>
      </w:r>
    </w:p>
    <w:bookmarkEnd w:id="39"/>
    <w:bookmarkStart w:id="40" w:name="Xdc1944e2e213dfaef5242b2c86bfb232af90ee5"/>
    <w:p>
      <w:pPr>
        <w:pStyle w:val="Heading2"/>
      </w:pPr>
      <w:r>
        <w:t xml:space="preserve">… and the cost of remote sensing is relatively low</w:t>
      </w:r>
    </w:p>
    <w:p>
      <w:pPr>
        <w:pStyle w:val="FirstParagraph"/>
      </w:pPr>
      <w:r>
        <w:t xml:space="preserve">The Pacific Community’s (SPC) Digital Earth Pacific (DEP) platform is capable of measuring member country environmental assets through remote-sensing.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bookmarkEnd w:id="40"/>
    <w:bookmarkStart w:id="42" w:name="X9e046a3a3f484c37fd7e0af9a816709c56e04ac"/>
    <w:p>
      <w:pPr>
        <w:pStyle w:val="Heading2"/>
      </w:pPr>
      <w:r>
        <w:t xml:space="preserve">Markets in biodiversity: Unlocking the real Blue Pacific Prosperity</w:t>
      </w:r>
    </w:p>
    <w:p>
      <w:pPr>
        <w:pStyle w:val="FirstParagraph"/>
      </w:pPr>
      <w:r>
        <w:t xml:space="preserve">The end-goal for introducing SEEA measurement into pacific countries is to create a capability and a measurement platform for data sources that could measure pacific-oceanwide</w:t>
      </w:r>
      <w:r>
        <w:t xml:space="preserve"> </w:t>
      </w:r>
      <w:r>
        <w:rPr>
          <w:i/>
          <w:iCs/>
        </w:rPr>
        <w:t xml:space="preserve">biodiversity</w:t>
      </w:r>
      <w:r>
        <w:t xml:space="preserve"> </w:t>
      </w:r>
      <w:r>
        <w:t xml:space="preserve">and enable economic markets in biodiversity conservation to develop.</w:t>
      </w:r>
    </w:p>
    <w:p>
      <w:pPr>
        <w:pStyle w:val="BodyText"/>
      </w:pPr>
      <w:r>
        <w:t xml:space="preserve">Biodiversity, centrally and consistently measured using authoritative and scientifically valid data sources, offers a new source for establishing markets in conservation and biodiversity protection. Somewhat ironically, as climate change worsens, the most increasingly valuable aspect of the Pacific Ocean could become the continued existence of its rich and life-sustaining biodiversity.</w:t>
      </w:r>
    </w:p>
    <w:p>
      <w:pPr>
        <w:pStyle w:val="BodyText"/>
      </w:pPr>
      <w:r>
        <w:t xml:space="preserve">While climate change negatively impacts habitats, protecting existing habitats and preserving biodiversity becomes increasingly more valuable in harsher and more extreme world environment. If biodiversity and biodiverse areas can be readily identified, and their</w:t>
      </w:r>
      <w:r>
        <w:t xml:space="preserve"> </w:t>
      </w:r>
      <w:r>
        <w:t xml:space="preserve">“level”</w:t>
      </w:r>
      <w:r>
        <w:t xml:space="preserve"> </w:t>
      </w:r>
      <w:r>
        <w:t xml:space="preserve">and</w:t>
      </w:r>
      <w:r>
        <w:t xml:space="preserve"> </w:t>
      </w:r>
      <w:r>
        <w:t xml:space="preserve">“difference”</w:t>
      </w:r>
      <w:r>
        <w:t xml:space="preserve"> </w:t>
      </w:r>
      <w:r>
        <w:t xml:space="preserve">in biodiversity readily assessed, then the protection and expansion in those areas is valuable in a climatically changing world, and its conservation a future PICT revenue source.</w:t>
      </w:r>
    </w:p>
    <w:p>
      <w:pPr>
        <w:pStyle w:val="BodyText"/>
      </w:pPr>
      <w:r>
        <w:t xml:space="preserve">Not only would biodiverse areas be identified, but</w:t>
      </w:r>
      <w:r>
        <w:t xml:space="preserve"> </w:t>
      </w:r>
      <w:r>
        <w:rPr>
          <w:i/>
          <w:iCs/>
        </w:rPr>
        <w:t xml:space="preserve">non-biodiverse</w:t>
      </w:r>
      <w:r>
        <w:t xml:space="preserve"> </w:t>
      </w:r>
      <w:r>
        <w:t xml:space="preserve">areas would also become identified. In non-biodiverse areas, alternative uses of the marine environment (like offshore oil exploration, or maritime transport paths) might be activities whose benefits outweigh their impacts on the environment.</w:t>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41">
        <w:r>
          <w:rPr>
            <w:rStyle w:val="Hyperlink"/>
          </w:rPr>
          <w:t xml:space="preserve">Villasenor-Derbez, Costello, and Plantinga, 2024</w:t>
        </w:r>
      </w:hyperlink>
      <w:r>
        <w:t xml:space="preserve">)</w:t>
      </w:r>
    </w:p>
    <w:bookmarkEnd w:id="42"/>
    <w:bookmarkStart w:id="43" w:name="this-is-our-collective-efforts"/>
    <w:p>
      <w:pPr>
        <w:pStyle w:val="Heading2"/>
      </w:pPr>
      <w:r>
        <w:t xml:space="preserve">This is our collective efforts</w:t>
      </w:r>
    </w:p>
    <w:p>
      <w:pPr>
        <w:pStyle w:val="FirstParagraph"/>
      </w:pPr>
      <w:r>
        <w:t xml:space="preserve">This paper outlines how SPC’s data sources might be leveraged to create an initial suite of Environmental-Economic Accounts for our Pacific member countries. It is the collective product from almost all of SPC’s divisions</w:t>
      </w:r>
    </w:p>
    <w:p>
      <w:pPr>
        <w:numPr>
          <w:ilvl w:val="0"/>
          <w:numId w:val="1002"/>
        </w:numPr>
      </w:pPr>
      <w:r>
        <w:t xml:space="preserve">Its impetus started in Fisheries, Aquatic and Marine Environment (FAME) Division, who is also contributing the ocean-based aquatic life data sources and measures.</w:t>
      </w:r>
    </w:p>
    <w:p>
      <w:pPr>
        <w:numPr>
          <w:ilvl w:val="0"/>
          <w:numId w:val="1002"/>
        </w:numPr>
      </w:pPr>
      <w:r>
        <w:t xml:space="preserve">Digital Earth Pacific, mineral resources and maritime transport activity data is supplied by the Geoscience, Energy and Marine (GEM) Division.</w:t>
      </w:r>
    </w:p>
    <w:p>
      <w:pPr>
        <w:numPr>
          <w:ilvl w:val="0"/>
          <w:numId w:val="1002"/>
        </w:numPr>
      </w:pPr>
      <w:r>
        <w:t xml:space="preserve">The Land Resources Division (LRD) is guiding the development of the land use metrics.</w:t>
      </w:r>
    </w:p>
    <w:p>
      <w:pPr>
        <w:numPr>
          <w:ilvl w:val="0"/>
          <w:numId w:val="1002"/>
        </w:numPr>
      </w:pPr>
      <w:r>
        <w:t xml:space="preserve">Climate Change and Environmental Sustainability (CCES) Division are guiding the use of the metrics for member countries.</w:t>
      </w:r>
    </w:p>
    <w:p>
      <w:pPr>
        <w:numPr>
          <w:ilvl w:val="0"/>
          <w:numId w:val="1002"/>
        </w:numPr>
      </w:pPr>
      <w:r>
        <w:t xml:space="preserve">The Statistics for Development Division (SDD) is providing oversight of the validity and compliance of the SEEA-based statistical measures.</w:t>
      </w:r>
    </w:p>
    <w:p>
      <w:r>
        <w:br w:type="page"/>
      </w:r>
    </w:p>
    <w:bookmarkEnd w:id="43"/>
    <w:bookmarkEnd w:id="44"/>
    <w:bookmarkStart w:id="114" w:name="statistically-measuring-the-environment"/>
    <w:p>
      <w:pPr>
        <w:pStyle w:val="Heading1"/>
      </w:pPr>
      <w:r>
        <w:rPr>
          <w:rStyle w:val="SectionNumber"/>
        </w:rPr>
        <w:t xml:space="preserve">3</w:t>
      </w:r>
      <w:r>
        <w:tab/>
      </w:r>
      <w:r>
        <w:t xml:space="preserve">Statistically measuring the environment</w:t>
      </w:r>
    </w:p>
    <w:p>
      <w:pPr>
        <w:pStyle w:val="FirstParagraph"/>
      </w:pPr>
      <w:r>
        <w:t xml:space="preserve">Measuring countries economic processes had, since 1947, been guided by the United Nations Systems of National Accounts (SNA)</w:t>
      </w:r>
      <w:r>
        <w:rPr>
          <w:rStyle w:val="FootnoteReference"/>
        </w:rPr>
        <w:footnoteReference w:id="45"/>
      </w:r>
      <w:r>
        <w:t xml:space="preserve">: a statistical methodological framework that maintained a robust adherance to a standard suite of economic measures for how countries measure their economic production, consumption, and exchange activity. Together with the Balance of Payments, it was a massive advance in the theory and practice of economics and has created commonly defined metrics for cross-country comparative analysis into the mechanics of economic growth and development.</w:t>
      </w:r>
    </w:p>
    <w:p>
      <w:pPr>
        <w:pStyle w:val="BodyText"/>
      </w:pPr>
      <w:r>
        <w:t xml:space="preserve">Its main limitation has, until recently, been its treatment of capital and capital services and lack of recognition for enviromental assets and services. The SNA 2025 version</w:t>
      </w:r>
      <w:r>
        <w:rPr>
          <w:rStyle w:val="FootnoteReference"/>
        </w:rPr>
        <w:footnoteReference w:id="46"/>
      </w:r>
      <w:r>
        <w:t xml:space="preserve"> </w:t>
      </w:r>
      <w:r>
        <w:t xml:space="preserve">now incorporates the SEEA and recognises environmental assets that generate environmental services and explicitly moves in line with the SEEA. As a result, moving towards the SEEA also moves PICTs towards upgrading their national accounting metrics.</w:t>
      </w:r>
    </w:p>
    <w:p>
      <w:pPr>
        <w:pStyle w:val="BodyText"/>
      </w:pPr>
      <w:r>
        <w:t xml:space="preserve">This paper suggests developing SEEA-CF’s key metrics, its Environmental Asset Accounts differentiated into SEEA-CF’s Classification Environment Activities [Table</w:t>
      </w:r>
      <w:r>
        <w:t xml:space="preserve"> </w:t>
      </w:r>
      <w:r>
        <w:t xml:space="preserve">3</w:t>
      </w:r>
      <w:r>
        <w:t xml:space="preserve">] and populated using Digital Earth Pacific, FAME and GEM data sources.</w:t>
      </w:r>
    </w:p>
    <w:bookmarkStart w:id="49" w:name="Xdee9d1d43ff220bc87cd04ef1d1e6e365101e72"/>
    <w:p>
      <w:pPr>
        <w:pStyle w:val="Heading2"/>
      </w:pPr>
      <w:r>
        <w:t xml:space="preserve">The statistic issues relate to measurement theory</w:t>
      </w:r>
    </w:p>
    <w:p>
      <w:pPr>
        <w:pStyle w:val="FirstParagraph"/>
      </w:pPr>
      <w:r>
        <w:t xml:space="preserve">Since its inception in 1947, the System of National Accounts</w:t>
      </w:r>
      <w:r>
        <w:rPr>
          <w:rStyle w:val="FootnoteReference"/>
        </w:rPr>
        <w:footnoteReference w:id="48"/>
      </w:r>
      <w:r>
        <w:t xml:space="preserve"> </w:t>
      </w:r>
      <w:r>
        <w:t xml:space="preserve">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w:t>
      </w:r>
      <w:r>
        <w:t xml:space="preserve"> </w:t>
      </w:r>
      <w:r>
        <w:rPr>
          <w:i/>
          <w:iCs/>
        </w:rPr>
        <w:t xml:space="preserve">ancillary-to</w:t>
      </w:r>
      <w:r>
        <w:t xml:space="preserve"> </w:t>
      </w:r>
      <w:r>
        <w:t xml:space="preserve">the economy and</w:t>
      </w:r>
      <w:r>
        <w:t xml:space="preserve"> </w:t>
      </w:r>
      <w:r>
        <w:rPr>
          <w:i/>
          <w:iCs/>
        </w:rPr>
        <w:t xml:space="preserve">within-which</w:t>
      </w:r>
      <w:r>
        <w:t xml:space="preserve"> </w:t>
      </w:r>
      <w:r>
        <w:t xml:space="preserve">economies undertake production, consumption and exchange.</w:t>
      </w:r>
    </w:p>
    <w:bookmarkEnd w:id="49"/>
    <w:bookmarkStart w:id="52" w:name="Xa4da6e1e574f34f6a00182c5dc19d7711218193"/>
    <w:p>
      <w:pPr>
        <w:pStyle w:val="Heading2"/>
      </w:pPr>
      <w:r>
        <w:t xml:space="preserve">The SNA only acknowledges man-made</w:t>
      </w:r>
      <w:r>
        <w:t xml:space="preserve"> </w:t>
      </w:r>
      <w:r>
        <w:t xml:space="preserve">“produce”</w:t>
      </w:r>
      <w:r>
        <w:t xml:space="preserve"> </w:t>
      </w:r>
      <w:r>
        <w:t xml:space="preserve">capital…</w:t>
      </w:r>
    </w:p>
    <w:p>
      <w:pPr>
        <w:pStyle w:val="FirstParagraph"/>
      </w:pPr>
      <w:r>
        <w:t xml:space="preserve">The concept that man-made capital generates</w:t>
      </w:r>
      <w:r>
        <w:t xml:space="preserve"> </w:t>
      </w:r>
      <w:r>
        <w:t xml:space="preserve">“capital services”</w:t>
      </w:r>
      <w:r>
        <w:t xml:space="preserve"> </w:t>
      </w:r>
      <w:r>
        <w:t xml:space="preserve">as inputs into the production was acknowledged in the 1993 version of the SNA;</w:t>
      </w:r>
      <w:r>
        <w:rPr>
          <w:rStyle w:val="FootnoteReference"/>
        </w:rPr>
        <w:footnoteReference w:id="50"/>
      </w:r>
      <w:r>
        <w:t xml:space="preserve"> </w:t>
      </w:r>
      <w:r>
        <w:t xml:space="preserve">however, the SNA93 stopped short of measuring environmental capital services as also inputs into production.</w:t>
      </w:r>
    </w:p>
    <w:p>
      <w:pPr>
        <w:pStyle w:val="BodyText"/>
      </w:pPr>
      <w:r>
        <w:t xml:space="preserve">Physical capital; for example, a motor vehicle, provides</w:t>
      </w:r>
      <w:r>
        <w:t xml:space="preserve"> </w:t>
      </w:r>
      <w:r>
        <w:t xml:space="preserve">“transport services”</w:t>
      </w:r>
      <w:r>
        <w:t xml:space="preserve">: the ability to move inputs and outputs between locations. The transport services from a car differ from those of a truck. Similarly, the transport services of a new truck differ significantly from transport services of a vintage truck. Not only do the levels of inherent technology differ between vintage capital, but vintage capital also experiences economic depreciation, which reduces the</w:t>
      </w:r>
      <w:r>
        <w:t xml:space="preserve"> </w:t>
      </w:r>
      <w:r>
        <w:rPr>
          <w:i/>
          <w:iCs/>
        </w:rPr>
        <w:t xml:space="preserve">quantity</w:t>
      </w:r>
      <w:r>
        <w:t xml:space="preserve"> </w:t>
      </w:r>
      <w:r>
        <w:t xml:space="preserve">of the capital services it provides.</w:t>
      </w:r>
    </w:p>
    <w:bookmarkEnd w:id="52"/>
    <w:bookmarkStart w:id="54" w:name="X74e894805659d44731707c5bc3dd12049c73f40"/>
    <w:p>
      <w:pPr>
        <w:pStyle w:val="Heading2"/>
      </w:pPr>
      <w:r>
        <w:t xml:space="preserve">… while the SEEA-CF measures environmental services from environmental assets</w:t>
      </w:r>
    </w:p>
    <w:p>
      <w:pPr>
        <w:pStyle w:val="FirstParagraph"/>
      </w:pPr>
      <w:r>
        <w:t xml:space="preserve">There are direct parallels between man-made and environmental capital, yet until</w:t>
      </w:r>
      <w:r>
        <w:t xml:space="preserve"> </w:t>
      </w:r>
      <w:r>
        <w:rPr>
          <w:b/>
          <w:bCs/>
          <w:i/>
          <w:iCs/>
        </w:rPr>
        <w:t xml:space="preserve">very recently</w:t>
      </w:r>
      <w:r>
        <w:rPr>
          <w:rStyle w:val="FootnoteReference"/>
        </w:rPr>
        <w:footnoteReference w:id="53"/>
      </w:r>
      <w:r>
        <w:t xml:space="preserve"> </w:t>
      </w:r>
      <w:r>
        <w:t xml:space="preserve">enviromental assets were not recognised as providing economic services into production. Likewise, changes to the environment from economic activity were not reflected as economic costs of production.</w:t>
      </w:r>
    </w:p>
    <w:p>
      <w:pPr>
        <w:pStyle w:val="BodyText"/>
      </w:pPr>
      <w:r>
        <w:t xml:space="preserve">Environmental capital, measured in environmental assets, generates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pPr>
        <w:pStyle w:val="BodyText"/>
      </w:pPr>
      <w:r>
        <w:t xml:space="preserve">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bookmarkEnd w:id="54"/>
    <w:bookmarkStart w:id="56" w:name="X42148ca82b85c65c0a07c50d2f63512adce5aa5"/>
    <w:p>
      <w:pPr>
        <w:pStyle w:val="Heading2"/>
      </w:pPr>
      <w:r>
        <w:t xml:space="preserve">The SEEA-CF is a better framework for measuring the environmental and the economy</w:t>
      </w:r>
    </w:p>
    <w:p>
      <w:pPr>
        <w:pStyle w:val="FirstParagraph"/>
      </w:pPr>
      <w:r>
        <w:t xml:space="preserve">SEEA-CF is a multipurpose statistical framework for understanding the interactions between the environment and the economy. It puts statistics on the environment and its relationship to the economy at the core of official statistics. Both the SEEA-CF and SNA systems operate together - one measuring the environment, and the other the economy. Changes in the</w:t>
      </w:r>
      <w:r>
        <w:t xml:space="preserve"> </w:t>
      </w:r>
      <w:r>
        <w:t xml:space="preserve">“stock”</w:t>
      </w:r>
      <w:r>
        <w:t xml:space="preserve"> </w:t>
      </w:r>
      <w:r>
        <w:t xml:space="preserve">of environmental assets over a period of time is matched against the economic flows derived from an associated industry through SNA supply/use tables.</w:t>
      </w:r>
    </w:p>
    <w:p>
      <w:pPr>
        <w:pStyle w:val="BodyText"/>
      </w:pPr>
      <w:r>
        <w:t xml:space="preserve">SEEA-CF covers three main measurement areas:</w:t>
      </w:r>
    </w:p>
    <w:p>
      <w:pPr>
        <w:numPr>
          <w:ilvl w:val="0"/>
          <w:numId w:val="1003"/>
        </w:numPr>
      </w:pPr>
      <w:r>
        <w:t xml:space="preserve">the physical flows of materials and energy within the economy and between the economy and the environment;</w:t>
      </w:r>
    </w:p>
    <w:p>
      <w:pPr>
        <w:numPr>
          <w:ilvl w:val="0"/>
          <w:numId w:val="1003"/>
        </w:numPr>
      </w:pPr>
      <w:r>
        <w:t xml:space="preserve">the stocks of environmental assets and changes in these stocks; and</w:t>
      </w:r>
    </w:p>
    <w:p>
      <w:pPr>
        <w:numPr>
          <w:ilvl w:val="0"/>
          <w:numId w:val="1003"/>
        </w:numPr>
      </w:pPr>
      <w:r>
        <w:t xml:space="preserve">economic activity and transactions related to the environment.</w:t>
      </w:r>
    </w:p>
    <w:p>
      <w:pPr>
        <w:pStyle w:val="FirstParagraph"/>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55"/>
      </w:r>
      <w:r>
        <w:t xml:space="preserve"> </w:t>
      </w:r>
      <w:r>
        <w:t xml:space="preserve">They can be either cultivated or natural resources.</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bookmarkEnd w:id="56"/>
    <w:bookmarkStart w:id="71" w:name="environmental-asset-accounts"/>
    <w:p>
      <w:pPr>
        <w:pStyle w:val="Heading2"/>
      </w:pPr>
      <w:r>
        <w:t xml:space="preserve">Environmental asset accounts</w:t>
      </w:r>
    </w:p>
    <w:p>
      <w:pPr>
        <w:pStyle w:val="FirstParagraph"/>
      </w:pPr>
      <w:r>
        <w:t xml:space="preserve">Asset accounts for individual environmental assets in physical and monetary terms showing the stock of environmental assets at the beginning and the end of each accounting period and the changes in the stock. 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pStyle w:val="CaptionedFigure"/>
      </w:pPr>
      <w:r>
        <w:drawing>
          <wp:inline>
            <wp:extent cx="5270500" cy="3980389"/>
            <wp:effectExtent b="0" l="0" r="0" t="0"/>
            <wp:docPr descr="Figure 2: Connections between supply and use tables and asset accounts" title="" id="58" name="Picture"/>
            <a:graphic>
              <a:graphicData uri="http://schemas.openxmlformats.org/drawingml/2006/picture">
                <pic:pic>
                  <pic:nvPicPr>
                    <pic:cNvPr descr="Graphical_Output/PSUT_and_Asset_Accounts.png" id="59" name="Picture"/>
                    <pic:cNvPicPr>
                      <a:picLocks noChangeArrowheads="1" noChangeAspect="1"/>
                    </pic:cNvPicPr>
                  </pic:nvPicPr>
                  <pic:blipFill>
                    <a:blip r:embed="rId57"/>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60" w:name="fig:unnamed-chunk-2"/>
      <w:bookmarkEnd w:id="60"/>
      <w:r>
        <w:t xml:space="preserve">Figure 2: Connections between supply and use tables and asset accounts</w:t>
      </w:r>
    </w:p>
    <w:p>
      <w:pPr>
        <w:pStyle w:val="BodyText"/>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CaptionedFigure"/>
      </w:pPr>
      <w:r>
        <w:drawing>
          <wp:inline>
            <wp:extent cx="5270500" cy="3797026"/>
            <wp:effectExtent b="0" l="0" r="0" t="0"/>
            <wp:docPr descr="Figure 3: Classification of environmental assets in the SEEA Central Framework" title="" id="62" name="Picture"/>
            <a:graphic>
              <a:graphicData uri="http://schemas.openxmlformats.org/drawingml/2006/picture">
                <pic:pic>
                  <pic:nvPicPr>
                    <pic:cNvPr descr="Graphical_Output/ClassificationofEnvironmentalAssets.png" id="63" name="Picture"/>
                    <pic:cNvPicPr>
                      <a:picLocks noChangeArrowheads="1" noChangeAspect="1"/>
                    </pic:cNvPicPr>
                  </pic:nvPicPr>
                  <pic:blipFill>
                    <a:blip r:embed="rId61"/>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64" w:name="fig:ClassificationofEnvironmentalAssets"/>
      <w:bookmarkEnd w:id="64"/>
      <w:r>
        <w:t xml:space="preserve">Figure 3: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A distinction is made between whether the resources are cultivated or natural, based on the extent to which there is active management over the growth of the resource.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4: General structure of the physical asset account for environmental assets (physical units)" title="" id="66" name="Picture"/>
            <a:graphic>
              <a:graphicData uri="http://schemas.openxmlformats.org/drawingml/2006/picture">
                <pic:pic>
                  <pic:nvPicPr>
                    <pic:cNvPr descr="Graphical_Output/Structure%20of%20physical%20assets%20accounts.png" id="67" name="Picture"/>
                    <pic:cNvPicPr>
                      <a:picLocks noChangeArrowheads="1" noChangeAspect="1"/>
                    </pic:cNvPicPr>
                  </pic:nvPicPr>
                  <pic:blipFill>
                    <a:blip r:embed="rId65"/>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68" w:name="fig:unnamed-chunk-3"/>
      <w:bookmarkEnd w:id="68"/>
      <w:r>
        <w:t xml:space="preserve">Figure 4: General structure of the physical asset account for environmental assets (physical units)</w:t>
      </w:r>
    </w:p>
    <w:bookmarkStart w:id="69" w:name="depletion-of-fisheries"/>
    <w:p>
      <w:pPr>
        <w:pStyle w:val="Heading3"/>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69"/>
    <w:bookmarkStart w:id="70" w:name="degradation-of-fisheries"/>
    <w:p>
      <w:pPr>
        <w:pStyle w:val="Heading3"/>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70"/>
    <w:bookmarkEnd w:id="71"/>
    <w:bookmarkStart w:id="72" w:name="X5d3c730257e612cc53351e0bd239b5c8ab14c67"/>
    <w:p>
      <w:pPr>
        <w:pStyle w:val="Heading2"/>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04"/>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04"/>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04"/>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72"/>
    <w:bookmarkStart w:id="85" w:name="asset-accounts-for-land"/>
    <w:p>
      <w:pPr>
        <w:pStyle w:val="Heading2"/>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5: Land use classification" title="" id="74" name="Picture"/>
            <a:graphic>
              <a:graphicData uri="http://schemas.openxmlformats.org/drawingml/2006/picture">
                <pic:pic>
                  <pic:nvPicPr>
                    <pic:cNvPr descr="Graphical_Output/LandUse.png" id="75" name="Picture"/>
                    <pic:cNvPicPr>
                      <a:picLocks noChangeArrowheads="1" noChangeAspect="1"/>
                    </pic:cNvPicPr>
                  </pic:nvPicPr>
                  <pic:blipFill>
                    <a:blip r:embed="rId73"/>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76" w:name="fig:unnamed-chunk-4"/>
      <w:bookmarkEnd w:id="76"/>
      <w:r>
        <w:t xml:space="preserve">Figure 5: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6: Land cover classification" title="" id="78" name="Picture"/>
            <a:graphic>
              <a:graphicData uri="http://schemas.openxmlformats.org/drawingml/2006/picture">
                <pic:pic>
                  <pic:nvPicPr>
                    <pic:cNvPr descr="Graphical_Output/LandcoverClassification.png" id="79" name="Picture"/>
                    <pic:cNvPicPr>
                      <a:picLocks noChangeArrowheads="1" noChangeAspect="1"/>
                    </pic:cNvPicPr>
                  </pic:nvPicPr>
                  <pic:blipFill>
                    <a:blip r:embed="rId77"/>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80" w:name="fig:unnamed-chunk-5"/>
      <w:bookmarkEnd w:id="80"/>
      <w:r>
        <w:t xml:space="preserve">Figure 6: Land cover classification</w:t>
      </w:r>
    </w:p>
    <w:p>
      <w:pPr>
        <w:pStyle w:val="CaptionedFigure"/>
      </w:pPr>
      <w:r>
        <w:drawing>
          <wp:inline>
            <wp:extent cx="5270500" cy="2552611"/>
            <wp:effectExtent b="0" l="0" r="0" t="0"/>
            <wp:docPr descr="Figure 7: Physical account for land cover (hectares)" title="" id="82" name="Picture"/>
            <a:graphic>
              <a:graphicData uri="http://schemas.openxmlformats.org/drawingml/2006/picture">
                <pic:pic>
                  <pic:nvPicPr>
                    <pic:cNvPr descr="Graphical_Output/Physical_Account_for_Land.png" id="83" name="Picture"/>
                    <pic:cNvPicPr>
                      <a:picLocks noChangeArrowheads="1" noChangeAspect="1"/>
                    </pic:cNvPicPr>
                  </pic:nvPicPr>
                  <pic:blipFill>
                    <a:blip r:embed="rId81"/>
                    <a:stretch>
                      <a:fillRect/>
                    </a:stretch>
                  </pic:blipFill>
                  <pic:spPr bwMode="auto">
                    <a:xfrm>
                      <a:off x="0" y="0"/>
                      <a:ext cx="5270500" cy="2552611"/>
                    </a:xfrm>
                    <a:prstGeom prst="rect">
                      <a:avLst/>
                    </a:prstGeom>
                    <a:noFill/>
                    <a:ln w="9525">
                      <a:noFill/>
                      <a:headEnd/>
                      <a:tailEnd/>
                    </a:ln>
                  </pic:spPr>
                </pic:pic>
              </a:graphicData>
            </a:graphic>
          </wp:inline>
        </w:drawing>
      </w:r>
    </w:p>
    <w:p>
      <w:pPr>
        <w:pStyle w:val="ImageCaption"/>
      </w:pPr>
      <w:bookmarkStart w:id="84" w:name="fig:unnamed-chunk-6"/>
      <w:bookmarkEnd w:id="84"/>
      <w:r>
        <w:t xml:space="preserve">Figure 7: Physical account for land cover (hectares)</w:t>
      </w:r>
    </w:p>
    <w:bookmarkEnd w:id="85"/>
    <w:bookmarkStart w:id="105" w:name="asset-accounts-for-aquatic-resources"/>
    <w:p>
      <w:pPr>
        <w:pStyle w:val="Heading2"/>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86" w:name="X7d6e72dbcc4820d54ad093de1df6d244a495fdf"/>
    <w:p>
      <w:pPr>
        <w:pStyle w:val="Heading3"/>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86"/>
    <w:bookmarkStart w:id="91" w:name="Xaf1ff2c297b0c8e7630c2185e7b257b013812d5"/>
    <w:p>
      <w:pPr>
        <w:pStyle w:val="Heading3"/>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8: Physical asset account for aquatic resources (tonnes)" title="" id="88" name="Picture"/>
            <a:graphic>
              <a:graphicData uri="http://schemas.openxmlformats.org/drawingml/2006/picture">
                <pic:pic>
                  <pic:nvPicPr>
                    <pic:cNvPr descr="Graphical_Output/Aquatic_Physical_Asset_Accounts.png" id="89" name="Picture"/>
                    <pic:cNvPicPr>
                      <a:picLocks noChangeArrowheads="1" noChangeAspect="1"/>
                    </pic:cNvPicPr>
                  </pic:nvPicPr>
                  <pic:blipFill>
                    <a:blip r:embed="rId87"/>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90" w:name="fig:unnamed-chunk-7"/>
      <w:bookmarkEnd w:id="90"/>
      <w:r>
        <w:t xml:space="preserve">Figure 8: Physical asset account for aquatic resources (tonnes)</w:t>
      </w:r>
    </w:p>
    <w:bookmarkEnd w:id="91"/>
    <w:bookmarkStart w:id="97" w:name="Xd07d3e42ff71bf8706eaaf6dcaaacc7c0c9ec6e"/>
    <w:p>
      <w:pPr>
        <w:pStyle w:val="Heading3"/>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pPr>
        <w:pStyle w:val="BodyText"/>
      </w:pPr>
      <w:r>
        <w:t xml:space="preserve">The Central Framework comprises the following types of tables and accounts:</w:t>
      </w:r>
    </w:p>
    <w:p>
      <w:pPr>
        <w:numPr>
          <w:ilvl w:val="0"/>
          <w:numId w:val="1005"/>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92"/>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9: Physical Supply and Use Table" title="" id="94" name="Picture"/>
            <a:graphic>
              <a:graphicData uri="http://schemas.openxmlformats.org/drawingml/2006/picture">
                <pic:pic>
                  <pic:nvPicPr>
                    <pic:cNvPr descr="Graphical_Output/Physical_SUT.png" id="95" name="Picture"/>
                    <pic:cNvPicPr>
                      <a:picLocks noChangeArrowheads="1" noChangeAspect="1"/>
                    </pic:cNvPicPr>
                  </pic:nvPicPr>
                  <pic:blipFill>
                    <a:blip r:embed="rId93"/>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96" w:name="fig:unnamed-chunk-8"/>
      <w:bookmarkEnd w:id="96"/>
      <w:r>
        <w:t xml:space="preserve">Figure 9: Physical Supply and Use Table</w:t>
      </w:r>
    </w:p>
    <w:bookmarkEnd w:id="97"/>
    <w:bookmarkStart w:id="102" w:name="Xfb27eea967097a00f7a88cd2ffcc392f7b9a638"/>
    <w:p>
      <w:pPr>
        <w:pStyle w:val="Heading3"/>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0: Catch concepts: a diagrammatic presentation" title="" id="99" name="Picture"/>
            <a:graphic>
              <a:graphicData uri="http://schemas.openxmlformats.org/drawingml/2006/picture">
                <pic:pic>
                  <pic:nvPicPr>
                    <pic:cNvPr descr="Graphical_Output/SEEA_AnnexA5_4.png" id="100" name="Picture"/>
                    <pic:cNvPicPr>
                      <a:picLocks noChangeArrowheads="1" noChangeAspect="1"/>
                    </pic:cNvPicPr>
                  </pic:nvPicPr>
                  <pic:blipFill>
                    <a:blip r:embed="rId98"/>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1" w:name="fig:SEEAAnnexA54"/>
      <w:bookmarkEnd w:id="101"/>
      <w:r>
        <w:t xml:space="preserve">Figure 10: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10</w:t>
      </w:r>
      <w:r>
        <w:t xml:space="preserve">.</w:t>
      </w:r>
    </w:p>
    <w:p>
      <w:pPr>
        <w:numPr>
          <w:ilvl w:val="0"/>
          <w:numId w:val="1006"/>
        </w:numPr>
      </w:pPr>
      <w:r>
        <w:t xml:space="preserve">Gross removal: the total live weight of fish caught or killed during fishing operations;</w:t>
      </w:r>
    </w:p>
    <w:p>
      <w:pPr>
        <w:numPr>
          <w:ilvl w:val="0"/>
          <w:numId w:val="1006"/>
        </w:numPr>
      </w:pPr>
      <w:r>
        <w:t xml:space="preserve">Gross catch: the total live weight of fish caught (gross removal less pre-catch losses);</w:t>
      </w:r>
    </w:p>
    <w:p>
      <w:pPr>
        <w:numPr>
          <w:ilvl w:val="0"/>
          <w:numId w:val="1006"/>
        </w:numPr>
      </w:pPr>
      <w:r>
        <w:t xml:space="preserve">Retained catch: the total live weight of fish retained (gross catch less discarded catch);</w:t>
      </w:r>
    </w:p>
    <w:p>
      <w:pPr>
        <w:numPr>
          <w:ilvl w:val="0"/>
          <w:numId w:val="1006"/>
        </w:numPr>
      </w:pPr>
      <w:r>
        <w:t xml:space="preserve">Landings: the net weight of the quantities landed as recorded at the time of landing;</w:t>
      </w:r>
    </w:p>
    <w:p>
      <w:pPr>
        <w:numPr>
          <w:ilvl w:val="0"/>
          <w:numId w:val="1006"/>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02"/>
    <w:bookmarkStart w:id="103" w:name="depletion-of-natural-aquatic-resources"/>
    <w:p>
      <w:pPr>
        <w:pStyle w:val="Heading3"/>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03"/>
    <w:bookmarkStart w:id="104" w:name="capture-fishing-by-non-residents"/>
    <w:p>
      <w:pPr>
        <w:pStyle w:val="Heading3"/>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04"/>
    <w:bookmarkEnd w:id="105"/>
    <w:bookmarkStart w:id="107"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Start w:id="106" w:name="valuation-of-natural-aquatic-resources"/>
    <w:p>
      <w:pPr>
        <w:pStyle w:val="Heading3"/>
      </w:pP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bookmarkEnd w:id="106"/>
    <w:bookmarkEnd w:id="107"/>
    <w:bookmarkStart w:id="109" w:name="exosystems"/>
    <w:p>
      <w:pPr>
        <w:pStyle w:val="Heading2"/>
      </w:pPr>
      <w:r>
        <w:t xml:space="preserve">Exosystems</w:t>
      </w:r>
    </w:p>
    <w:p>
      <w:pPr>
        <w:pStyle w:val="FirstParagraph"/>
      </w:pPr>
      <w:r>
        <w:t xml:space="preserve">SEEA-EA extends the environmental measurement framework by considering clusters of environmental assets grouped together as</w:t>
      </w:r>
      <w:r>
        <w:t xml:space="preserve"> </w:t>
      </w:r>
      <w:r>
        <w:t xml:space="preserve">“ecosystems”</w:t>
      </w:r>
      <w:r>
        <w:t xml:space="preserve"> </w:t>
      </w:r>
      <w:r>
        <w:t xml:space="preserve">which are collectively important and collectively supply enviromental services to the economy. Ecosystems are the dynamic complex of plant, animal and micro-organism communities and their non-living environment interacting as a functional unit.</w:t>
      </w:r>
      <w:r>
        <w:rPr>
          <w:rStyle w:val="FootnoteReference"/>
        </w:rPr>
        <w:footnoteReference w:id="108"/>
      </w:r>
      <w:r>
        <w:t xml:space="preserve"> </w:t>
      </w:r>
      <w:r>
        <w:t xml:space="preserve">Ecosystems make three types of contributions to economic and other human activity:</w:t>
      </w:r>
    </w:p>
    <w:p>
      <w:pPr>
        <w:numPr>
          <w:ilvl w:val="0"/>
          <w:numId w:val="1007"/>
        </w:numPr>
      </w:pPr>
      <w:r>
        <w:rPr>
          <w:i/>
          <w:iCs/>
        </w:rPr>
        <w:t xml:space="preserve">Provisioning services</w:t>
      </w:r>
      <w:r>
        <w:t xml:space="preserve"> </w:t>
      </w:r>
      <w:r>
        <w:t xml:space="preserve">(such as the provision of timber from forests);</w:t>
      </w:r>
    </w:p>
    <w:p>
      <w:pPr>
        <w:numPr>
          <w:ilvl w:val="0"/>
          <w:numId w:val="1000"/>
        </w:numPr>
      </w:pPr>
      <w:r>
        <w:t xml:space="preserve">Provisioning services are related to the material benefits of environmental assets, whereas the other types of ecosystem services are related to the non-material benefits of environmental assets.</w:t>
      </w:r>
    </w:p>
    <w:p>
      <w:pPr>
        <w:numPr>
          <w:ilvl w:val="0"/>
          <w:numId w:val="1007"/>
        </w:numPr>
      </w:pPr>
      <w:r>
        <w:rPr>
          <w:i/>
          <w:iCs/>
        </w:rPr>
        <w:t xml:space="preserve">Regulating services</w:t>
      </w:r>
      <w:r>
        <w:t xml:space="preserve"> </w:t>
      </w:r>
      <w:r>
        <w:t xml:space="preserve">(provided, for example, by forests when they act as a sink for carbon); and</w:t>
      </w:r>
    </w:p>
    <w:p>
      <w:pPr>
        <w:numPr>
          <w:ilvl w:val="0"/>
          <w:numId w:val="1007"/>
        </w:numPr>
      </w:pPr>
      <w:r>
        <w:rPr>
          <w:i/>
          <w:iCs/>
        </w:rPr>
        <w:t xml:space="preserve">Cultural services</w:t>
      </w:r>
      <w:r>
        <w:t xml:space="preserve"> </w:t>
      </w:r>
      <w:r>
        <w:t xml:space="preserve">(such as the enjoyment provided to visitors to a national park).</w:t>
      </w:r>
    </w:p>
    <w:p>
      <w:pPr>
        <w:pStyle w:val="FirstParagraph"/>
      </w:pPr>
      <w:r>
        <w:t xml:space="preserve">For example, mangroves area are considered collective environments that support fisheries, filter pollutants from waterways and provide erosion protection to onshore areas.</w:t>
      </w:r>
    </w:p>
    <w:bookmarkEnd w:id="109"/>
    <w:bookmarkStart w:id="113" w:name="other-technical-bits"/>
    <w:p>
      <w:pPr>
        <w:pStyle w:val="Heading2"/>
      </w:pPr>
      <w:r>
        <w:t xml:space="preserve">Other technical bits</w:t>
      </w:r>
    </w:p>
    <w:bookmarkStart w:id="110" w:name="Xbb2c4b96dea24fa4f80815829416eba5ddaba18"/>
    <w:p>
      <w:pPr>
        <w:pStyle w:val="Heading3"/>
      </w:pP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110"/>
    <w:bookmarkStart w:id="111" w:name="Xba7bea4e64f02992df7bde36d92f21dd90169a9"/>
    <w:p>
      <w:pPr>
        <w:pStyle w:val="Heading3"/>
      </w:pP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111"/>
    <w:bookmarkStart w:id="112" w:name="X15249a7bfc0eff46260a4bf04d5017d7457388c"/>
    <w:p>
      <w:pPr>
        <w:pStyle w:val="Heading3"/>
      </w:pP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08"/>
        </w:numPr>
      </w:pPr>
      <w:r>
        <w:t xml:space="preserve">Units intending to operate in a country for less than a year, for example, specialized construction firms or aid and relief agencies. These are considered residents of their home country;</w:t>
      </w:r>
    </w:p>
    <w:p>
      <w:pPr>
        <w:numPr>
          <w:ilvl w:val="0"/>
          <w:numId w:val="1008"/>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08"/>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112"/>
    <w:bookmarkEnd w:id="113"/>
    <w:bookmarkEnd w:id="114"/>
    <w:bookmarkStart w:id="129" w:name="physical-flow-metrics"/>
    <w:p>
      <w:pPr>
        <w:pStyle w:val="Heading1"/>
      </w:pPr>
      <w:r>
        <w:rPr>
          <w:rStyle w:val="SectionNumber"/>
        </w:rPr>
        <w:t xml:space="preserve">4</w:t>
      </w:r>
      <w:r>
        <w:tab/>
      </w:r>
      <w:r>
        <w:t xml:space="preserve">Physical flow metrics</w:t>
      </w:r>
    </w:p>
    <w:p>
      <w:pPr>
        <w:pStyle w:val="FirstParagraph"/>
      </w:pPr>
      <w:r>
        <w:t xml:space="preserve">Related to the three metrics of energy, water and product. I’m just focusing on the ocean related dimensions.</w:t>
      </w:r>
    </w:p>
    <w:bookmarkStart w:id="119" w:name="physical-flow-accounts-for-energy"/>
    <w:p>
      <w:pPr>
        <w:pStyle w:val="Heading2"/>
      </w:pPr>
      <w:r>
        <w:t xml:space="preserve">Physical flow accounts for energy</w:t>
      </w:r>
    </w:p>
    <w:bookmarkStart w:id="115" w:name="Xebb460e92213afb186c8ff8d50a40711354bcfd"/>
    <w:p>
      <w:pPr>
        <w:pStyle w:val="Heading3"/>
      </w:pP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09"/>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09"/>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115"/>
    <w:bookmarkStart w:id="116" w:name="tourist-activity"/>
    <w:p>
      <w:pPr>
        <w:pStyle w:val="Heading3"/>
      </w:pP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116"/>
    <w:bookmarkStart w:id="117" w:name="illegal-harvesting"/>
    <w:p>
      <w:pPr>
        <w:pStyle w:val="Heading3"/>
      </w:pP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117"/>
    <w:bookmarkStart w:id="118" w:name="X6604d7e576535eae4018b1c6bb60377755daba9"/>
    <w:p>
      <w:pPr>
        <w:pStyle w:val="Heading3"/>
      </w:pP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0"/>
        </w:numPr>
      </w:pPr>
      <w:r>
        <w:t xml:space="preserve">returned to the original country,</w:t>
      </w:r>
    </w:p>
    <w:p>
      <w:pPr>
        <w:numPr>
          <w:ilvl w:val="0"/>
          <w:numId w:val="1010"/>
        </w:numPr>
      </w:pPr>
      <w:r>
        <w:t xml:space="preserve">sold in the processing country or</w:t>
      </w:r>
    </w:p>
    <w:p>
      <w:pPr>
        <w:numPr>
          <w:ilvl w:val="0"/>
          <w:numId w:val="1010"/>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118"/>
    <w:bookmarkEnd w:id="119"/>
    <w:bookmarkStart w:id="120"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1"/>
        </w:numPr>
      </w:pPr>
      <w:r>
        <w:t xml:space="preserve">abstraction of water from the environment;</w:t>
      </w:r>
    </w:p>
    <w:p>
      <w:pPr>
        <w:numPr>
          <w:ilvl w:val="0"/>
          <w:numId w:val="1011"/>
        </w:numPr>
      </w:pPr>
      <w:r>
        <w:t xml:space="preserve">distribution and use of abstracted water across enterprises and households;</w:t>
      </w:r>
    </w:p>
    <w:p>
      <w:pPr>
        <w:numPr>
          <w:ilvl w:val="0"/>
          <w:numId w:val="1011"/>
        </w:numPr>
      </w:pPr>
      <w:r>
        <w:t xml:space="preserve">flows of wastewater and reused water (between households and enterprises);</w:t>
      </w:r>
    </w:p>
    <w:p>
      <w:pPr>
        <w:numPr>
          <w:ilvl w:val="0"/>
          <w:numId w:val="1011"/>
        </w:numPr>
      </w:pPr>
      <w:r>
        <w:t xml:space="preserve">return flows of water to the environment; and</w:t>
      </w:r>
    </w:p>
    <w:p>
      <w:pPr>
        <w:numPr>
          <w:ilvl w:val="0"/>
          <w:numId w:val="1011"/>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2"/>
        </w:numPr>
      </w:pPr>
      <w:r>
        <w:t xml:space="preserve">ISIC divisions 01-03: Agriculture, forestry and fishing (it may be relevant to distinguish among the uses of water by these different industries)</w:t>
      </w:r>
    </w:p>
    <w:p>
      <w:pPr>
        <w:numPr>
          <w:ilvl w:val="0"/>
          <w:numId w:val="1012"/>
        </w:numPr>
      </w:pPr>
      <w:r>
        <w:t xml:space="preserve">ISIC divisions 05-33 and 41: Mining and quarrying; manufacturing; and construction, respectively</w:t>
      </w:r>
    </w:p>
    <w:p>
      <w:pPr>
        <w:numPr>
          <w:ilvl w:val="0"/>
          <w:numId w:val="1012"/>
        </w:numPr>
      </w:pPr>
      <w:r>
        <w:t xml:space="preserve">ISIC division 35: Electricity, gas, steam and air conditioning supply</w:t>
      </w:r>
    </w:p>
    <w:p>
      <w:pPr>
        <w:numPr>
          <w:ilvl w:val="0"/>
          <w:numId w:val="1012"/>
        </w:numPr>
      </w:pPr>
      <w:r>
        <w:t xml:space="preserve">ISIC division 36: Water collection, treatment and supply; sewerage, waste management and remediation activities</w:t>
      </w:r>
    </w:p>
    <w:p>
      <w:pPr>
        <w:numPr>
          <w:ilvl w:val="0"/>
          <w:numId w:val="1012"/>
        </w:numPr>
      </w:pPr>
      <w:r>
        <w:t xml:space="preserve">ISIC division 37: Sewerage</w:t>
      </w:r>
    </w:p>
    <w:p>
      <w:pPr>
        <w:numPr>
          <w:ilvl w:val="0"/>
          <w:numId w:val="1012"/>
        </w:numPr>
      </w:pPr>
      <w:r>
        <w:t xml:space="preserve">ISIC divisions: 38, 39 and 45-99: Other industries</w:t>
      </w:r>
    </w:p>
    <w:bookmarkEnd w:id="120"/>
    <w:bookmarkStart w:id="128"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3"/>
        </w:numPr>
      </w:pPr>
      <w:r>
        <w:t xml:space="preserve">product flow accounting,</w:t>
      </w:r>
    </w:p>
    <w:p>
      <w:pPr>
        <w:numPr>
          <w:ilvl w:val="0"/>
          <w:numId w:val="1013"/>
        </w:numPr>
      </w:pPr>
      <w:r>
        <w:t xml:space="preserve">accounting for air emissions,</w:t>
      </w:r>
    </w:p>
    <w:p>
      <w:pPr>
        <w:numPr>
          <w:ilvl w:val="0"/>
          <w:numId w:val="1013"/>
        </w:numPr>
      </w:pPr>
      <w:r>
        <w:t xml:space="preserve">accounting for emissions to water and associated releases to economic units,</w:t>
      </w:r>
    </w:p>
    <w:p>
      <w:pPr>
        <w:numPr>
          <w:ilvl w:val="0"/>
          <w:numId w:val="1013"/>
        </w:numPr>
      </w:pPr>
      <w:r>
        <w:t xml:space="preserve">accounting for solid waste and</w:t>
      </w:r>
    </w:p>
    <w:p>
      <w:pPr>
        <w:numPr>
          <w:ilvl w:val="0"/>
          <w:numId w:val="1013"/>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Start w:id="126" w:name="X4e0facde1e4e948d30deb04223309b6f1553da4"/>
    <w:p>
      <w:pPr>
        <w:pStyle w:val="Heading3"/>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4"/>
        </w:numPr>
      </w:pPr>
      <w:r>
        <w:t xml:space="preserve">The prevention, reduction or treatment of waste and wastewater;</w:t>
      </w:r>
    </w:p>
    <w:p>
      <w:pPr>
        <w:numPr>
          <w:ilvl w:val="0"/>
          <w:numId w:val="1014"/>
        </w:numPr>
      </w:pPr>
      <w:r>
        <w:t xml:space="preserve">The prevention, reduction or elimination of air emissions;</w:t>
      </w:r>
    </w:p>
    <w:p>
      <w:pPr>
        <w:numPr>
          <w:ilvl w:val="0"/>
          <w:numId w:val="1014"/>
        </w:numPr>
      </w:pPr>
      <w:r>
        <w:t xml:space="preserve">The treatment and disposal of contaminated soil and groundwater;</w:t>
      </w:r>
    </w:p>
    <w:p>
      <w:pPr>
        <w:numPr>
          <w:ilvl w:val="0"/>
          <w:numId w:val="1014"/>
        </w:numPr>
      </w:pPr>
      <w:r>
        <w:t xml:space="preserve">The prevention or reduction of noise and vibration levels;</w:t>
      </w:r>
    </w:p>
    <w:p>
      <w:pPr>
        <w:numPr>
          <w:ilvl w:val="0"/>
          <w:numId w:val="1014"/>
        </w:numPr>
      </w:pPr>
      <w:r>
        <w:t xml:space="preserve">The protection of biodiversity and landscapes, including of their ecological functions;</w:t>
      </w:r>
    </w:p>
    <w:p>
      <w:pPr>
        <w:numPr>
          <w:ilvl w:val="0"/>
          <w:numId w:val="1014"/>
        </w:numPr>
      </w:pPr>
      <w:r>
        <w:t xml:space="preserve">Monitoring of the quality of the natural environment (air, water, soil and groundwater);</w:t>
      </w:r>
    </w:p>
    <w:p>
      <w:pPr>
        <w:numPr>
          <w:ilvl w:val="0"/>
          <w:numId w:val="1014"/>
        </w:numPr>
      </w:pPr>
      <w:r>
        <w:t xml:space="preserve">Research and development on environmental protection; and</w:t>
      </w:r>
    </w:p>
    <w:p>
      <w:pPr>
        <w:numPr>
          <w:ilvl w:val="0"/>
          <w:numId w:val="1014"/>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125" w:name="Xa03c15cce38eecbf40a7051de1f41061780082f"/>
    <w:p>
      <w:pPr>
        <w:pStyle w:val="Heading4"/>
      </w:pPr>
      <w:r>
        <w:t xml:space="preserve">Classification of environmental activities</w:t>
      </w:r>
    </w:p>
    <w:p>
      <w:pPr>
        <w:pStyle w:val="CaptionedFigure"/>
      </w:pPr>
      <w:r>
        <w:drawing>
          <wp:inline>
            <wp:extent cx="5270500" cy="3395758"/>
            <wp:effectExtent b="0" l="0" r="0" t="0"/>
            <wp:docPr descr="Figure 11: Classification of Environmental Activities: overview of groups and classes" title="" id="122" name="Picture"/>
            <a:graphic>
              <a:graphicData uri="http://schemas.openxmlformats.org/drawingml/2006/picture">
                <pic:pic>
                  <pic:nvPicPr>
                    <pic:cNvPr descr="Graphical_Output/ClassificationEnvironmentActivities.png" id="123" name="Picture"/>
                    <pic:cNvPicPr>
                      <a:picLocks noChangeArrowheads="1" noChangeAspect="1"/>
                    </pic:cNvPicPr>
                  </pic:nvPicPr>
                  <pic:blipFill>
                    <a:blip r:embed="rId121"/>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124" w:name="fig:unnamed-chunk-9"/>
      <w:bookmarkEnd w:id="124"/>
      <w:r>
        <w:t xml:space="preserve">Figure 11: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125"/>
    <w:bookmarkEnd w:id="126"/>
    <w:bookmarkStart w:id="127" w:name="X59b034f7219e003291e06f16908e2db4078ae2f"/>
    <w:p>
      <w:pPr>
        <w:pStyle w:val="Heading3"/>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bookmarkEnd w:id="127"/>
    <w:bookmarkEnd w:id="128"/>
    <w:bookmarkEnd w:id="129"/>
    <w:bookmarkStart w:id="130" w:name="Xcc3d56b8d706303a3e4abf83fef536e4b916a5a"/>
    <w:p>
      <w:pPr>
        <w:pStyle w:val="Heading1"/>
      </w:pPr>
      <w:r>
        <w:rPr>
          <w:rStyle w:val="SectionNumber"/>
        </w:rPr>
        <w:t xml:space="preserve">5</w:t>
      </w:r>
      <w:r>
        <w:tab/>
      </w:r>
      <w:r>
        <w:t xml:space="preserve">Digital Earth Pacific and FAME / GEM data sources</w:t>
      </w:r>
    </w:p>
    <w:bookmarkEnd w:id="130"/>
    <w:bookmarkStart w:id="132" w:name="references"/>
    <w:p>
      <w:pPr>
        <w:pStyle w:val="Heading1"/>
      </w:pPr>
      <w:r>
        <w:rPr>
          <w:rStyle w:val="SectionNumber"/>
        </w:rPr>
        <w:t xml:space="preserve">6</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w:t>
      </w:r>
      <w:r>
        <w:rPr>
          <w:i/>
          <w:iCs/>
        </w:rPr>
        <w:t xml:space="preserve"> </w:t>
      </w:r>
      <w:r>
        <w:rPr>
          <w:i/>
          <w:iCs/>
        </w:rPr>
        <w:t xml:space="preserve">2012 Central Framework</w:t>
      </w:r>
      <w:r>
        <w:t xml:space="preserve">. New York: United Nations, 2014. ISBN: 978-92-1-055926-3. URL:</w:t>
      </w:r>
      <w:r>
        <w:t xml:space="preserve"> </w:t>
      </w:r>
      <w:hyperlink r:id="rId26">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“A market for 30x30 in</w:t>
      </w:r>
      <w:r>
        <w:t xml:space="preserve"> </w:t>
      </w:r>
      <w:r>
        <w:t xml:space="preserve">the ocean”</w:t>
      </w:r>
      <w:r>
        <w:t xml:space="preserve">. EN. In:</w:t>
      </w:r>
      <w:r>
        <w:t xml:space="preserve"> </w:t>
      </w:r>
      <w:r>
        <w:rPr>
          <w:i/>
          <w:iCs/>
        </w:rPr>
        <w:t xml:space="preserve">Science</w:t>
      </w:r>
      <w:r>
        <w:t xml:space="preserve"> </w:t>
      </w:r>
      <w:r>
        <w:t xml:space="preserve">(Jun. 2024). Publisher: American Association for the Advancement of Science. DOI:</w:t>
      </w:r>
      <w:r>
        <w:t xml:space="preserve"> </w:t>
      </w:r>
      <w:hyperlink r:id="rId131">
        <w:r>
          <w:rPr>
            <w:rStyle w:val="Hyperlink"/>
          </w:rPr>
          <w:t xml:space="preserve">10.1126/science.adl4019</w:t>
        </w:r>
      </w:hyperlink>
      <w:r>
        <w:t xml:space="preserve">. URL:</w:t>
      </w:r>
      <w:r>
        <w:t xml:space="preserve"> </w:t>
      </w:r>
      <w:hyperlink r:id="rId41">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[3]</w:t>
        </w:r>
      </w:hyperlink>
      <w:r>
        <w:t xml:space="preserve"> </w:t>
      </w:r>
      <w:r>
        <w:t xml:space="preserve">Kiribati National Statistics Office and The</w:t>
      </w:r>
      <w:r>
        <w:t xml:space="preserve"> </w:t>
      </w:r>
      <w:r>
        <w:t xml:space="preserve">Pacific Community.</w:t>
      </w:r>
      <w:r>
        <w:t xml:space="preserve"> </w:t>
      </w:r>
      <w:r>
        <w:rPr>
          <w:i/>
          <w:iCs/>
        </w:rPr>
        <w:t xml:space="preserve">Kiribati Natural Disasters and Climate Change Survey Report 2023–2024</w:t>
      </w:r>
      <w:r>
        <w:t xml:space="preserve">. Tech. rep. Kiribati National Statistics Office, Jun. 2025. URL:</w:t>
      </w:r>
      <w:r>
        <w:t xml:space="preserve"> </w:t>
      </w:r>
      <w:hyperlink r:id="rId31">
        <w:r>
          <w:rPr>
            <w:rStyle w:val="Hyperlink"/>
          </w:rPr>
          <w:t xml:space="preserve">https://nso.gov.ki/download/151/2023-24-hies-reports/2167/kiribati-natural-disasters-and-climate-change-report-2023-2024</w:t>
        </w:r>
      </w:hyperlink>
      <w:r>
        <w:t xml:space="preserve">.</w:t>
      </w:r>
    </w:p>
    <w:bookmarkEnd w:id="132"/>
    <w:sectPr w:rsidR="002C6215" w:rsidRPr="002C6215" w:rsidSect="00302AD9">
      <w:headerReference r:id="rId9" w:type="even"/>
      <w:headerReference r:id="rId11" w:type="default"/>
      <w:footerReference r:id="rId14" w:type="even"/>
      <w:footerReference r:id="rId13" w:type="default"/>
      <w:headerReference r:id="rId10" w:type="first"/>
      <w:footerReference r:id="rId12"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D9490" w14:textId="77777777" w:rsidR="003836D8" w:rsidRDefault="003836D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hyperlink r:id="rId22">
        <w:r>
          <w:rPr>
            <w:rStyle w:val="Hyperlink"/>
          </w:rPr>
          <w:t xml:space="preserve">https://www.spc.int/updates/news/2023/09/the-existential-threat-climate-change-poses-to-pacific-nations-presented-at</w:t>
        </w:r>
      </w:hyperlink>
    </w:p>
  </w:footnote>
  <w:footnote w:id="23">
    <w:p>
      <w:pPr>
        <w:pStyle w:val="FootnoteText"/>
      </w:pPr>
      <w:r>
        <w:rPr>
          <w:rStyle w:val="FootnoteReference"/>
        </w:rPr>
        <w:footnoteRef/>
      </w:r>
      <w:r>
        <w:t xml:space="preserve"> </w:t>
      </w:r>
      <w:hyperlink r:id="rId24">
        <w:r>
          <w:rPr>
            <w:rStyle w:val="Hyperlink"/>
          </w:rPr>
          <w:t xml:space="preserve">https://www.are.admin.ch/are/en/home/media/publications/sustainable-development/brundtland-report.html</w:t>
        </w:r>
      </w:hyperlink>
    </w:p>
  </w:footnote>
  <w:footnote w:id="25">
    <w:p>
      <w:pPr>
        <w:pStyle w:val="FootnoteText"/>
      </w:pPr>
      <w:r>
        <w:rPr>
          <w:rStyle w:val="FootnoteReference"/>
        </w:rPr>
        <w:footnoteRef/>
      </w:r>
      <w:r>
        <w:t xml:space="preserve"> </w:t>
      </w:r>
      <w:r>
        <w:t xml:space="preserve">(</w:t>
      </w:r>
      <w:hyperlink r:id="rId26">
        <w:r>
          <w:rPr>
            <w:rStyle w:val="Hyperlink"/>
          </w:rPr>
          <w:t xml:space="preserve">United Nations, European Union, Food et al., 2014</w:t>
        </w:r>
      </w:hyperlink>
      <w:r>
        <w:t xml:space="preserve">)</w:t>
      </w:r>
    </w:p>
  </w:footnote>
  <w:footnote w:id="27">
    <w:p>
      <w:pPr>
        <w:pStyle w:val="FootnoteText"/>
      </w:pPr>
      <w:r>
        <w:rPr>
          <w:rStyle w:val="FootnoteReference"/>
        </w:rPr>
        <w:footnoteRef/>
      </w:r>
      <w:r>
        <w:t xml:space="preserve"> </w:t>
      </w:r>
      <w:hyperlink r:id="rId28">
        <w:r>
          <w:rPr>
            <w:rStyle w:val="Hyperlink"/>
          </w:rPr>
          <w:t xml:space="preserve">https://unstats.un.org/unsd/nationalaccount/sna.asp</w:t>
        </w:r>
      </w:hyperlink>
    </w:p>
  </w:footnote>
  <w:footnote w:id="30">
    <w:p>
      <w:pPr>
        <w:pStyle w:val="FootnoteText"/>
      </w:pPr>
      <w:r>
        <w:rPr>
          <w:rStyle w:val="FootnoteReference"/>
        </w:rPr>
        <w:footnoteRef/>
      </w:r>
      <w:r>
        <w:t xml:space="preserve"> </w:t>
      </w:r>
      <w:r>
        <w:t xml:space="preserve">(</w:t>
      </w:r>
      <w:hyperlink r:id="rId31">
        <w:r>
          <w:rPr>
            <w:rStyle w:val="Hyperlink"/>
          </w:rPr>
          <w:t xml:space="preserve">Kiribati National Statistics Office and The Pacific Community, 2025</w:t>
        </w:r>
      </w:hyperlink>
      <w:r>
        <w:t xml:space="preserve">)</w:t>
      </w:r>
    </w:p>
  </w:footnote>
  <w:footnote w:id="45">
    <w:p>
      <w:pPr>
        <w:pStyle w:val="FootnoteText"/>
      </w:pPr>
      <w:r>
        <w:rPr>
          <w:rStyle w:val="FootnoteReference"/>
        </w:rPr>
        <w:footnoteRef/>
      </w:r>
      <w:r>
        <w:t xml:space="preserve"> </w:t>
      </w:r>
      <w:hyperlink r:id="rId28">
        <w:r>
          <w:rPr>
            <w:rStyle w:val="Hyperlink"/>
          </w:rPr>
          <w:t xml:space="preserve">https://unstats.un.org/unsd/nationalaccount/sna.asp</w:t>
        </w:r>
      </w:hyperlink>
    </w:p>
  </w:footnote>
  <w:footnote w:id="46">
    <w:p>
      <w:pPr>
        <w:pStyle w:val="FootnoteText"/>
      </w:pPr>
      <w:r>
        <w:rPr>
          <w:rStyle w:val="FootnoteReference"/>
        </w:rPr>
        <w:footnoteRef/>
      </w:r>
      <w:r>
        <w:t xml:space="preserve"> </w:t>
      </w:r>
      <w:hyperlink r:id="rId47">
        <w:r>
          <w:rPr>
            <w:rStyle w:val="Hyperlink"/>
          </w:rPr>
          <w:t xml:space="preserve">https://unstats.un.org/unsd/nationalaccount/docs/2025_SNA_Pre-edit.pdf</w:t>
        </w:r>
      </w:hyperlink>
      <w:r>
        <w:t xml:space="preserve"> </w:t>
      </w:r>
      <w:r>
        <w:t xml:space="preserve">Chapter 2, section 5</w:t>
      </w:r>
      <w:r>
        <w:t xml:space="preserve"> </w:t>
      </w:r>
      <w:r>
        <w:t xml:space="preserve">“Measures concerning the environment”</w:t>
      </w:r>
    </w:p>
  </w:footnote>
  <w:footnote w:id="48">
    <w:p>
      <w:pPr>
        <w:pStyle w:val="FootnoteText"/>
      </w:pPr>
      <w:r>
        <w:rPr>
          <w:rStyle w:val="FootnoteReference"/>
        </w:rPr>
        <w:footnoteRef/>
      </w:r>
      <w:r>
        <w:t xml:space="preserve"> </w:t>
      </w:r>
      <w:hyperlink r:id="rId28">
        <w:r>
          <w:rPr>
            <w:rStyle w:val="Hyperlink"/>
          </w:rPr>
          <w:t xml:space="preserve">https://unstats.un.org/unsd/nationalaccount/sna.asp</w:t>
        </w:r>
      </w:hyperlink>
    </w:p>
  </w:footnote>
  <w:footnote w:id="50">
    <w:p>
      <w:pPr>
        <w:pStyle w:val="FootnoteText"/>
      </w:pPr>
      <w:r>
        <w:rPr>
          <w:rStyle w:val="FootnoteReference"/>
        </w:rPr>
        <w:footnoteRef/>
      </w:r>
      <w:r>
        <w:t xml:space="preserve"> </w:t>
      </w:r>
      <w:hyperlink r:id="rId51">
        <w:r>
          <w:rPr>
            <w:rStyle w:val="Hyperlink"/>
          </w:rPr>
          <w:t xml:space="preserve">https://unstats.un.org/unsd/nationalaccount/docs/1993sna.pdf</w:t>
        </w:r>
      </w:hyperlink>
    </w:p>
  </w:footnote>
  <w:footnote w:id="53">
    <w:p>
      <w:pPr>
        <w:pStyle w:val="FootnoteText"/>
      </w:pPr>
      <w:r>
        <w:rPr>
          <w:rStyle w:val="FootnoteReference"/>
        </w:rPr>
        <w:footnoteRef/>
      </w:r>
      <w:r>
        <w:t xml:space="preserve"> </w:t>
      </w:r>
      <w:hyperlink r:id="rId47">
        <w:r>
          <w:rPr>
            <w:rStyle w:val="Hyperlink"/>
          </w:rPr>
          <w:t xml:space="preserve">https://unstats.un.org/unsd/nationalaccount/docs/2025_SNA_Pre-edit.pdf</w:t>
        </w:r>
      </w:hyperlink>
      <w:r>
        <w:t xml:space="preserve"> </w:t>
      </w:r>
      <w:r>
        <w:t xml:space="preserve">Chapter 2, section 5</w:t>
      </w:r>
      <w:r>
        <w:t xml:space="preserve"> </w:t>
      </w:r>
      <w:r>
        <w:t xml:space="preserve">“Measures concerning the environment”</w:t>
      </w:r>
    </w:p>
  </w:footnote>
  <w:footnote w:id="55">
    <w:p>
      <w:pPr>
        <w:pStyle w:val="FootnoteText"/>
      </w:pPr>
      <w:r>
        <w:rPr>
          <w:rStyle w:val="FootnoteReference"/>
        </w:rPr>
        <w:footnoteRef/>
      </w:r>
      <w:r>
        <w:t xml:space="preserve"> </w:t>
      </w:r>
      <w:r>
        <w:t xml:space="preserve">(</w:t>
      </w:r>
      <w:hyperlink r:id="rId26">
        <w:r>
          <w:rPr>
            <w:rStyle w:val="Hyperlink"/>
          </w:rPr>
          <w:t xml:space="preserve">United Nations, European Union, Food et al., 2014</w:t>
        </w:r>
      </w:hyperlink>
      <w:r>
        <w:t xml:space="preserve">) section 2.17, page 13</w:t>
      </w:r>
    </w:p>
  </w:footnote>
  <w:footnote w:id="92">
    <w:p>
      <w:pPr>
        <w:pStyle w:val="FootnoteText"/>
      </w:pPr>
      <w:r>
        <w:rPr>
          <w:rStyle w:val="FootnoteReference"/>
        </w:rPr>
        <w:footnoteRef/>
      </w:r>
      <w:r>
        <w:t xml:space="preserve"> </w:t>
      </w:r>
      <w:r>
        <w:t xml:space="preserve">The three flow measures captured through the SEEA-CF.</w:t>
      </w:r>
    </w:p>
  </w:footnote>
  <w:footnote w:id="108">
    <w:p>
      <w:pPr>
        <w:pStyle w:val="FootnoteText"/>
      </w:pPr>
      <w:r>
        <w:rPr>
          <w:rStyle w:val="FootnoteReference"/>
        </w:rPr>
        <w:footnoteRef/>
      </w:r>
      <w:r>
        <w:t xml:space="preserve"> </w:t>
      </w:r>
      <w:r>
        <w:t xml:space="preserve">(</w:t>
      </w:r>
      <w:hyperlink r:id="rId26">
        <w:r>
          <w:rPr>
            <w:rStyle w:val="Hyperlink"/>
          </w:rPr>
          <w:t xml:space="preserve">United Nations, European Union, Food et al., 2014</w:t>
        </w:r>
      </w:hyperlink>
      <w:r>
        <w:t xml:space="preserve">) section 2.21, page 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2C90B52" w:rsidR="000625BA" w:rsidRPr="000625BA" w:rsidRDefault="002C3724" w:rsidP="000625BA">
    <w:pPr>
      <w:pStyle w:val="Header"/>
      <w:jc w:val="right"/>
      <w:rPr>
        <w:color w:val="A6A6A6" w:themeColor="background1" w:themeShade="A6"/>
      </w:rPr>
    </w:pPr>
    <w:r>
      <w:rPr>
        <w:noProof/>
      </w:rPr>
      <w:pict w14:anchorId="6554D7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108766" o:spid="_x0000_s1026" type="#_x0000_t136" style="position:absolute;left:0;text-align:left;margin-left:0;margin-top:0;width:560.25pt;height:25.05pt;rotation:315;z-index:-251652608;mso-position-horizontal:center;mso-position-horizontal-relative:margin;mso-position-vertical:center;mso-position-vertical-relative:margin" o:allowincell="f" fillcolor="#7f7f7f [1612]" stroked="f">
          <v:fill opacity=".5"/>
          <v:textpath style="font-family:&quot;Calibri&quot;;font-size:1pt" string="Exceedingly Draft! No where near complete! Don't quote. Probably don't even read :-)"/>
          <w10:wrap anchorx="margin" anchory="margin"/>
        </v:shape>
      </w:pict>
    </w:r>
    <w:r w:rsidR="00EC55E3">
      <w:rPr>
        <w:noProof/>
      </w:rPr>
      <w:drawing>
        <wp:anchor distT="0" distB="0" distL="114300" distR="114300" simplePos="0" relativeHeight="251660288"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412D3969" w:rsidR="00FE0BE0" w:rsidRPr="000625BA" w:rsidRDefault="002C3724">
    <w:pPr>
      <w:pStyle w:val="Header"/>
      <w:rPr>
        <w:color w:val="A6A6A6" w:themeColor="background1" w:themeShade="A6"/>
      </w:rPr>
    </w:pPr>
    <w:r>
      <w:rPr>
        <w:noProof/>
      </w:rPr>
      <w:pict w14:anchorId="48F6DA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108767" o:spid="_x0000_s1027" type="#_x0000_t136" style="position:absolute;margin-left:0;margin-top:0;width:560.25pt;height:25.05pt;rotation:315;z-index:-251650560;mso-position-horizontal:center;mso-position-horizontal-relative:margin;mso-position-vertical:center;mso-position-vertical-relative:margin" o:allowincell="f" fillcolor="#7f7f7f [1612]" stroked="f">
          <v:fill opacity=".5"/>
          <v:textpath style="font-family:&quot;Calibri&quot;;font-size:1pt" string="Exceedingly Draft! No where near complete! Don't quote. Probably don't even read :-)"/>
          <w10:wrap anchorx="margin" anchory="margin"/>
        </v:shape>
      </w:pict>
    </w:r>
    <w:r w:rsidR="00EC55E3">
      <w:rPr>
        <w:noProof/>
      </w:rPr>
      <w:drawing>
        <wp:anchor distT="0" distB="0" distL="114300" distR="114300" simplePos="0" relativeHeight="251656192"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097C77C9" w:rsidR="00302AD9" w:rsidRDefault="002C3724">
    <w:pPr>
      <w:pStyle w:val="Header"/>
    </w:pPr>
    <w:r>
      <w:rPr>
        <w:noProof/>
      </w:rPr>
      <w:pict w14:anchorId="3EFCF6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108765" o:spid="_x0000_s1025" type="#_x0000_t136" style="position:absolute;margin-left:0;margin-top:0;width:560.25pt;height:25.05pt;rotation:315;z-index:-251654656;mso-position-horizontal:center;mso-position-horizontal-relative:margin;mso-position-vertical:center;mso-position-vertical-relative:margin" o:allowincell="f" fillcolor="#7f7f7f [1612]" stroked="f">
          <v:fill opacity=".5"/>
          <v:textpath style="font-family:&quot;Calibri&quot;;font-size:1pt" string="Exceedingly Draft! No where near complete! Don't quote. Probably don't even read :-)"/>
          <w10:wrap anchorx="margin" anchory="margin"/>
        </v:shape>
      </w:pict>
    </w:r>
    <w:r w:rsidR="004E7FA2">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o:shapelayout v:ext="edit">
      <o:idmap data="1" v:ext="edit"/>
    </o:shapelayou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3724"/>
    <w:rsid w:val="002C6215"/>
    <w:rsid w:val="002D77EB"/>
    <w:rsid w:val="00302AD9"/>
    <w:rsid w:val="00307DAA"/>
    <w:rsid w:val="0031123D"/>
    <w:rsid w:val="003346AA"/>
    <w:rsid w:val="003811D7"/>
    <w:rsid w:val="003836D8"/>
    <w:rsid w:val="003D4EC7"/>
    <w:rsid w:val="00427B3A"/>
    <w:rsid w:val="0047794B"/>
    <w:rsid w:val="004909C1"/>
    <w:rsid w:val="00492A21"/>
    <w:rsid w:val="004E29B3"/>
    <w:rsid w:val="004E7FA2"/>
    <w:rsid w:val="0054487E"/>
    <w:rsid w:val="00550F77"/>
    <w:rsid w:val="0058551E"/>
    <w:rsid w:val="00590D07"/>
    <w:rsid w:val="005C6347"/>
    <w:rsid w:val="005E4326"/>
    <w:rsid w:val="00600F57"/>
    <w:rsid w:val="00602EF4"/>
    <w:rsid w:val="0061100D"/>
    <w:rsid w:val="00631E9C"/>
    <w:rsid w:val="0064758A"/>
    <w:rsid w:val="00680D48"/>
    <w:rsid w:val="006951B6"/>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D5733"/>
    <w:rsid w:val="00DE466A"/>
    <w:rsid w:val="00E25AF1"/>
    <w:rsid w:val="00E315A3"/>
    <w:rsid w:val="00E3354D"/>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6951B6"/>
    <w:pPr>
      <w:keepNext/>
      <w:keepLines/>
      <w:spacing w:after="0" w:before="240"/>
      <w:outlineLvl w:val="0"/>
    </w:pPr>
    <w:rPr>
      <w:rFonts w:cstheme="majorBidi" w:eastAsiaTheme="majorEastAsia"/>
      <w:b/>
      <w:bCs/>
      <w:sz w:val="36"/>
      <w:szCs w:val="32"/>
    </w:rPr>
  </w:style>
  <w:style w:styleId="Heading2" w:type="paragraph">
    <w:name w:val="heading 2"/>
    <w:basedOn w:val="Heading1"/>
    <w:next w:val="BodyText"/>
    <w:uiPriority w:val="9"/>
    <w:unhideWhenUsed/>
    <w:qFormat/>
    <w:rsid w:val="006951B6"/>
    <w:pPr>
      <w:spacing w:before="200"/>
      <w:outlineLvl w:val="1"/>
    </w:pPr>
    <w:rPr>
      <w:b w:val="0"/>
      <w:bCs w:val="0"/>
      <w:i/>
      <w:sz w:val="28"/>
      <w:szCs w:val="28"/>
    </w:rPr>
  </w:style>
  <w:style w:styleId="Heading3" w:type="paragraph">
    <w:name w:val="heading 3"/>
    <w:basedOn w:val="Heading1"/>
    <w:next w:val="BodyText"/>
    <w:uiPriority w:val="9"/>
    <w:unhideWhenUsed/>
    <w:qFormat/>
    <w:rsid w:val="006951B6"/>
    <w:pPr>
      <w:spacing w:before="200"/>
      <w:outlineLvl w:val="2"/>
    </w:pPr>
    <w:rPr>
      <w:b w:val="0"/>
      <w:bCs w:val="0"/>
      <w:i/>
      <w:sz w:val="24"/>
    </w:rPr>
  </w:style>
  <w:style w:styleId="Heading4" w:type="paragraph">
    <w:name w:val="heading 4"/>
    <w:basedOn w:val="Normal"/>
    <w:next w:val="BodyText"/>
    <w:uiPriority w:val="9"/>
    <w:unhideWhenUsed/>
    <w:qFormat/>
    <w:rsid w:val="006951B6"/>
    <w:pPr>
      <w:keepNext/>
      <w:keepLines/>
      <w:spacing w:after="0" w:before="200"/>
      <w:outlineLvl w:val="3"/>
    </w:pPr>
    <w:rPr>
      <w:rFonts w:asciiTheme="majorHAnsi" w:cstheme="majorBidi" w:eastAsiaTheme="majorEastAsia" w:hAnsiTheme="majorHAnsi"/>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rsid w:val="0058551E"/>
    <w:pPr>
      <w:spacing w:after="0" w:line="240" w:lineRule="auto"/>
    </w:pPr>
    <w:rPr>
      <w:sz w:val="18"/>
    </w:r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121" Target="media/rId121.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57" Target="media/rId57.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35" Target="media/rId35.png" /><Relationship Type="http://schemas.openxmlformats.org/officeDocument/2006/relationships/image" Id="rId98" Target="media/rId98.png" /><Relationship Type="http://schemas.openxmlformats.org/officeDocument/2006/relationships/image" Id="rId65" Target="media/rId65.png" /><Relationship Type="http://schemas.openxmlformats.org/officeDocument/2006/relationships/hyperlink" Id="rId131" Target="https://doi.org/10.1126%2Fscience.adl4019" TargetMode="External" /><Relationship Type="http://schemas.openxmlformats.org/officeDocument/2006/relationships/hyperlink" Id="rId31" Target="https://nso.gov.ki/download/151/2023-24-hies-reports/2167/kiribati-natural-disasters-and-climate-change-report-2023-2024" TargetMode="External" /><Relationship Type="http://schemas.openxmlformats.org/officeDocument/2006/relationships/hyperlink" Id="rId26" Target="https://seea.un.org/sites/seea.un.org/files/seea_cf_final_en.pdf" TargetMode="External" /><Relationship Type="http://schemas.openxmlformats.org/officeDocument/2006/relationships/hyperlink" Id="rId51" Target="https://unstats.un.org/unsd/nationalaccount/docs/1993sna.pdf" TargetMode="External" /><Relationship Type="http://schemas.openxmlformats.org/officeDocument/2006/relationships/hyperlink" Id="rId47" Target="https://unstats.un.org/unsd/nationalaccount/docs/2025_SNA_Pre-edit.pdf" TargetMode="External" /><Relationship Type="http://schemas.openxmlformats.org/officeDocument/2006/relationships/hyperlink" Id="rId28" Target="https://unstats.un.org/unsd/nationalaccount/sna.asp" TargetMode="External" /><Relationship Type="http://schemas.openxmlformats.org/officeDocument/2006/relationships/hyperlink" Id="rId24" Target="https://www.are.admin.ch/are/en/home/media/publications/sustainable-development/brundtland-report.html" TargetMode="External" /><Relationship Type="http://schemas.openxmlformats.org/officeDocument/2006/relationships/hyperlink" Id="rId41" Target="https://www.science.org/doi/10.1126/science.adl4019" TargetMode="External" /><Relationship Type="http://schemas.openxmlformats.org/officeDocument/2006/relationships/hyperlink" Id="rId22" Target="https://www.spc.int/updates/news/2023/09/the-existential-threat-climate-change-poses-to-pacific-nations-presented-at" TargetMode="External" /></Relationships>
</file>

<file path=word/_rels/footnotes.xml.rels><?xml version="1.0" encoding="UTF-8"?><Relationships xmlns="http://schemas.openxmlformats.org/package/2006/relationships"><Relationship Type="http://schemas.openxmlformats.org/officeDocument/2006/relationships/hyperlink" Id="rId131" Target="https://doi.org/10.1126%2Fscience.adl4019" TargetMode="External" /><Relationship Type="http://schemas.openxmlformats.org/officeDocument/2006/relationships/hyperlink" Id="rId31" Target="https://nso.gov.ki/download/151/2023-24-hies-reports/2167/kiribati-natural-disasters-and-climate-change-report-2023-2024" TargetMode="External" /><Relationship Type="http://schemas.openxmlformats.org/officeDocument/2006/relationships/hyperlink" Id="rId26" Target="https://seea.un.org/sites/seea.un.org/files/seea_cf_final_en.pdf" TargetMode="External" /><Relationship Type="http://schemas.openxmlformats.org/officeDocument/2006/relationships/hyperlink" Id="rId51" Target="https://unstats.un.org/unsd/nationalaccount/docs/1993sna.pdf" TargetMode="External" /><Relationship Type="http://schemas.openxmlformats.org/officeDocument/2006/relationships/hyperlink" Id="rId47" Target="https://unstats.un.org/unsd/nationalaccount/docs/2025_SNA_Pre-edit.pdf" TargetMode="External" /><Relationship Type="http://schemas.openxmlformats.org/officeDocument/2006/relationships/hyperlink" Id="rId28" Target="https://unstats.un.org/unsd/nationalaccount/sna.asp" TargetMode="External" /><Relationship Type="http://schemas.openxmlformats.org/officeDocument/2006/relationships/hyperlink" Id="rId24" Target="https://www.are.admin.ch/are/en/home/media/publications/sustainable-development/brundtland-report.html" TargetMode="External" /><Relationship Type="http://schemas.openxmlformats.org/officeDocument/2006/relationships/hyperlink" Id="rId41" Target="https://www.science.org/doi/10.1126/science.adl4019" TargetMode="External" /><Relationship Type="http://schemas.openxmlformats.org/officeDocument/2006/relationships/hyperlink" Id="rId22" Target="https://www.spc.int/updates/news/2023/09/the-existential-threat-climate-change-poses-to-pacific-nations-presented-a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2025-07-31T04:42:04Z</dcterms:created>
  <dcterms:modified xsi:type="dcterms:W3CDTF">2025-07-31T04:42:04Z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 July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