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C5252B" w14:textId="77777777" w:rsidR="007A3D20" w:rsidRDefault="00000000">
      <w:pPr>
        <w:pStyle w:val="Title"/>
      </w:pPr>
      <w:r>
        <w:t>Pacific Regional Environmental Accounts Incorporating Ocean Accounts</w:t>
      </w:r>
    </w:p>
    <w:p w14:paraId="582FC0F4" w14:textId="77777777" w:rsidR="007A3D20" w:rsidRDefault="00000000">
      <w:pPr>
        <w:pStyle w:val="Subtitle"/>
      </w:pPr>
      <w:r>
        <w:t>An SPC Digital Earth Pacific Data Source and Foundation Augmented with FAME and GEM Data</w:t>
      </w:r>
    </w:p>
    <w:p w14:paraId="3B0A44C8" w14:textId="77777777" w:rsidR="007A3D20" w:rsidRDefault="00000000">
      <w:pPr>
        <w:pStyle w:val="Author"/>
      </w:pPr>
      <w:r>
        <w:t>FAME Economics</w:t>
      </w:r>
    </w:p>
    <w:p w14:paraId="13FD74F7" w14:textId="68207F46" w:rsidR="00C836D3" w:rsidRDefault="00000000">
      <w:pPr>
        <w:pStyle w:val="Date"/>
      </w:pPr>
      <w:r>
        <w:t>31 July 2025</w:t>
      </w:r>
    </w:p>
    <w:p w14:paraId="41BF9ADD" w14:textId="77777777" w:rsidR="00C836D3" w:rsidRDefault="00C836D3">
      <w:pPr>
        <w:rPr>
          <w:rFonts w:asciiTheme="minorHAnsi" w:hAnsiTheme="minorHAnsi"/>
          <w:sz w:val="24"/>
        </w:rPr>
      </w:pPr>
      <w:r>
        <w:br w:type="page"/>
      </w:r>
    </w:p>
    <w:p w14:paraId="564D220F" w14:textId="77777777" w:rsidR="007A3D20" w:rsidRDefault="007A3D20">
      <w:pPr>
        <w:pStyle w:val="Date"/>
      </w:pPr>
    </w:p>
    <w:sdt>
      <w:sdtPr>
        <w:rPr>
          <w:rFonts w:ascii="Calibri" w:eastAsiaTheme="minorHAnsi" w:hAnsi="Calibri" w:cstheme="minorBidi"/>
          <w:b w:val="0"/>
          <w:sz w:val="22"/>
          <w:szCs w:val="24"/>
        </w:rPr>
        <w:id w:val="1774892640"/>
        <w:docPartObj>
          <w:docPartGallery w:val="Table of Contents"/>
          <w:docPartUnique/>
        </w:docPartObj>
      </w:sdtPr>
      <w:sdtContent>
        <w:p w14:paraId="7D7CE611" w14:textId="77777777" w:rsidR="007A3D20" w:rsidRDefault="00000000">
          <w:pPr>
            <w:pStyle w:val="TOCHeading"/>
          </w:pPr>
          <w:r>
            <w:t>Table of Contents</w:t>
          </w:r>
        </w:p>
        <w:p w14:paraId="3B931F2D" w14:textId="77777777" w:rsidR="00C836D3" w:rsidRDefault="00000000">
          <w:pPr>
            <w:pStyle w:val="TOC1"/>
            <w:tabs>
              <w:tab w:val="left" w:pos="440"/>
              <w:tab w:val="right" w:leader="dot" w:pos="8296"/>
            </w:tabs>
            <w:rPr>
              <w:rFonts w:asciiTheme="minorHAnsi" w:eastAsiaTheme="minorEastAsia" w:hAnsiTheme="minorHAnsi" w:cstheme="minorBidi"/>
              <w:b w:val="0"/>
              <w:bCs w:val="0"/>
              <w:caps w:val="0"/>
              <w:noProof/>
              <w:kern w:val="2"/>
              <w:lang w:val="en-NZ" w:eastAsia="en-NZ"/>
              <w14:ligatures w14:val="standardContextual"/>
            </w:rPr>
          </w:pPr>
          <w:r>
            <w:fldChar w:fldCharType="begin"/>
          </w:r>
          <w:r>
            <w:instrText>TOC \o "1-3" \h \z \u</w:instrText>
          </w:r>
          <w:r>
            <w:fldChar w:fldCharType="separate"/>
          </w:r>
          <w:hyperlink w:anchor="_Toc204881129" w:history="1">
            <w:r w:rsidR="00C836D3" w:rsidRPr="00597EE5">
              <w:rPr>
                <w:rStyle w:val="Hyperlink"/>
                <w:noProof/>
              </w:rPr>
              <w:t>1</w:t>
            </w:r>
            <w:r w:rsidR="00C836D3">
              <w:rPr>
                <w:rFonts w:asciiTheme="minorHAnsi" w:eastAsiaTheme="minorEastAsia" w:hAnsiTheme="minorHAnsi" w:cstheme="minorBidi"/>
                <w:b w:val="0"/>
                <w:bCs w:val="0"/>
                <w:caps w:val="0"/>
                <w:noProof/>
                <w:kern w:val="2"/>
                <w:lang w:val="en-NZ" w:eastAsia="en-NZ"/>
                <w14:ligatures w14:val="standardContextual"/>
              </w:rPr>
              <w:tab/>
            </w:r>
            <w:r w:rsidR="00C836D3" w:rsidRPr="00597EE5">
              <w:rPr>
                <w:rStyle w:val="Hyperlink"/>
                <w:noProof/>
              </w:rPr>
              <w:t>Executive Summary</w:t>
            </w:r>
            <w:r w:rsidR="00C836D3">
              <w:rPr>
                <w:noProof/>
                <w:webHidden/>
              </w:rPr>
              <w:tab/>
            </w:r>
            <w:r w:rsidR="00C836D3">
              <w:rPr>
                <w:noProof/>
                <w:webHidden/>
              </w:rPr>
              <w:fldChar w:fldCharType="begin"/>
            </w:r>
            <w:r w:rsidR="00C836D3">
              <w:rPr>
                <w:noProof/>
                <w:webHidden/>
              </w:rPr>
              <w:instrText xml:space="preserve"> PAGEREF _Toc204881129 \h </w:instrText>
            </w:r>
            <w:r w:rsidR="00C836D3">
              <w:rPr>
                <w:noProof/>
                <w:webHidden/>
              </w:rPr>
            </w:r>
            <w:r w:rsidR="00C836D3">
              <w:rPr>
                <w:noProof/>
                <w:webHidden/>
              </w:rPr>
              <w:fldChar w:fldCharType="separate"/>
            </w:r>
            <w:r w:rsidR="00C836D3">
              <w:rPr>
                <w:noProof/>
                <w:webHidden/>
              </w:rPr>
              <w:t>3</w:t>
            </w:r>
            <w:r w:rsidR="00C836D3">
              <w:rPr>
                <w:noProof/>
                <w:webHidden/>
              </w:rPr>
              <w:fldChar w:fldCharType="end"/>
            </w:r>
          </w:hyperlink>
        </w:p>
        <w:p w14:paraId="161FC4B6" w14:textId="77777777" w:rsidR="00C836D3" w:rsidRDefault="00C836D3">
          <w:pPr>
            <w:pStyle w:val="TOC1"/>
            <w:tabs>
              <w:tab w:val="left" w:pos="440"/>
              <w:tab w:val="right" w:leader="dot" w:pos="8296"/>
            </w:tabs>
            <w:rPr>
              <w:rFonts w:asciiTheme="minorHAnsi" w:eastAsiaTheme="minorEastAsia" w:hAnsiTheme="minorHAnsi" w:cstheme="minorBidi"/>
              <w:b w:val="0"/>
              <w:bCs w:val="0"/>
              <w:caps w:val="0"/>
              <w:noProof/>
              <w:kern w:val="2"/>
              <w:lang w:val="en-NZ" w:eastAsia="en-NZ"/>
              <w14:ligatures w14:val="standardContextual"/>
            </w:rPr>
          </w:pPr>
          <w:hyperlink w:anchor="_Toc204881130" w:history="1">
            <w:r w:rsidRPr="00597EE5">
              <w:rPr>
                <w:rStyle w:val="Hyperlink"/>
                <w:noProof/>
              </w:rPr>
              <w:t>2</w:t>
            </w:r>
            <w:r>
              <w:rPr>
                <w:rFonts w:asciiTheme="minorHAnsi" w:eastAsiaTheme="minorEastAsia" w:hAnsiTheme="minorHAnsi" w:cstheme="minorBidi"/>
                <w:b w:val="0"/>
                <w:bCs w:val="0"/>
                <w:caps w:val="0"/>
                <w:noProof/>
                <w:kern w:val="2"/>
                <w:lang w:val="en-NZ" w:eastAsia="en-NZ"/>
                <w14:ligatures w14:val="standardContextual"/>
              </w:rPr>
              <w:tab/>
            </w:r>
            <w:r w:rsidRPr="00597EE5">
              <w:rPr>
                <w:rStyle w:val="Hyperlink"/>
                <w:noProof/>
              </w:rPr>
              <w:t>Background and context</w:t>
            </w:r>
            <w:r>
              <w:rPr>
                <w:noProof/>
                <w:webHidden/>
              </w:rPr>
              <w:tab/>
            </w:r>
            <w:r>
              <w:rPr>
                <w:noProof/>
                <w:webHidden/>
              </w:rPr>
              <w:fldChar w:fldCharType="begin"/>
            </w:r>
            <w:r>
              <w:rPr>
                <w:noProof/>
                <w:webHidden/>
              </w:rPr>
              <w:instrText xml:space="preserve"> PAGEREF _Toc204881130 \h </w:instrText>
            </w:r>
            <w:r>
              <w:rPr>
                <w:noProof/>
                <w:webHidden/>
              </w:rPr>
            </w:r>
            <w:r>
              <w:rPr>
                <w:noProof/>
                <w:webHidden/>
              </w:rPr>
              <w:fldChar w:fldCharType="separate"/>
            </w:r>
            <w:r>
              <w:rPr>
                <w:noProof/>
                <w:webHidden/>
              </w:rPr>
              <w:t>4</w:t>
            </w:r>
            <w:r>
              <w:rPr>
                <w:noProof/>
                <w:webHidden/>
              </w:rPr>
              <w:fldChar w:fldCharType="end"/>
            </w:r>
          </w:hyperlink>
        </w:p>
        <w:p w14:paraId="5BCA38E8" w14:textId="77777777" w:rsidR="00C836D3" w:rsidRDefault="00C836D3">
          <w:pPr>
            <w:pStyle w:val="TOC2"/>
            <w:tabs>
              <w:tab w:val="right" w:leader="dot" w:pos="8296"/>
            </w:tabs>
            <w:rPr>
              <w:rFonts w:eastAsiaTheme="minorEastAsia"/>
              <w:b w:val="0"/>
              <w:bCs w:val="0"/>
              <w:noProof/>
              <w:kern w:val="2"/>
              <w:sz w:val="24"/>
              <w:szCs w:val="24"/>
              <w:lang w:val="en-NZ" w:eastAsia="en-NZ"/>
              <w14:ligatures w14:val="standardContextual"/>
            </w:rPr>
          </w:pPr>
          <w:hyperlink w:anchor="_Toc204881131" w:history="1">
            <w:r w:rsidRPr="00597EE5">
              <w:rPr>
                <w:rStyle w:val="Hyperlink"/>
                <w:noProof/>
              </w:rPr>
              <w:t>Climate change needs a better suite of metrics</w:t>
            </w:r>
            <w:r>
              <w:rPr>
                <w:noProof/>
                <w:webHidden/>
              </w:rPr>
              <w:tab/>
            </w:r>
            <w:r>
              <w:rPr>
                <w:noProof/>
                <w:webHidden/>
              </w:rPr>
              <w:fldChar w:fldCharType="begin"/>
            </w:r>
            <w:r>
              <w:rPr>
                <w:noProof/>
                <w:webHidden/>
              </w:rPr>
              <w:instrText xml:space="preserve"> PAGEREF _Toc204881131 \h </w:instrText>
            </w:r>
            <w:r>
              <w:rPr>
                <w:noProof/>
                <w:webHidden/>
              </w:rPr>
            </w:r>
            <w:r>
              <w:rPr>
                <w:noProof/>
                <w:webHidden/>
              </w:rPr>
              <w:fldChar w:fldCharType="separate"/>
            </w:r>
            <w:r>
              <w:rPr>
                <w:noProof/>
                <w:webHidden/>
              </w:rPr>
              <w:t>4</w:t>
            </w:r>
            <w:r>
              <w:rPr>
                <w:noProof/>
                <w:webHidden/>
              </w:rPr>
              <w:fldChar w:fldCharType="end"/>
            </w:r>
          </w:hyperlink>
        </w:p>
        <w:p w14:paraId="77F5FE5C" w14:textId="77777777" w:rsidR="00C836D3" w:rsidRDefault="00C836D3">
          <w:pPr>
            <w:pStyle w:val="TOC2"/>
            <w:tabs>
              <w:tab w:val="right" w:leader="dot" w:pos="8296"/>
            </w:tabs>
            <w:rPr>
              <w:rFonts w:eastAsiaTheme="minorEastAsia"/>
              <w:b w:val="0"/>
              <w:bCs w:val="0"/>
              <w:noProof/>
              <w:kern w:val="2"/>
              <w:sz w:val="24"/>
              <w:szCs w:val="24"/>
              <w:lang w:val="en-NZ" w:eastAsia="en-NZ"/>
              <w14:ligatures w14:val="standardContextual"/>
            </w:rPr>
          </w:pPr>
          <w:hyperlink w:anchor="_Toc204881132" w:history="1">
            <w:r w:rsidRPr="00597EE5">
              <w:rPr>
                <w:rStyle w:val="Hyperlink"/>
                <w:noProof/>
              </w:rPr>
              <w:t>Weather extremes regularly destroy PICT land-based capital…</w:t>
            </w:r>
            <w:r>
              <w:rPr>
                <w:noProof/>
                <w:webHidden/>
              </w:rPr>
              <w:tab/>
            </w:r>
            <w:r>
              <w:rPr>
                <w:noProof/>
                <w:webHidden/>
              </w:rPr>
              <w:fldChar w:fldCharType="begin"/>
            </w:r>
            <w:r>
              <w:rPr>
                <w:noProof/>
                <w:webHidden/>
              </w:rPr>
              <w:instrText xml:space="preserve"> PAGEREF _Toc204881132 \h </w:instrText>
            </w:r>
            <w:r>
              <w:rPr>
                <w:noProof/>
                <w:webHidden/>
              </w:rPr>
            </w:r>
            <w:r>
              <w:rPr>
                <w:noProof/>
                <w:webHidden/>
              </w:rPr>
              <w:fldChar w:fldCharType="separate"/>
            </w:r>
            <w:r>
              <w:rPr>
                <w:noProof/>
                <w:webHidden/>
              </w:rPr>
              <w:t>5</w:t>
            </w:r>
            <w:r>
              <w:rPr>
                <w:noProof/>
                <w:webHidden/>
              </w:rPr>
              <w:fldChar w:fldCharType="end"/>
            </w:r>
          </w:hyperlink>
        </w:p>
        <w:p w14:paraId="332C06B5" w14:textId="77777777" w:rsidR="00C836D3" w:rsidRDefault="00C836D3">
          <w:pPr>
            <w:pStyle w:val="TOC2"/>
            <w:tabs>
              <w:tab w:val="right" w:leader="dot" w:pos="8296"/>
            </w:tabs>
            <w:rPr>
              <w:rFonts w:eastAsiaTheme="minorEastAsia"/>
              <w:b w:val="0"/>
              <w:bCs w:val="0"/>
              <w:noProof/>
              <w:kern w:val="2"/>
              <w:sz w:val="24"/>
              <w:szCs w:val="24"/>
              <w:lang w:val="en-NZ" w:eastAsia="en-NZ"/>
              <w14:ligatures w14:val="standardContextual"/>
            </w:rPr>
          </w:pPr>
          <w:hyperlink w:anchor="_Toc204881133" w:history="1">
            <w:r w:rsidRPr="00597EE5">
              <w:rPr>
                <w:rStyle w:val="Hyperlink"/>
                <w:noProof/>
              </w:rPr>
              <w:t>… while ocean-based capital is more weather resilient</w:t>
            </w:r>
            <w:r>
              <w:rPr>
                <w:noProof/>
                <w:webHidden/>
              </w:rPr>
              <w:tab/>
            </w:r>
            <w:r>
              <w:rPr>
                <w:noProof/>
                <w:webHidden/>
              </w:rPr>
              <w:fldChar w:fldCharType="begin"/>
            </w:r>
            <w:r>
              <w:rPr>
                <w:noProof/>
                <w:webHidden/>
              </w:rPr>
              <w:instrText xml:space="preserve"> PAGEREF _Toc204881133 \h </w:instrText>
            </w:r>
            <w:r>
              <w:rPr>
                <w:noProof/>
                <w:webHidden/>
              </w:rPr>
            </w:r>
            <w:r>
              <w:rPr>
                <w:noProof/>
                <w:webHidden/>
              </w:rPr>
              <w:fldChar w:fldCharType="separate"/>
            </w:r>
            <w:r>
              <w:rPr>
                <w:noProof/>
                <w:webHidden/>
              </w:rPr>
              <w:t>5</w:t>
            </w:r>
            <w:r>
              <w:rPr>
                <w:noProof/>
                <w:webHidden/>
              </w:rPr>
              <w:fldChar w:fldCharType="end"/>
            </w:r>
          </w:hyperlink>
        </w:p>
        <w:p w14:paraId="3B0A2E30" w14:textId="77777777" w:rsidR="00C836D3" w:rsidRDefault="00C836D3">
          <w:pPr>
            <w:pStyle w:val="TOC2"/>
            <w:tabs>
              <w:tab w:val="right" w:leader="dot" w:pos="8296"/>
            </w:tabs>
            <w:rPr>
              <w:rFonts w:eastAsiaTheme="minorEastAsia"/>
              <w:b w:val="0"/>
              <w:bCs w:val="0"/>
              <w:noProof/>
              <w:kern w:val="2"/>
              <w:sz w:val="24"/>
              <w:szCs w:val="24"/>
              <w:lang w:val="en-NZ" w:eastAsia="en-NZ"/>
              <w14:ligatures w14:val="standardContextual"/>
            </w:rPr>
          </w:pPr>
          <w:hyperlink w:anchor="_Toc204881134" w:history="1">
            <w:r w:rsidRPr="00597EE5">
              <w:rPr>
                <w:rStyle w:val="Hyperlink"/>
                <w:noProof/>
              </w:rPr>
              <w:t>The value of simulatenously measuring both the enviromental and the economic system is high</w:t>
            </w:r>
            <w:r>
              <w:rPr>
                <w:noProof/>
                <w:webHidden/>
              </w:rPr>
              <w:tab/>
            </w:r>
            <w:r>
              <w:rPr>
                <w:noProof/>
                <w:webHidden/>
              </w:rPr>
              <w:fldChar w:fldCharType="begin"/>
            </w:r>
            <w:r>
              <w:rPr>
                <w:noProof/>
                <w:webHidden/>
              </w:rPr>
              <w:instrText xml:space="preserve"> PAGEREF _Toc204881134 \h </w:instrText>
            </w:r>
            <w:r>
              <w:rPr>
                <w:noProof/>
                <w:webHidden/>
              </w:rPr>
            </w:r>
            <w:r>
              <w:rPr>
                <w:noProof/>
                <w:webHidden/>
              </w:rPr>
              <w:fldChar w:fldCharType="separate"/>
            </w:r>
            <w:r>
              <w:rPr>
                <w:noProof/>
                <w:webHidden/>
              </w:rPr>
              <w:t>6</w:t>
            </w:r>
            <w:r>
              <w:rPr>
                <w:noProof/>
                <w:webHidden/>
              </w:rPr>
              <w:fldChar w:fldCharType="end"/>
            </w:r>
          </w:hyperlink>
        </w:p>
        <w:p w14:paraId="109AB883" w14:textId="77777777" w:rsidR="00C836D3" w:rsidRDefault="00C836D3">
          <w:pPr>
            <w:pStyle w:val="TOC2"/>
            <w:tabs>
              <w:tab w:val="right" w:leader="dot" w:pos="8296"/>
            </w:tabs>
            <w:rPr>
              <w:rFonts w:eastAsiaTheme="minorEastAsia"/>
              <w:b w:val="0"/>
              <w:bCs w:val="0"/>
              <w:noProof/>
              <w:kern w:val="2"/>
              <w:sz w:val="24"/>
              <w:szCs w:val="24"/>
              <w:lang w:val="en-NZ" w:eastAsia="en-NZ"/>
              <w14:ligatures w14:val="standardContextual"/>
            </w:rPr>
          </w:pPr>
          <w:hyperlink w:anchor="_Toc204881135" w:history="1">
            <w:r w:rsidRPr="00597EE5">
              <w:rPr>
                <w:rStyle w:val="Hyperlink"/>
                <w:noProof/>
              </w:rPr>
              <w:t>… and the cost of remote sensing is relatively low</w:t>
            </w:r>
            <w:r>
              <w:rPr>
                <w:noProof/>
                <w:webHidden/>
              </w:rPr>
              <w:tab/>
            </w:r>
            <w:r>
              <w:rPr>
                <w:noProof/>
                <w:webHidden/>
              </w:rPr>
              <w:fldChar w:fldCharType="begin"/>
            </w:r>
            <w:r>
              <w:rPr>
                <w:noProof/>
                <w:webHidden/>
              </w:rPr>
              <w:instrText xml:space="preserve"> PAGEREF _Toc204881135 \h </w:instrText>
            </w:r>
            <w:r>
              <w:rPr>
                <w:noProof/>
                <w:webHidden/>
              </w:rPr>
            </w:r>
            <w:r>
              <w:rPr>
                <w:noProof/>
                <w:webHidden/>
              </w:rPr>
              <w:fldChar w:fldCharType="separate"/>
            </w:r>
            <w:r>
              <w:rPr>
                <w:noProof/>
                <w:webHidden/>
              </w:rPr>
              <w:t>7</w:t>
            </w:r>
            <w:r>
              <w:rPr>
                <w:noProof/>
                <w:webHidden/>
              </w:rPr>
              <w:fldChar w:fldCharType="end"/>
            </w:r>
          </w:hyperlink>
        </w:p>
        <w:p w14:paraId="1AA54199" w14:textId="77777777" w:rsidR="00C836D3" w:rsidRDefault="00C836D3">
          <w:pPr>
            <w:pStyle w:val="TOC2"/>
            <w:tabs>
              <w:tab w:val="right" w:leader="dot" w:pos="8296"/>
            </w:tabs>
            <w:rPr>
              <w:rFonts w:eastAsiaTheme="minorEastAsia"/>
              <w:b w:val="0"/>
              <w:bCs w:val="0"/>
              <w:noProof/>
              <w:kern w:val="2"/>
              <w:sz w:val="24"/>
              <w:szCs w:val="24"/>
              <w:lang w:val="en-NZ" w:eastAsia="en-NZ"/>
              <w14:ligatures w14:val="standardContextual"/>
            </w:rPr>
          </w:pPr>
          <w:hyperlink w:anchor="_Toc204881136" w:history="1">
            <w:r w:rsidRPr="00597EE5">
              <w:rPr>
                <w:rStyle w:val="Hyperlink"/>
                <w:noProof/>
              </w:rPr>
              <w:t>Markets in biodiversity: Unlocking the real Blue Pacific Prosperity</w:t>
            </w:r>
            <w:r>
              <w:rPr>
                <w:noProof/>
                <w:webHidden/>
              </w:rPr>
              <w:tab/>
            </w:r>
            <w:r>
              <w:rPr>
                <w:noProof/>
                <w:webHidden/>
              </w:rPr>
              <w:fldChar w:fldCharType="begin"/>
            </w:r>
            <w:r>
              <w:rPr>
                <w:noProof/>
                <w:webHidden/>
              </w:rPr>
              <w:instrText xml:space="preserve"> PAGEREF _Toc204881136 \h </w:instrText>
            </w:r>
            <w:r>
              <w:rPr>
                <w:noProof/>
                <w:webHidden/>
              </w:rPr>
            </w:r>
            <w:r>
              <w:rPr>
                <w:noProof/>
                <w:webHidden/>
              </w:rPr>
              <w:fldChar w:fldCharType="separate"/>
            </w:r>
            <w:r>
              <w:rPr>
                <w:noProof/>
                <w:webHidden/>
              </w:rPr>
              <w:t>7</w:t>
            </w:r>
            <w:r>
              <w:rPr>
                <w:noProof/>
                <w:webHidden/>
              </w:rPr>
              <w:fldChar w:fldCharType="end"/>
            </w:r>
          </w:hyperlink>
        </w:p>
        <w:p w14:paraId="50D25369" w14:textId="77777777" w:rsidR="00C836D3" w:rsidRDefault="00C836D3">
          <w:pPr>
            <w:pStyle w:val="TOC2"/>
            <w:tabs>
              <w:tab w:val="right" w:leader="dot" w:pos="8296"/>
            </w:tabs>
            <w:rPr>
              <w:rFonts w:eastAsiaTheme="minorEastAsia"/>
              <w:b w:val="0"/>
              <w:bCs w:val="0"/>
              <w:noProof/>
              <w:kern w:val="2"/>
              <w:sz w:val="24"/>
              <w:szCs w:val="24"/>
              <w:lang w:val="en-NZ" w:eastAsia="en-NZ"/>
              <w14:ligatures w14:val="standardContextual"/>
            </w:rPr>
          </w:pPr>
          <w:hyperlink w:anchor="_Toc204881137" w:history="1">
            <w:r w:rsidRPr="00597EE5">
              <w:rPr>
                <w:rStyle w:val="Hyperlink"/>
                <w:noProof/>
              </w:rPr>
              <w:t>This is our collective efforts</w:t>
            </w:r>
            <w:r>
              <w:rPr>
                <w:noProof/>
                <w:webHidden/>
              </w:rPr>
              <w:tab/>
            </w:r>
            <w:r>
              <w:rPr>
                <w:noProof/>
                <w:webHidden/>
              </w:rPr>
              <w:fldChar w:fldCharType="begin"/>
            </w:r>
            <w:r>
              <w:rPr>
                <w:noProof/>
                <w:webHidden/>
              </w:rPr>
              <w:instrText xml:space="preserve"> PAGEREF _Toc204881137 \h </w:instrText>
            </w:r>
            <w:r>
              <w:rPr>
                <w:noProof/>
                <w:webHidden/>
              </w:rPr>
            </w:r>
            <w:r>
              <w:rPr>
                <w:noProof/>
                <w:webHidden/>
              </w:rPr>
              <w:fldChar w:fldCharType="separate"/>
            </w:r>
            <w:r>
              <w:rPr>
                <w:noProof/>
                <w:webHidden/>
              </w:rPr>
              <w:t>8</w:t>
            </w:r>
            <w:r>
              <w:rPr>
                <w:noProof/>
                <w:webHidden/>
              </w:rPr>
              <w:fldChar w:fldCharType="end"/>
            </w:r>
          </w:hyperlink>
        </w:p>
        <w:p w14:paraId="2FD6D244" w14:textId="77777777" w:rsidR="00C836D3" w:rsidRDefault="00C836D3">
          <w:pPr>
            <w:pStyle w:val="TOC1"/>
            <w:tabs>
              <w:tab w:val="left" w:pos="440"/>
              <w:tab w:val="right" w:leader="dot" w:pos="8296"/>
            </w:tabs>
            <w:rPr>
              <w:rFonts w:asciiTheme="minorHAnsi" w:eastAsiaTheme="minorEastAsia" w:hAnsiTheme="minorHAnsi" w:cstheme="minorBidi"/>
              <w:b w:val="0"/>
              <w:bCs w:val="0"/>
              <w:caps w:val="0"/>
              <w:noProof/>
              <w:kern w:val="2"/>
              <w:lang w:val="en-NZ" w:eastAsia="en-NZ"/>
              <w14:ligatures w14:val="standardContextual"/>
            </w:rPr>
          </w:pPr>
          <w:hyperlink w:anchor="_Toc204881138" w:history="1">
            <w:r w:rsidRPr="00597EE5">
              <w:rPr>
                <w:rStyle w:val="Hyperlink"/>
                <w:noProof/>
              </w:rPr>
              <w:t>3</w:t>
            </w:r>
            <w:r>
              <w:rPr>
                <w:rFonts w:asciiTheme="minorHAnsi" w:eastAsiaTheme="minorEastAsia" w:hAnsiTheme="minorHAnsi" w:cstheme="minorBidi"/>
                <w:b w:val="0"/>
                <w:bCs w:val="0"/>
                <w:caps w:val="0"/>
                <w:noProof/>
                <w:kern w:val="2"/>
                <w:lang w:val="en-NZ" w:eastAsia="en-NZ"/>
                <w14:ligatures w14:val="standardContextual"/>
              </w:rPr>
              <w:tab/>
            </w:r>
            <w:r w:rsidRPr="00597EE5">
              <w:rPr>
                <w:rStyle w:val="Hyperlink"/>
                <w:noProof/>
              </w:rPr>
              <w:t>Statistically measuring the environment</w:t>
            </w:r>
            <w:r>
              <w:rPr>
                <w:noProof/>
                <w:webHidden/>
              </w:rPr>
              <w:tab/>
            </w:r>
            <w:r>
              <w:rPr>
                <w:noProof/>
                <w:webHidden/>
              </w:rPr>
              <w:fldChar w:fldCharType="begin"/>
            </w:r>
            <w:r>
              <w:rPr>
                <w:noProof/>
                <w:webHidden/>
              </w:rPr>
              <w:instrText xml:space="preserve"> PAGEREF _Toc204881138 \h </w:instrText>
            </w:r>
            <w:r>
              <w:rPr>
                <w:noProof/>
                <w:webHidden/>
              </w:rPr>
            </w:r>
            <w:r>
              <w:rPr>
                <w:noProof/>
                <w:webHidden/>
              </w:rPr>
              <w:fldChar w:fldCharType="separate"/>
            </w:r>
            <w:r>
              <w:rPr>
                <w:noProof/>
                <w:webHidden/>
              </w:rPr>
              <w:t>9</w:t>
            </w:r>
            <w:r>
              <w:rPr>
                <w:noProof/>
                <w:webHidden/>
              </w:rPr>
              <w:fldChar w:fldCharType="end"/>
            </w:r>
          </w:hyperlink>
        </w:p>
        <w:p w14:paraId="5F4D3C7D" w14:textId="77777777" w:rsidR="00C836D3" w:rsidRDefault="00C836D3">
          <w:pPr>
            <w:pStyle w:val="TOC2"/>
            <w:tabs>
              <w:tab w:val="right" w:leader="dot" w:pos="8296"/>
            </w:tabs>
            <w:rPr>
              <w:rFonts w:eastAsiaTheme="minorEastAsia"/>
              <w:b w:val="0"/>
              <w:bCs w:val="0"/>
              <w:noProof/>
              <w:kern w:val="2"/>
              <w:sz w:val="24"/>
              <w:szCs w:val="24"/>
              <w:lang w:val="en-NZ" w:eastAsia="en-NZ"/>
              <w14:ligatures w14:val="standardContextual"/>
            </w:rPr>
          </w:pPr>
          <w:hyperlink w:anchor="_Toc204881139" w:history="1">
            <w:r w:rsidRPr="00597EE5">
              <w:rPr>
                <w:rStyle w:val="Hyperlink"/>
                <w:noProof/>
              </w:rPr>
              <w:t>The statistic issues relate to measurement theory</w:t>
            </w:r>
            <w:r>
              <w:rPr>
                <w:noProof/>
                <w:webHidden/>
              </w:rPr>
              <w:tab/>
            </w:r>
            <w:r>
              <w:rPr>
                <w:noProof/>
                <w:webHidden/>
              </w:rPr>
              <w:fldChar w:fldCharType="begin"/>
            </w:r>
            <w:r>
              <w:rPr>
                <w:noProof/>
                <w:webHidden/>
              </w:rPr>
              <w:instrText xml:space="preserve"> PAGEREF _Toc204881139 \h </w:instrText>
            </w:r>
            <w:r>
              <w:rPr>
                <w:noProof/>
                <w:webHidden/>
              </w:rPr>
            </w:r>
            <w:r>
              <w:rPr>
                <w:noProof/>
                <w:webHidden/>
              </w:rPr>
              <w:fldChar w:fldCharType="separate"/>
            </w:r>
            <w:r>
              <w:rPr>
                <w:noProof/>
                <w:webHidden/>
              </w:rPr>
              <w:t>9</w:t>
            </w:r>
            <w:r>
              <w:rPr>
                <w:noProof/>
                <w:webHidden/>
              </w:rPr>
              <w:fldChar w:fldCharType="end"/>
            </w:r>
          </w:hyperlink>
        </w:p>
        <w:p w14:paraId="311673AF" w14:textId="77777777" w:rsidR="00C836D3" w:rsidRDefault="00C836D3">
          <w:pPr>
            <w:pStyle w:val="TOC2"/>
            <w:tabs>
              <w:tab w:val="right" w:leader="dot" w:pos="8296"/>
            </w:tabs>
            <w:rPr>
              <w:rFonts w:eastAsiaTheme="minorEastAsia"/>
              <w:b w:val="0"/>
              <w:bCs w:val="0"/>
              <w:noProof/>
              <w:kern w:val="2"/>
              <w:sz w:val="24"/>
              <w:szCs w:val="24"/>
              <w:lang w:val="en-NZ" w:eastAsia="en-NZ"/>
              <w14:ligatures w14:val="standardContextual"/>
            </w:rPr>
          </w:pPr>
          <w:hyperlink w:anchor="_Toc204881140" w:history="1">
            <w:r w:rsidRPr="00597EE5">
              <w:rPr>
                <w:rStyle w:val="Hyperlink"/>
                <w:noProof/>
              </w:rPr>
              <w:t>The SNA only acknowledges man-made “produce” capital…</w:t>
            </w:r>
            <w:r>
              <w:rPr>
                <w:noProof/>
                <w:webHidden/>
              </w:rPr>
              <w:tab/>
            </w:r>
            <w:r>
              <w:rPr>
                <w:noProof/>
                <w:webHidden/>
              </w:rPr>
              <w:fldChar w:fldCharType="begin"/>
            </w:r>
            <w:r>
              <w:rPr>
                <w:noProof/>
                <w:webHidden/>
              </w:rPr>
              <w:instrText xml:space="preserve"> PAGEREF _Toc204881140 \h </w:instrText>
            </w:r>
            <w:r>
              <w:rPr>
                <w:noProof/>
                <w:webHidden/>
              </w:rPr>
            </w:r>
            <w:r>
              <w:rPr>
                <w:noProof/>
                <w:webHidden/>
              </w:rPr>
              <w:fldChar w:fldCharType="separate"/>
            </w:r>
            <w:r>
              <w:rPr>
                <w:noProof/>
                <w:webHidden/>
              </w:rPr>
              <w:t>9</w:t>
            </w:r>
            <w:r>
              <w:rPr>
                <w:noProof/>
                <w:webHidden/>
              </w:rPr>
              <w:fldChar w:fldCharType="end"/>
            </w:r>
          </w:hyperlink>
        </w:p>
        <w:p w14:paraId="4560C61C" w14:textId="77777777" w:rsidR="00C836D3" w:rsidRDefault="00C836D3">
          <w:pPr>
            <w:pStyle w:val="TOC2"/>
            <w:tabs>
              <w:tab w:val="right" w:leader="dot" w:pos="8296"/>
            </w:tabs>
            <w:rPr>
              <w:rFonts w:eastAsiaTheme="minorEastAsia"/>
              <w:b w:val="0"/>
              <w:bCs w:val="0"/>
              <w:noProof/>
              <w:kern w:val="2"/>
              <w:sz w:val="24"/>
              <w:szCs w:val="24"/>
              <w:lang w:val="en-NZ" w:eastAsia="en-NZ"/>
              <w14:ligatures w14:val="standardContextual"/>
            </w:rPr>
          </w:pPr>
          <w:hyperlink w:anchor="_Toc204881141" w:history="1">
            <w:r w:rsidRPr="00597EE5">
              <w:rPr>
                <w:rStyle w:val="Hyperlink"/>
                <w:noProof/>
              </w:rPr>
              <w:t>… while the SEEA-CF measures environmental services from environmental assets</w:t>
            </w:r>
            <w:r>
              <w:rPr>
                <w:noProof/>
                <w:webHidden/>
              </w:rPr>
              <w:tab/>
            </w:r>
            <w:r>
              <w:rPr>
                <w:noProof/>
                <w:webHidden/>
              </w:rPr>
              <w:fldChar w:fldCharType="begin"/>
            </w:r>
            <w:r>
              <w:rPr>
                <w:noProof/>
                <w:webHidden/>
              </w:rPr>
              <w:instrText xml:space="preserve"> PAGEREF _Toc204881141 \h </w:instrText>
            </w:r>
            <w:r>
              <w:rPr>
                <w:noProof/>
                <w:webHidden/>
              </w:rPr>
            </w:r>
            <w:r>
              <w:rPr>
                <w:noProof/>
                <w:webHidden/>
              </w:rPr>
              <w:fldChar w:fldCharType="separate"/>
            </w:r>
            <w:r>
              <w:rPr>
                <w:noProof/>
                <w:webHidden/>
              </w:rPr>
              <w:t>10</w:t>
            </w:r>
            <w:r>
              <w:rPr>
                <w:noProof/>
                <w:webHidden/>
              </w:rPr>
              <w:fldChar w:fldCharType="end"/>
            </w:r>
          </w:hyperlink>
        </w:p>
        <w:p w14:paraId="2C9CE93A" w14:textId="77777777" w:rsidR="00C836D3" w:rsidRDefault="00C836D3">
          <w:pPr>
            <w:pStyle w:val="TOC2"/>
            <w:tabs>
              <w:tab w:val="right" w:leader="dot" w:pos="8296"/>
            </w:tabs>
            <w:rPr>
              <w:rFonts w:eastAsiaTheme="minorEastAsia"/>
              <w:b w:val="0"/>
              <w:bCs w:val="0"/>
              <w:noProof/>
              <w:kern w:val="2"/>
              <w:sz w:val="24"/>
              <w:szCs w:val="24"/>
              <w:lang w:val="en-NZ" w:eastAsia="en-NZ"/>
              <w14:ligatures w14:val="standardContextual"/>
            </w:rPr>
          </w:pPr>
          <w:hyperlink w:anchor="_Toc204881142" w:history="1">
            <w:r w:rsidRPr="00597EE5">
              <w:rPr>
                <w:rStyle w:val="Hyperlink"/>
                <w:noProof/>
              </w:rPr>
              <w:t>The SEEA-CF is a better framework for measuring the environmental and the economy</w:t>
            </w:r>
            <w:r>
              <w:rPr>
                <w:noProof/>
                <w:webHidden/>
              </w:rPr>
              <w:tab/>
            </w:r>
            <w:r>
              <w:rPr>
                <w:noProof/>
                <w:webHidden/>
              </w:rPr>
              <w:fldChar w:fldCharType="begin"/>
            </w:r>
            <w:r>
              <w:rPr>
                <w:noProof/>
                <w:webHidden/>
              </w:rPr>
              <w:instrText xml:space="preserve"> PAGEREF _Toc204881142 \h </w:instrText>
            </w:r>
            <w:r>
              <w:rPr>
                <w:noProof/>
                <w:webHidden/>
              </w:rPr>
            </w:r>
            <w:r>
              <w:rPr>
                <w:noProof/>
                <w:webHidden/>
              </w:rPr>
              <w:fldChar w:fldCharType="separate"/>
            </w:r>
            <w:r>
              <w:rPr>
                <w:noProof/>
                <w:webHidden/>
              </w:rPr>
              <w:t>10</w:t>
            </w:r>
            <w:r>
              <w:rPr>
                <w:noProof/>
                <w:webHidden/>
              </w:rPr>
              <w:fldChar w:fldCharType="end"/>
            </w:r>
          </w:hyperlink>
        </w:p>
        <w:p w14:paraId="1AAC33BC" w14:textId="77777777" w:rsidR="00C836D3" w:rsidRDefault="00C836D3">
          <w:pPr>
            <w:pStyle w:val="TOC2"/>
            <w:tabs>
              <w:tab w:val="right" w:leader="dot" w:pos="8296"/>
            </w:tabs>
            <w:rPr>
              <w:rFonts w:eastAsiaTheme="minorEastAsia"/>
              <w:b w:val="0"/>
              <w:bCs w:val="0"/>
              <w:noProof/>
              <w:kern w:val="2"/>
              <w:sz w:val="24"/>
              <w:szCs w:val="24"/>
              <w:lang w:val="en-NZ" w:eastAsia="en-NZ"/>
              <w14:ligatures w14:val="standardContextual"/>
            </w:rPr>
          </w:pPr>
          <w:hyperlink w:anchor="_Toc204881143" w:history="1">
            <w:r w:rsidRPr="00597EE5">
              <w:rPr>
                <w:rStyle w:val="Hyperlink"/>
                <w:noProof/>
              </w:rPr>
              <w:t>Environmental asset accounts</w:t>
            </w:r>
            <w:r>
              <w:rPr>
                <w:noProof/>
                <w:webHidden/>
              </w:rPr>
              <w:tab/>
            </w:r>
            <w:r>
              <w:rPr>
                <w:noProof/>
                <w:webHidden/>
              </w:rPr>
              <w:fldChar w:fldCharType="begin"/>
            </w:r>
            <w:r>
              <w:rPr>
                <w:noProof/>
                <w:webHidden/>
              </w:rPr>
              <w:instrText xml:space="preserve"> PAGEREF _Toc204881143 \h </w:instrText>
            </w:r>
            <w:r>
              <w:rPr>
                <w:noProof/>
                <w:webHidden/>
              </w:rPr>
            </w:r>
            <w:r>
              <w:rPr>
                <w:noProof/>
                <w:webHidden/>
              </w:rPr>
              <w:fldChar w:fldCharType="separate"/>
            </w:r>
            <w:r>
              <w:rPr>
                <w:noProof/>
                <w:webHidden/>
              </w:rPr>
              <w:t>11</w:t>
            </w:r>
            <w:r>
              <w:rPr>
                <w:noProof/>
                <w:webHidden/>
              </w:rPr>
              <w:fldChar w:fldCharType="end"/>
            </w:r>
          </w:hyperlink>
        </w:p>
        <w:p w14:paraId="5B4968B8" w14:textId="77777777" w:rsidR="00C836D3" w:rsidRDefault="00C836D3">
          <w:pPr>
            <w:pStyle w:val="TOC3"/>
            <w:tabs>
              <w:tab w:val="right" w:leader="dot" w:pos="8296"/>
            </w:tabs>
            <w:rPr>
              <w:rFonts w:eastAsiaTheme="minorEastAsia"/>
              <w:noProof/>
              <w:kern w:val="2"/>
              <w:sz w:val="24"/>
              <w:szCs w:val="24"/>
              <w:lang w:val="en-NZ" w:eastAsia="en-NZ"/>
              <w14:ligatures w14:val="standardContextual"/>
            </w:rPr>
          </w:pPr>
          <w:hyperlink w:anchor="_Toc204881144" w:history="1">
            <w:r w:rsidRPr="00597EE5">
              <w:rPr>
                <w:rStyle w:val="Hyperlink"/>
                <w:noProof/>
              </w:rPr>
              <w:t>Depletion of fisheries</w:t>
            </w:r>
            <w:r>
              <w:rPr>
                <w:noProof/>
                <w:webHidden/>
              </w:rPr>
              <w:tab/>
            </w:r>
            <w:r>
              <w:rPr>
                <w:noProof/>
                <w:webHidden/>
              </w:rPr>
              <w:fldChar w:fldCharType="begin"/>
            </w:r>
            <w:r>
              <w:rPr>
                <w:noProof/>
                <w:webHidden/>
              </w:rPr>
              <w:instrText xml:space="preserve"> PAGEREF _Toc204881144 \h </w:instrText>
            </w:r>
            <w:r>
              <w:rPr>
                <w:noProof/>
                <w:webHidden/>
              </w:rPr>
            </w:r>
            <w:r>
              <w:rPr>
                <w:noProof/>
                <w:webHidden/>
              </w:rPr>
              <w:fldChar w:fldCharType="separate"/>
            </w:r>
            <w:r>
              <w:rPr>
                <w:noProof/>
                <w:webHidden/>
              </w:rPr>
              <w:t>14</w:t>
            </w:r>
            <w:r>
              <w:rPr>
                <w:noProof/>
                <w:webHidden/>
              </w:rPr>
              <w:fldChar w:fldCharType="end"/>
            </w:r>
          </w:hyperlink>
        </w:p>
        <w:p w14:paraId="2A43483E" w14:textId="77777777" w:rsidR="00C836D3" w:rsidRDefault="00C836D3">
          <w:pPr>
            <w:pStyle w:val="TOC3"/>
            <w:tabs>
              <w:tab w:val="right" w:leader="dot" w:pos="8296"/>
            </w:tabs>
            <w:rPr>
              <w:rFonts w:eastAsiaTheme="minorEastAsia"/>
              <w:noProof/>
              <w:kern w:val="2"/>
              <w:sz w:val="24"/>
              <w:szCs w:val="24"/>
              <w:lang w:val="en-NZ" w:eastAsia="en-NZ"/>
              <w14:ligatures w14:val="standardContextual"/>
            </w:rPr>
          </w:pPr>
          <w:hyperlink w:anchor="_Toc204881145" w:history="1">
            <w:r w:rsidRPr="00597EE5">
              <w:rPr>
                <w:rStyle w:val="Hyperlink"/>
                <w:noProof/>
              </w:rPr>
              <w:t>Degradation of fisheries</w:t>
            </w:r>
            <w:r>
              <w:rPr>
                <w:noProof/>
                <w:webHidden/>
              </w:rPr>
              <w:tab/>
            </w:r>
            <w:r>
              <w:rPr>
                <w:noProof/>
                <w:webHidden/>
              </w:rPr>
              <w:fldChar w:fldCharType="begin"/>
            </w:r>
            <w:r>
              <w:rPr>
                <w:noProof/>
                <w:webHidden/>
              </w:rPr>
              <w:instrText xml:space="preserve"> PAGEREF _Toc204881145 \h </w:instrText>
            </w:r>
            <w:r>
              <w:rPr>
                <w:noProof/>
                <w:webHidden/>
              </w:rPr>
            </w:r>
            <w:r>
              <w:rPr>
                <w:noProof/>
                <w:webHidden/>
              </w:rPr>
              <w:fldChar w:fldCharType="separate"/>
            </w:r>
            <w:r>
              <w:rPr>
                <w:noProof/>
                <w:webHidden/>
              </w:rPr>
              <w:t>15</w:t>
            </w:r>
            <w:r>
              <w:rPr>
                <w:noProof/>
                <w:webHidden/>
              </w:rPr>
              <w:fldChar w:fldCharType="end"/>
            </w:r>
          </w:hyperlink>
        </w:p>
        <w:p w14:paraId="72372D7D" w14:textId="77777777" w:rsidR="00C836D3" w:rsidRDefault="00C836D3">
          <w:pPr>
            <w:pStyle w:val="TOC2"/>
            <w:tabs>
              <w:tab w:val="right" w:leader="dot" w:pos="8296"/>
            </w:tabs>
            <w:rPr>
              <w:rFonts w:eastAsiaTheme="minorEastAsia"/>
              <w:b w:val="0"/>
              <w:bCs w:val="0"/>
              <w:noProof/>
              <w:kern w:val="2"/>
              <w:sz w:val="24"/>
              <w:szCs w:val="24"/>
              <w:lang w:val="en-NZ" w:eastAsia="en-NZ"/>
              <w14:ligatures w14:val="standardContextual"/>
            </w:rPr>
          </w:pPr>
          <w:hyperlink w:anchor="_Toc204881146" w:history="1">
            <w:r w:rsidRPr="00597EE5">
              <w:rPr>
                <w:rStyle w:val="Hyperlink"/>
                <w:noProof/>
              </w:rPr>
              <w:t>Physical asset accounts for mineral and energy resources</w:t>
            </w:r>
            <w:r>
              <w:rPr>
                <w:noProof/>
                <w:webHidden/>
              </w:rPr>
              <w:tab/>
            </w:r>
            <w:r>
              <w:rPr>
                <w:noProof/>
                <w:webHidden/>
              </w:rPr>
              <w:fldChar w:fldCharType="begin"/>
            </w:r>
            <w:r>
              <w:rPr>
                <w:noProof/>
                <w:webHidden/>
              </w:rPr>
              <w:instrText xml:space="preserve"> PAGEREF _Toc204881146 \h </w:instrText>
            </w:r>
            <w:r>
              <w:rPr>
                <w:noProof/>
                <w:webHidden/>
              </w:rPr>
            </w:r>
            <w:r>
              <w:rPr>
                <w:noProof/>
                <w:webHidden/>
              </w:rPr>
              <w:fldChar w:fldCharType="separate"/>
            </w:r>
            <w:r>
              <w:rPr>
                <w:noProof/>
                <w:webHidden/>
              </w:rPr>
              <w:t>15</w:t>
            </w:r>
            <w:r>
              <w:rPr>
                <w:noProof/>
                <w:webHidden/>
              </w:rPr>
              <w:fldChar w:fldCharType="end"/>
            </w:r>
          </w:hyperlink>
        </w:p>
        <w:p w14:paraId="49D912BD" w14:textId="77777777" w:rsidR="00C836D3" w:rsidRDefault="00C836D3">
          <w:pPr>
            <w:pStyle w:val="TOC2"/>
            <w:tabs>
              <w:tab w:val="right" w:leader="dot" w:pos="8296"/>
            </w:tabs>
            <w:rPr>
              <w:rFonts w:eastAsiaTheme="minorEastAsia"/>
              <w:b w:val="0"/>
              <w:bCs w:val="0"/>
              <w:noProof/>
              <w:kern w:val="2"/>
              <w:sz w:val="24"/>
              <w:szCs w:val="24"/>
              <w:lang w:val="en-NZ" w:eastAsia="en-NZ"/>
              <w14:ligatures w14:val="standardContextual"/>
            </w:rPr>
          </w:pPr>
          <w:hyperlink w:anchor="_Toc204881147" w:history="1">
            <w:r w:rsidRPr="00597EE5">
              <w:rPr>
                <w:rStyle w:val="Hyperlink"/>
                <w:noProof/>
              </w:rPr>
              <w:t>Asset accounts for land</w:t>
            </w:r>
            <w:r>
              <w:rPr>
                <w:noProof/>
                <w:webHidden/>
              </w:rPr>
              <w:tab/>
            </w:r>
            <w:r>
              <w:rPr>
                <w:noProof/>
                <w:webHidden/>
              </w:rPr>
              <w:fldChar w:fldCharType="begin"/>
            </w:r>
            <w:r>
              <w:rPr>
                <w:noProof/>
                <w:webHidden/>
              </w:rPr>
              <w:instrText xml:space="preserve"> PAGEREF _Toc204881147 \h </w:instrText>
            </w:r>
            <w:r>
              <w:rPr>
                <w:noProof/>
                <w:webHidden/>
              </w:rPr>
            </w:r>
            <w:r>
              <w:rPr>
                <w:noProof/>
                <w:webHidden/>
              </w:rPr>
              <w:fldChar w:fldCharType="separate"/>
            </w:r>
            <w:r>
              <w:rPr>
                <w:noProof/>
                <w:webHidden/>
              </w:rPr>
              <w:t>16</w:t>
            </w:r>
            <w:r>
              <w:rPr>
                <w:noProof/>
                <w:webHidden/>
              </w:rPr>
              <w:fldChar w:fldCharType="end"/>
            </w:r>
          </w:hyperlink>
        </w:p>
        <w:p w14:paraId="27B0C018" w14:textId="77777777" w:rsidR="00C836D3" w:rsidRDefault="00C836D3">
          <w:pPr>
            <w:pStyle w:val="TOC2"/>
            <w:tabs>
              <w:tab w:val="right" w:leader="dot" w:pos="8296"/>
            </w:tabs>
            <w:rPr>
              <w:rFonts w:eastAsiaTheme="minorEastAsia"/>
              <w:b w:val="0"/>
              <w:bCs w:val="0"/>
              <w:noProof/>
              <w:kern w:val="2"/>
              <w:sz w:val="24"/>
              <w:szCs w:val="24"/>
              <w:lang w:val="en-NZ" w:eastAsia="en-NZ"/>
              <w14:ligatures w14:val="standardContextual"/>
            </w:rPr>
          </w:pPr>
          <w:hyperlink w:anchor="_Toc204881148" w:history="1">
            <w:r w:rsidRPr="00597EE5">
              <w:rPr>
                <w:rStyle w:val="Hyperlink"/>
                <w:noProof/>
              </w:rPr>
              <w:t>Asset accounts for aquatic resources</w:t>
            </w:r>
            <w:r>
              <w:rPr>
                <w:noProof/>
                <w:webHidden/>
              </w:rPr>
              <w:tab/>
            </w:r>
            <w:r>
              <w:rPr>
                <w:noProof/>
                <w:webHidden/>
              </w:rPr>
              <w:fldChar w:fldCharType="begin"/>
            </w:r>
            <w:r>
              <w:rPr>
                <w:noProof/>
                <w:webHidden/>
              </w:rPr>
              <w:instrText xml:space="preserve"> PAGEREF _Toc204881148 \h </w:instrText>
            </w:r>
            <w:r>
              <w:rPr>
                <w:noProof/>
                <w:webHidden/>
              </w:rPr>
            </w:r>
            <w:r>
              <w:rPr>
                <w:noProof/>
                <w:webHidden/>
              </w:rPr>
              <w:fldChar w:fldCharType="separate"/>
            </w:r>
            <w:r>
              <w:rPr>
                <w:noProof/>
                <w:webHidden/>
              </w:rPr>
              <w:t>17</w:t>
            </w:r>
            <w:r>
              <w:rPr>
                <w:noProof/>
                <w:webHidden/>
              </w:rPr>
              <w:fldChar w:fldCharType="end"/>
            </w:r>
          </w:hyperlink>
        </w:p>
        <w:p w14:paraId="42C60D9E" w14:textId="77777777" w:rsidR="00C836D3" w:rsidRDefault="00C836D3">
          <w:pPr>
            <w:pStyle w:val="TOC3"/>
            <w:tabs>
              <w:tab w:val="right" w:leader="dot" w:pos="8296"/>
            </w:tabs>
            <w:rPr>
              <w:rFonts w:eastAsiaTheme="minorEastAsia"/>
              <w:noProof/>
              <w:kern w:val="2"/>
              <w:sz w:val="24"/>
              <w:szCs w:val="24"/>
              <w:lang w:val="en-NZ" w:eastAsia="en-NZ"/>
              <w14:ligatures w14:val="standardContextual"/>
            </w:rPr>
          </w:pPr>
          <w:hyperlink w:anchor="_Toc204881149" w:history="1">
            <w:r w:rsidRPr="00597EE5">
              <w:rPr>
                <w:rStyle w:val="Hyperlink"/>
                <w:noProof/>
              </w:rPr>
              <w:t>Definition and classification of aquatic resources</w:t>
            </w:r>
            <w:r>
              <w:rPr>
                <w:noProof/>
                <w:webHidden/>
              </w:rPr>
              <w:tab/>
            </w:r>
            <w:r>
              <w:rPr>
                <w:noProof/>
                <w:webHidden/>
              </w:rPr>
              <w:fldChar w:fldCharType="begin"/>
            </w:r>
            <w:r>
              <w:rPr>
                <w:noProof/>
                <w:webHidden/>
              </w:rPr>
              <w:instrText xml:space="preserve"> PAGEREF _Toc204881149 \h </w:instrText>
            </w:r>
            <w:r>
              <w:rPr>
                <w:noProof/>
                <w:webHidden/>
              </w:rPr>
            </w:r>
            <w:r>
              <w:rPr>
                <w:noProof/>
                <w:webHidden/>
              </w:rPr>
              <w:fldChar w:fldCharType="separate"/>
            </w:r>
            <w:r>
              <w:rPr>
                <w:noProof/>
                <w:webHidden/>
              </w:rPr>
              <w:t>18</w:t>
            </w:r>
            <w:r>
              <w:rPr>
                <w:noProof/>
                <w:webHidden/>
              </w:rPr>
              <w:fldChar w:fldCharType="end"/>
            </w:r>
          </w:hyperlink>
        </w:p>
        <w:p w14:paraId="43054961" w14:textId="77777777" w:rsidR="00C836D3" w:rsidRDefault="00C836D3">
          <w:pPr>
            <w:pStyle w:val="TOC3"/>
            <w:tabs>
              <w:tab w:val="right" w:leader="dot" w:pos="8296"/>
            </w:tabs>
            <w:rPr>
              <w:rFonts w:eastAsiaTheme="minorEastAsia"/>
              <w:noProof/>
              <w:kern w:val="2"/>
              <w:sz w:val="24"/>
              <w:szCs w:val="24"/>
              <w:lang w:val="en-NZ" w:eastAsia="en-NZ"/>
              <w14:ligatures w14:val="standardContextual"/>
            </w:rPr>
          </w:pPr>
          <w:hyperlink w:anchor="_Toc204881150" w:history="1">
            <w:r w:rsidRPr="00597EE5">
              <w:rPr>
                <w:rStyle w:val="Hyperlink"/>
                <w:noProof/>
              </w:rPr>
              <w:t>Physical asset accounts for aquatic resources</w:t>
            </w:r>
            <w:r>
              <w:rPr>
                <w:noProof/>
                <w:webHidden/>
              </w:rPr>
              <w:tab/>
            </w:r>
            <w:r>
              <w:rPr>
                <w:noProof/>
                <w:webHidden/>
              </w:rPr>
              <w:fldChar w:fldCharType="begin"/>
            </w:r>
            <w:r>
              <w:rPr>
                <w:noProof/>
                <w:webHidden/>
              </w:rPr>
              <w:instrText xml:space="preserve"> PAGEREF _Toc204881150 \h </w:instrText>
            </w:r>
            <w:r>
              <w:rPr>
                <w:noProof/>
                <w:webHidden/>
              </w:rPr>
            </w:r>
            <w:r>
              <w:rPr>
                <w:noProof/>
                <w:webHidden/>
              </w:rPr>
              <w:fldChar w:fldCharType="separate"/>
            </w:r>
            <w:r>
              <w:rPr>
                <w:noProof/>
                <w:webHidden/>
              </w:rPr>
              <w:t>18</w:t>
            </w:r>
            <w:r>
              <w:rPr>
                <w:noProof/>
                <w:webHidden/>
              </w:rPr>
              <w:fldChar w:fldCharType="end"/>
            </w:r>
          </w:hyperlink>
        </w:p>
        <w:p w14:paraId="3CDCE60E" w14:textId="77777777" w:rsidR="00C836D3" w:rsidRDefault="00C836D3">
          <w:pPr>
            <w:pStyle w:val="TOC3"/>
            <w:tabs>
              <w:tab w:val="right" w:leader="dot" w:pos="8296"/>
            </w:tabs>
            <w:rPr>
              <w:rFonts w:eastAsiaTheme="minorEastAsia"/>
              <w:noProof/>
              <w:kern w:val="2"/>
              <w:sz w:val="24"/>
              <w:szCs w:val="24"/>
              <w:lang w:val="en-NZ" w:eastAsia="en-NZ"/>
              <w14:ligatures w14:val="standardContextual"/>
            </w:rPr>
          </w:pPr>
          <w:hyperlink w:anchor="_Toc204881151" w:history="1">
            <w:r w:rsidRPr="00597EE5">
              <w:rPr>
                <w:rStyle w:val="Hyperlink"/>
                <w:noProof/>
              </w:rPr>
              <w:t>Measuring stocks and changes in stocks of natural aquatic resources</w:t>
            </w:r>
            <w:r>
              <w:rPr>
                <w:noProof/>
                <w:webHidden/>
              </w:rPr>
              <w:tab/>
            </w:r>
            <w:r>
              <w:rPr>
                <w:noProof/>
                <w:webHidden/>
              </w:rPr>
              <w:fldChar w:fldCharType="begin"/>
            </w:r>
            <w:r>
              <w:rPr>
                <w:noProof/>
                <w:webHidden/>
              </w:rPr>
              <w:instrText xml:space="preserve"> PAGEREF _Toc204881151 \h </w:instrText>
            </w:r>
            <w:r>
              <w:rPr>
                <w:noProof/>
                <w:webHidden/>
              </w:rPr>
            </w:r>
            <w:r>
              <w:rPr>
                <w:noProof/>
                <w:webHidden/>
              </w:rPr>
              <w:fldChar w:fldCharType="separate"/>
            </w:r>
            <w:r>
              <w:rPr>
                <w:noProof/>
                <w:webHidden/>
              </w:rPr>
              <w:t>19</w:t>
            </w:r>
            <w:r>
              <w:rPr>
                <w:noProof/>
                <w:webHidden/>
              </w:rPr>
              <w:fldChar w:fldCharType="end"/>
            </w:r>
          </w:hyperlink>
        </w:p>
        <w:p w14:paraId="01727C6F" w14:textId="77777777" w:rsidR="00C836D3" w:rsidRDefault="00C836D3">
          <w:pPr>
            <w:pStyle w:val="TOC3"/>
            <w:tabs>
              <w:tab w:val="right" w:leader="dot" w:pos="8296"/>
            </w:tabs>
            <w:rPr>
              <w:rFonts w:eastAsiaTheme="minorEastAsia"/>
              <w:noProof/>
              <w:kern w:val="2"/>
              <w:sz w:val="24"/>
              <w:szCs w:val="24"/>
              <w:lang w:val="en-NZ" w:eastAsia="en-NZ"/>
              <w14:ligatures w14:val="standardContextual"/>
            </w:rPr>
          </w:pPr>
          <w:hyperlink w:anchor="_Toc204881152" w:history="1">
            <w:r w:rsidRPr="00597EE5">
              <w:rPr>
                <w:rStyle w:val="Hyperlink"/>
                <w:noProof/>
              </w:rPr>
              <w:t>Accounting for the harvest of natural aquatic resources</w:t>
            </w:r>
            <w:r>
              <w:rPr>
                <w:noProof/>
                <w:webHidden/>
              </w:rPr>
              <w:tab/>
            </w:r>
            <w:r>
              <w:rPr>
                <w:noProof/>
                <w:webHidden/>
              </w:rPr>
              <w:fldChar w:fldCharType="begin"/>
            </w:r>
            <w:r>
              <w:rPr>
                <w:noProof/>
                <w:webHidden/>
              </w:rPr>
              <w:instrText xml:space="preserve"> PAGEREF _Toc204881152 \h </w:instrText>
            </w:r>
            <w:r>
              <w:rPr>
                <w:noProof/>
                <w:webHidden/>
              </w:rPr>
            </w:r>
            <w:r>
              <w:rPr>
                <w:noProof/>
                <w:webHidden/>
              </w:rPr>
              <w:fldChar w:fldCharType="separate"/>
            </w:r>
            <w:r>
              <w:rPr>
                <w:noProof/>
                <w:webHidden/>
              </w:rPr>
              <w:t>21</w:t>
            </w:r>
            <w:r>
              <w:rPr>
                <w:noProof/>
                <w:webHidden/>
              </w:rPr>
              <w:fldChar w:fldCharType="end"/>
            </w:r>
          </w:hyperlink>
        </w:p>
        <w:p w14:paraId="201C5D88" w14:textId="77777777" w:rsidR="00C836D3" w:rsidRDefault="00C836D3">
          <w:pPr>
            <w:pStyle w:val="TOC3"/>
            <w:tabs>
              <w:tab w:val="right" w:leader="dot" w:pos="8296"/>
            </w:tabs>
            <w:rPr>
              <w:rFonts w:eastAsiaTheme="minorEastAsia"/>
              <w:noProof/>
              <w:kern w:val="2"/>
              <w:sz w:val="24"/>
              <w:szCs w:val="24"/>
              <w:lang w:val="en-NZ" w:eastAsia="en-NZ"/>
              <w14:ligatures w14:val="standardContextual"/>
            </w:rPr>
          </w:pPr>
          <w:hyperlink w:anchor="_Toc204881153" w:history="1">
            <w:r w:rsidRPr="00597EE5">
              <w:rPr>
                <w:rStyle w:val="Hyperlink"/>
                <w:noProof/>
              </w:rPr>
              <w:t>Depletion of natural aquatic resources</w:t>
            </w:r>
            <w:r>
              <w:rPr>
                <w:noProof/>
                <w:webHidden/>
              </w:rPr>
              <w:tab/>
            </w:r>
            <w:r>
              <w:rPr>
                <w:noProof/>
                <w:webHidden/>
              </w:rPr>
              <w:fldChar w:fldCharType="begin"/>
            </w:r>
            <w:r>
              <w:rPr>
                <w:noProof/>
                <w:webHidden/>
              </w:rPr>
              <w:instrText xml:space="preserve"> PAGEREF _Toc204881153 \h </w:instrText>
            </w:r>
            <w:r>
              <w:rPr>
                <w:noProof/>
                <w:webHidden/>
              </w:rPr>
            </w:r>
            <w:r>
              <w:rPr>
                <w:noProof/>
                <w:webHidden/>
              </w:rPr>
              <w:fldChar w:fldCharType="separate"/>
            </w:r>
            <w:r>
              <w:rPr>
                <w:noProof/>
                <w:webHidden/>
              </w:rPr>
              <w:t>22</w:t>
            </w:r>
            <w:r>
              <w:rPr>
                <w:noProof/>
                <w:webHidden/>
              </w:rPr>
              <w:fldChar w:fldCharType="end"/>
            </w:r>
          </w:hyperlink>
        </w:p>
        <w:p w14:paraId="7B3CEE84" w14:textId="77777777" w:rsidR="00C836D3" w:rsidRDefault="00C836D3">
          <w:pPr>
            <w:pStyle w:val="TOC3"/>
            <w:tabs>
              <w:tab w:val="right" w:leader="dot" w:pos="8296"/>
            </w:tabs>
            <w:rPr>
              <w:rFonts w:eastAsiaTheme="minorEastAsia"/>
              <w:noProof/>
              <w:kern w:val="2"/>
              <w:sz w:val="24"/>
              <w:szCs w:val="24"/>
              <w:lang w:val="en-NZ" w:eastAsia="en-NZ"/>
              <w14:ligatures w14:val="standardContextual"/>
            </w:rPr>
          </w:pPr>
          <w:hyperlink w:anchor="_Toc204881154" w:history="1">
            <w:r w:rsidRPr="00597EE5">
              <w:rPr>
                <w:rStyle w:val="Hyperlink"/>
                <w:noProof/>
              </w:rPr>
              <w:t>Capture fishing by non-residents</w:t>
            </w:r>
            <w:r>
              <w:rPr>
                <w:noProof/>
                <w:webHidden/>
              </w:rPr>
              <w:tab/>
            </w:r>
            <w:r>
              <w:rPr>
                <w:noProof/>
                <w:webHidden/>
              </w:rPr>
              <w:fldChar w:fldCharType="begin"/>
            </w:r>
            <w:r>
              <w:rPr>
                <w:noProof/>
                <w:webHidden/>
              </w:rPr>
              <w:instrText xml:space="preserve"> PAGEREF _Toc204881154 \h </w:instrText>
            </w:r>
            <w:r>
              <w:rPr>
                <w:noProof/>
                <w:webHidden/>
              </w:rPr>
            </w:r>
            <w:r>
              <w:rPr>
                <w:noProof/>
                <w:webHidden/>
              </w:rPr>
              <w:fldChar w:fldCharType="separate"/>
            </w:r>
            <w:r>
              <w:rPr>
                <w:noProof/>
                <w:webHidden/>
              </w:rPr>
              <w:t>23</w:t>
            </w:r>
            <w:r>
              <w:rPr>
                <w:noProof/>
                <w:webHidden/>
              </w:rPr>
              <w:fldChar w:fldCharType="end"/>
            </w:r>
          </w:hyperlink>
        </w:p>
        <w:p w14:paraId="6B972790" w14:textId="77777777" w:rsidR="00C836D3" w:rsidRDefault="00C836D3">
          <w:pPr>
            <w:pStyle w:val="TOC2"/>
            <w:tabs>
              <w:tab w:val="right" w:leader="dot" w:pos="8296"/>
            </w:tabs>
            <w:rPr>
              <w:rFonts w:eastAsiaTheme="minorEastAsia"/>
              <w:b w:val="0"/>
              <w:bCs w:val="0"/>
              <w:noProof/>
              <w:kern w:val="2"/>
              <w:sz w:val="24"/>
              <w:szCs w:val="24"/>
              <w:lang w:val="en-NZ" w:eastAsia="en-NZ"/>
              <w14:ligatures w14:val="standardContextual"/>
            </w:rPr>
          </w:pPr>
          <w:hyperlink w:anchor="_Toc204881155" w:history="1">
            <w:r w:rsidRPr="00597EE5">
              <w:rPr>
                <w:rStyle w:val="Hyperlink"/>
                <w:noProof/>
              </w:rPr>
              <w:t>Illegal fishing</w:t>
            </w:r>
            <w:r>
              <w:rPr>
                <w:noProof/>
                <w:webHidden/>
              </w:rPr>
              <w:tab/>
            </w:r>
            <w:r>
              <w:rPr>
                <w:noProof/>
                <w:webHidden/>
              </w:rPr>
              <w:fldChar w:fldCharType="begin"/>
            </w:r>
            <w:r>
              <w:rPr>
                <w:noProof/>
                <w:webHidden/>
              </w:rPr>
              <w:instrText xml:space="preserve"> PAGEREF _Toc204881155 \h </w:instrText>
            </w:r>
            <w:r>
              <w:rPr>
                <w:noProof/>
                <w:webHidden/>
              </w:rPr>
            </w:r>
            <w:r>
              <w:rPr>
                <w:noProof/>
                <w:webHidden/>
              </w:rPr>
              <w:fldChar w:fldCharType="separate"/>
            </w:r>
            <w:r>
              <w:rPr>
                <w:noProof/>
                <w:webHidden/>
              </w:rPr>
              <w:t>23</w:t>
            </w:r>
            <w:r>
              <w:rPr>
                <w:noProof/>
                <w:webHidden/>
              </w:rPr>
              <w:fldChar w:fldCharType="end"/>
            </w:r>
          </w:hyperlink>
        </w:p>
        <w:p w14:paraId="20D5AD3C" w14:textId="77777777" w:rsidR="00C836D3" w:rsidRDefault="00C836D3">
          <w:pPr>
            <w:pStyle w:val="TOC3"/>
            <w:tabs>
              <w:tab w:val="right" w:leader="dot" w:pos="8296"/>
            </w:tabs>
            <w:rPr>
              <w:rFonts w:eastAsiaTheme="minorEastAsia"/>
              <w:noProof/>
              <w:kern w:val="2"/>
              <w:sz w:val="24"/>
              <w:szCs w:val="24"/>
              <w:lang w:val="en-NZ" w:eastAsia="en-NZ"/>
              <w14:ligatures w14:val="standardContextual"/>
            </w:rPr>
          </w:pPr>
          <w:hyperlink w:anchor="_Toc204881156" w:history="1">
            <w:r w:rsidRPr="00597EE5">
              <w:rPr>
                <w:rStyle w:val="Hyperlink"/>
                <w:noProof/>
              </w:rPr>
              <w:t>Valuation of natural aquatic resources</w:t>
            </w:r>
            <w:r>
              <w:rPr>
                <w:noProof/>
                <w:webHidden/>
              </w:rPr>
              <w:tab/>
            </w:r>
            <w:r>
              <w:rPr>
                <w:noProof/>
                <w:webHidden/>
              </w:rPr>
              <w:fldChar w:fldCharType="begin"/>
            </w:r>
            <w:r>
              <w:rPr>
                <w:noProof/>
                <w:webHidden/>
              </w:rPr>
              <w:instrText xml:space="preserve"> PAGEREF _Toc204881156 \h </w:instrText>
            </w:r>
            <w:r>
              <w:rPr>
                <w:noProof/>
                <w:webHidden/>
              </w:rPr>
            </w:r>
            <w:r>
              <w:rPr>
                <w:noProof/>
                <w:webHidden/>
              </w:rPr>
              <w:fldChar w:fldCharType="separate"/>
            </w:r>
            <w:r>
              <w:rPr>
                <w:noProof/>
                <w:webHidden/>
              </w:rPr>
              <w:t>23</w:t>
            </w:r>
            <w:r>
              <w:rPr>
                <w:noProof/>
                <w:webHidden/>
              </w:rPr>
              <w:fldChar w:fldCharType="end"/>
            </w:r>
          </w:hyperlink>
        </w:p>
        <w:p w14:paraId="40639C41" w14:textId="77777777" w:rsidR="00C836D3" w:rsidRDefault="00C836D3">
          <w:pPr>
            <w:pStyle w:val="TOC2"/>
            <w:tabs>
              <w:tab w:val="right" w:leader="dot" w:pos="8296"/>
            </w:tabs>
            <w:rPr>
              <w:rFonts w:eastAsiaTheme="minorEastAsia"/>
              <w:b w:val="0"/>
              <w:bCs w:val="0"/>
              <w:noProof/>
              <w:kern w:val="2"/>
              <w:sz w:val="24"/>
              <w:szCs w:val="24"/>
              <w:lang w:val="en-NZ" w:eastAsia="en-NZ"/>
              <w14:ligatures w14:val="standardContextual"/>
            </w:rPr>
          </w:pPr>
          <w:hyperlink w:anchor="_Toc204881157" w:history="1">
            <w:r w:rsidRPr="00597EE5">
              <w:rPr>
                <w:rStyle w:val="Hyperlink"/>
                <w:noProof/>
              </w:rPr>
              <w:t>Exosystems</w:t>
            </w:r>
            <w:r>
              <w:rPr>
                <w:noProof/>
                <w:webHidden/>
              </w:rPr>
              <w:tab/>
            </w:r>
            <w:r>
              <w:rPr>
                <w:noProof/>
                <w:webHidden/>
              </w:rPr>
              <w:fldChar w:fldCharType="begin"/>
            </w:r>
            <w:r>
              <w:rPr>
                <w:noProof/>
                <w:webHidden/>
              </w:rPr>
              <w:instrText xml:space="preserve"> PAGEREF _Toc204881157 \h </w:instrText>
            </w:r>
            <w:r>
              <w:rPr>
                <w:noProof/>
                <w:webHidden/>
              </w:rPr>
            </w:r>
            <w:r>
              <w:rPr>
                <w:noProof/>
                <w:webHidden/>
              </w:rPr>
              <w:fldChar w:fldCharType="separate"/>
            </w:r>
            <w:r>
              <w:rPr>
                <w:noProof/>
                <w:webHidden/>
              </w:rPr>
              <w:t>23</w:t>
            </w:r>
            <w:r>
              <w:rPr>
                <w:noProof/>
                <w:webHidden/>
              </w:rPr>
              <w:fldChar w:fldCharType="end"/>
            </w:r>
          </w:hyperlink>
        </w:p>
        <w:p w14:paraId="486E5210" w14:textId="77777777" w:rsidR="00C836D3" w:rsidRDefault="00C836D3">
          <w:pPr>
            <w:pStyle w:val="TOC2"/>
            <w:tabs>
              <w:tab w:val="right" w:leader="dot" w:pos="8296"/>
            </w:tabs>
            <w:rPr>
              <w:rFonts w:eastAsiaTheme="minorEastAsia"/>
              <w:b w:val="0"/>
              <w:bCs w:val="0"/>
              <w:noProof/>
              <w:kern w:val="2"/>
              <w:sz w:val="24"/>
              <w:szCs w:val="24"/>
              <w:lang w:val="en-NZ" w:eastAsia="en-NZ"/>
              <w14:ligatures w14:val="standardContextual"/>
            </w:rPr>
          </w:pPr>
          <w:hyperlink w:anchor="_Toc204881158" w:history="1">
            <w:r w:rsidRPr="00597EE5">
              <w:rPr>
                <w:rStyle w:val="Hyperlink"/>
                <w:noProof/>
              </w:rPr>
              <w:t>Other technical bits</w:t>
            </w:r>
            <w:r>
              <w:rPr>
                <w:noProof/>
                <w:webHidden/>
              </w:rPr>
              <w:tab/>
            </w:r>
            <w:r>
              <w:rPr>
                <w:noProof/>
                <w:webHidden/>
              </w:rPr>
              <w:fldChar w:fldCharType="begin"/>
            </w:r>
            <w:r>
              <w:rPr>
                <w:noProof/>
                <w:webHidden/>
              </w:rPr>
              <w:instrText xml:space="preserve"> PAGEREF _Toc204881158 \h </w:instrText>
            </w:r>
            <w:r>
              <w:rPr>
                <w:noProof/>
                <w:webHidden/>
              </w:rPr>
            </w:r>
            <w:r>
              <w:rPr>
                <w:noProof/>
                <w:webHidden/>
              </w:rPr>
              <w:fldChar w:fldCharType="separate"/>
            </w:r>
            <w:r>
              <w:rPr>
                <w:noProof/>
                <w:webHidden/>
              </w:rPr>
              <w:t>24</w:t>
            </w:r>
            <w:r>
              <w:rPr>
                <w:noProof/>
                <w:webHidden/>
              </w:rPr>
              <w:fldChar w:fldCharType="end"/>
            </w:r>
          </w:hyperlink>
        </w:p>
        <w:p w14:paraId="4B4F1198" w14:textId="77777777" w:rsidR="00C836D3" w:rsidRDefault="00C836D3">
          <w:pPr>
            <w:pStyle w:val="TOC3"/>
            <w:tabs>
              <w:tab w:val="right" w:leader="dot" w:pos="8296"/>
            </w:tabs>
            <w:rPr>
              <w:rFonts w:eastAsiaTheme="minorEastAsia"/>
              <w:noProof/>
              <w:kern w:val="2"/>
              <w:sz w:val="24"/>
              <w:szCs w:val="24"/>
              <w:lang w:val="en-NZ" w:eastAsia="en-NZ"/>
              <w14:ligatures w14:val="standardContextual"/>
            </w:rPr>
          </w:pPr>
          <w:hyperlink w:anchor="_Toc204881159" w:history="1">
            <w:r w:rsidRPr="00597EE5">
              <w:rPr>
                <w:rStyle w:val="Hyperlink"/>
                <w:noProof/>
              </w:rPr>
              <w:t>Subsistance and own-production consumption</w:t>
            </w:r>
            <w:r>
              <w:rPr>
                <w:noProof/>
                <w:webHidden/>
              </w:rPr>
              <w:tab/>
            </w:r>
            <w:r>
              <w:rPr>
                <w:noProof/>
                <w:webHidden/>
              </w:rPr>
              <w:fldChar w:fldCharType="begin"/>
            </w:r>
            <w:r>
              <w:rPr>
                <w:noProof/>
                <w:webHidden/>
              </w:rPr>
              <w:instrText xml:space="preserve"> PAGEREF _Toc204881159 \h </w:instrText>
            </w:r>
            <w:r>
              <w:rPr>
                <w:noProof/>
                <w:webHidden/>
              </w:rPr>
            </w:r>
            <w:r>
              <w:rPr>
                <w:noProof/>
                <w:webHidden/>
              </w:rPr>
              <w:fldChar w:fldCharType="separate"/>
            </w:r>
            <w:r>
              <w:rPr>
                <w:noProof/>
                <w:webHidden/>
              </w:rPr>
              <w:t>24</w:t>
            </w:r>
            <w:r>
              <w:rPr>
                <w:noProof/>
                <w:webHidden/>
              </w:rPr>
              <w:fldChar w:fldCharType="end"/>
            </w:r>
          </w:hyperlink>
        </w:p>
        <w:p w14:paraId="3362CFA2" w14:textId="77777777" w:rsidR="00C836D3" w:rsidRDefault="00C836D3">
          <w:pPr>
            <w:pStyle w:val="TOC3"/>
            <w:tabs>
              <w:tab w:val="right" w:leader="dot" w:pos="8296"/>
            </w:tabs>
            <w:rPr>
              <w:rFonts w:eastAsiaTheme="minorEastAsia"/>
              <w:noProof/>
              <w:kern w:val="2"/>
              <w:sz w:val="24"/>
              <w:szCs w:val="24"/>
              <w:lang w:val="en-NZ" w:eastAsia="en-NZ"/>
              <w14:ligatures w14:val="standardContextual"/>
            </w:rPr>
          </w:pPr>
          <w:hyperlink w:anchor="_Toc204881160" w:history="1">
            <w:r w:rsidRPr="00597EE5">
              <w:rPr>
                <w:rStyle w:val="Hyperlink"/>
                <w:noProof/>
              </w:rPr>
              <w:t>Employment, demographic and social information</w:t>
            </w:r>
            <w:r>
              <w:rPr>
                <w:noProof/>
                <w:webHidden/>
              </w:rPr>
              <w:tab/>
            </w:r>
            <w:r>
              <w:rPr>
                <w:noProof/>
                <w:webHidden/>
              </w:rPr>
              <w:fldChar w:fldCharType="begin"/>
            </w:r>
            <w:r>
              <w:rPr>
                <w:noProof/>
                <w:webHidden/>
              </w:rPr>
              <w:instrText xml:space="preserve"> PAGEREF _Toc204881160 \h </w:instrText>
            </w:r>
            <w:r>
              <w:rPr>
                <w:noProof/>
                <w:webHidden/>
              </w:rPr>
            </w:r>
            <w:r>
              <w:rPr>
                <w:noProof/>
                <w:webHidden/>
              </w:rPr>
              <w:fldChar w:fldCharType="separate"/>
            </w:r>
            <w:r>
              <w:rPr>
                <w:noProof/>
                <w:webHidden/>
              </w:rPr>
              <w:t>24</w:t>
            </w:r>
            <w:r>
              <w:rPr>
                <w:noProof/>
                <w:webHidden/>
              </w:rPr>
              <w:fldChar w:fldCharType="end"/>
            </w:r>
          </w:hyperlink>
        </w:p>
        <w:p w14:paraId="70C44467" w14:textId="77777777" w:rsidR="00C836D3" w:rsidRDefault="00C836D3">
          <w:pPr>
            <w:pStyle w:val="TOC3"/>
            <w:tabs>
              <w:tab w:val="right" w:leader="dot" w:pos="8296"/>
            </w:tabs>
            <w:rPr>
              <w:rFonts w:eastAsiaTheme="minorEastAsia"/>
              <w:noProof/>
              <w:kern w:val="2"/>
              <w:sz w:val="24"/>
              <w:szCs w:val="24"/>
              <w:lang w:val="en-NZ" w:eastAsia="en-NZ"/>
              <w14:ligatures w14:val="standardContextual"/>
            </w:rPr>
          </w:pPr>
          <w:hyperlink w:anchor="_Toc204881161" w:history="1">
            <w:r w:rsidRPr="00597EE5">
              <w:rPr>
                <w:rStyle w:val="Hyperlink"/>
                <w:noProof/>
              </w:rPr>
              <w:t>Geographical boundaries for economic units</w:t>
            </w:r>
            <w:r>
              <w:rPr>
                <w:noProof/>
                <w:webHidden/>
              </w:rPr>
              <w:tab/>
            </w:r>
            <w:r>
              <w:rPr>
                <w:noProof/>
                <w:webHidden/>
              </w:rPr>
              <w:fldChar w:fldCharType="begin"/>
            </w:r>
            <w:r>
              <w:rPr>
                <w:noProof/>
                <w:webHidden/>
              </w:rPr>
              <w:instrText xml:space="preserve"> PAGEREF _Toc204881161 \h </w:instrText>
            </w:r>
            <w:r>
              <w:rPr>
                <w:noProof/>
                <w:webHidden/>
              </w:rPr>
            </w:r>
            <w:r>
              <w:rPr>
                <w:noProof/>
                <w:webHidden/>
              </w:rPr>
              <w:fldChar w:fldCharType="separate"/>
            </w:r>
            <w:r>
              <w:rPr>
                <w:noProof/>
                <w:webHidden/>
              </w:rPr>
              <w:t>24</w:t>
            </w:r>
            <w:r>
              <w:rPr>
                <w:noProof/>
                <w:webHidden/>
              </w:rPr>
              <w:fldChar w:fldCharType="end"/>
            </w:r>
          </w:hyperlink>
        </w:p>
        <w:p w14:paraId="3481195B" w14:textId="77777777" w:rsidR="00C836D3" w:rsidRDefault="00C836D3">
          <w:pPr>
            <w:pStyle w:val="TOC1"/>
            <w:tabs>
              <w:tab w:val="left" w:pos="440"/>
              <w:tab w:val="right" w:leader="dot" w:pos="8296"/>
            </w:tabs>
            <w:rPr>
              <w:rFonts w:asciiTheme="minorHAnsi" w:eastAsiaTheme="minorEastAsia" w:hAnsiTheme="minorHAnsi" w:cstheme="minorBidi"/>
              <w:b w:val="0"/>
              <w:bCs w:val="0"/>
              <w:caps w:val="0"/>
              <w:noProof/>
              <w:kern w:val="2"/>
              <w:lang w:val="en-NZ" w:eastAsia="en-NZ"/>
              <w14:ligatures w14:val="standardContextual"/>
            </w:rPr>
          </w:pPr>
          <w:hyperlink w:anchor="_Toc204881162" w:history="1">
            <w:r w:rsidRPr="00597EE5">
              <w:rPr>
                <w:rStyle w:val="Hyperlink"/>
                <w:noProof/>
              </w:rPr>
              <w:t>4</w:t>
            </w:r>
            <w:r>
              <w:rPr>
                <w:rFonts w:asciiTheme="minorHAnsi" w:eastAsiaTheme="minorEastAsia" w:hAnsiTheme="minorHAnsi" w:cstheme="minorBidi"/>
                <w:b w:val="0"/>
                <w:bCs w:val="0"/>
                <w:caps w:val="0"/>
                <w:noProof/>
                <w:kern w:val="2"/>
                <w:lang w:val="en-NZ" w:eastAsia="en-NZ"/>
                <w14:ligatures w14:val="standardContextual"/>
              </w:rPr>
              <w:tab/>
            </w:r>
            <w:r w:rsidRPr="00597EE5">
              <w:rPr>
                <w:rStyle w:val="Hyperlink"/>
                <w:noProof/>
              </w:rPr>
              <w:t>Physical flow metrics</w:t>
            </w:r>
            <w:r>
              <w:rPr>
                <w:noProof/>
                <w:webHidden/>
              </w:rPr>
              <w:tab/>
            </w:r>
            <w:r>
              <w:rPr>
                <w:noProof/>
                <w:webHidden/>
              </w:rPr>
              <w:fldChar w:fldCharType="begin"/>
            </w:r>
            <w:r>
              <w:rPr>
                <w:noProof/>
                <w:webHidden/>
              </w:rPr>
              <w:instrText xml:space="preserve"> PAGEREF _Toc204881162 \h </w:instrText>
            </w:r>
            <w:r>
              <w:rPr>
                <w:noProof/>
                <w:webHidden/>
              </w:rPr>
            </w:r>
            <w:r>
              <w:rPr>
                <w:noProof/>
                <w:webHidden/>
              </w:rPr>
              <w:fldChar w:fldCharType="separate"/>
            </w:r>
            <w:r>
              <w:rPr>
                <w:noProof/>
                <w:webHidden/>
              </w:rPr>
              <w:t>25</w:t>
            </w:r>
            <w:r>
              <w:rPr>
                <w:noProof/>
                <w:webHidden/>
              </w:rPr>
              <w:fldChar w:fldCharType="end"/>
            </w:r>
          </w:hyperlink>
        </w:p>
        <w:p w14:paraId="57B68E4D" w14:textId="77777777" w:rsidR="00C836D3" w:rsidRDefault="00C836D3">
          <w:pPr>
            <w:pStyle w:val="TOC2"/>
            <w:tabs>
              <w:tab w:val="right" w:leader="dot" w:pos="8296"/>
            </w:tabs>
            <w:rPr>
              <w:rFonts w:eastAsiaTheme="minorEastAsia"/>
              <w:b w:val="0"/>
              <w:bCs w:val="0"/>
              <w:noProof/>
              <w:kern w:val="2"/>
              <w:sz w:val="24"/>
              <w:szCs w:val="24"/>
              <w:lang w:val="en-NZ" w:eastAsia="en-NZ"/>
              <w14:ligatures w14:val="standardContextual"/>
            </w:rPr>
          </w:pPr>
          <w:hyperlink w:anchor="_Toc204881163" w:history="1">
            <w:r w:rsidRPr="00597EE5">
              <w:rPr>
                <w:rStyle w:val="Hyperlink"/>
                <w:noProof/>
              </w:rPr>
              <w:t>Physical flow accounts for energy</w:t>
            </w:r>
            <w:r>
              <w:rPr>
                <w:noProof/>
                <w:webHidden/>
              </w:rPr>
              <w:tab/>
            </w:r>
            <w:r>
              <w:rPr>
                <w:noProof/>
                <w:webHidden/>
              </w:rPr>
              <w:fldChar w:fldCharType="begin"/>
            </w:r>
            <w:r>
              <w:rPr>
                <w:noProof/>
                <w:webHidden/>
              </w:rPr>
              <w:instrText xml:space="preserve"> PAGEREF _Toc204881163 \h </w:instrText>
            </w:r>
            <w:r>
              <w:rPr>
                <w:noProof/>
                <w:webHidden/>
              </w:rPr>
            </w:r>
            <w:r>
              <w:rPr>
                <w:noProof/>
                <w:webHidden/>
              </w:rPr>
              <w:fldChar w:fldCharType="separate"/>
            </w:r>
            <w:r>
              <w:rPr>
                <w:noProof/>
                <w:webHidden/>
              </w:rPr>
              <w:t>25</w:t>
            </w:r>
            <w:r>
              <w:rPr>
                <w:noProof/>
                <w:webHidden/>
              </w:rPr>
              <w:fldChar w:fldCharType="end"/>
            </w:r>
          </w:hyperlink>
        </w:p>
        <w:p w14:paraId="117DFC70" w14:textId="77777777" w:rsidR="00C836D3" w:rsidRDefault="00C836D3">
          <w:pPr>
            <w:pStyle w:val="TOC3"/>
            <w:tabs>
              <w:tab w:val="right" w:leader="dot" w:pos="8296"/>
            </w:tabs>
            <w:rPr>
              <w:rFonts w:eastAsiaTheme="minorEastAsia"/>
              <w:noProof/>
              <w:kern w:val="2"/>
              <w:sz w:val="24"/>
              <w:szCs w:val="24"/>
              <w:lang w:val="en-NZ" w:eastAsia="en-NZ"/>
              <w14:ligatures w14:val="standardContextual"/>
            </w:rPr>
          </w:pPr>
          <w:hyperlink w:anchor="_Toc204881164" w:history="1">
            <w:r w:rsidRPr="00597EE5">
              <w:rPr>
                <w:rStyle w:val="Hyperlink"/>
                <w:noProof/>
              </w:rPr>
              <w:t>Treatment of international flows - Transport related fuel and pollution</w:t>
            </w:r>
            <w:r>
              <w:rPr>
                <w:noProof/>
                <w:webHidden/>
              </w:rPr>
              <w:tab/>
            </w:r>
            <w:r>
              <w:rPr>
                <w:noProof/>
                <w:webHidden/>
              </w:rPr>
              <w:fldChar w:fldCharType="begin"/>
            </w:r>
            <w:r>
              <w:rPr>
                <w:noProof/>
                <w:webHidden/>
              </w:rPr>
              <w:instrText xml:space="preserve"> PAGEREF _Toc204881164 \h </w:instrText>
            </w:r>
            <w:r>
              <w:rPr>
                <w:noProof/>
                <w:webHidden/>
              </w:rPr>
            </w:r>
            <w:r>
              <w:rPr>
                <w:noProof/>
                <w:webHidden/>
              </w:rPr>
              <w:fldChar w:fldCharType="separate"/>
            </w:r>
            <w:r>
              <w:rPr>
                <w:noProof/>
                <w:webHidden/>
              </w:rPr>
              <w:t>25</w:t>
            </w:r>
            <w:r>
              <w:rPr>
                <w:noProof/>
                <w:webHidden/>
              </w:rPr>
              <w:fldChar w:fldCharType="end"/>
            </w:r>
          </w:hyperlink>
        </w:p>
        <w:p w14:paraId="294A0DB6" w14:textId="77777777" w:rsidR="00C836D3" w:rsidRDefault="00C836D3">
          <w:pPr>
            <w:pStyle w:val="TOC3"/>
            <w:tabs>
              <w:tab w:val="right" w:leader="dot" w:pos="8296"/>
            </w:tabs>
            <w:rPr>
              <w:rFonts w:eastAsiaTheme="minorEastAsia"/>
              <w:noProof/>
              <w:kern w:val="2"/>
              <w:sz w:val="24"/>
              <w:szCs w:val="24"/>
              <w:lang w:val="en-NZ" w:eastAsia="en-NZ"/>
              <w14:ligatures w14:val="standardContextual"/>
            </w:rPr>
          </w:pPr>
          <w:hyperlink w:anchor="_Toc204881165" w:history="1">
            <w:r w:rsidRPr="00597EE5">
              <w:rPr>
                <w:rStyle w:val="Hyperlink"/>
                <w:noProof/>
              </w:rPr>
              <w:t>Tourist activity</w:t>
            </w:r>
            <w:r>
              <w:rPr>
                <w:noProof/>
                <w:webHidden/>
              </w:rPr>
              <w:tab/>
            </w:r>
            <w:r>
              <w:rPr>
                <w:noProof/>
                <w:webHidden/>
              </w:rPr>
              <w:fldChar w:fldCharType="begin"/>
            </w:r>
            <w:r>
              <w:rPr>
                <w:noProof/>
                <w:webHidden/>
              </w:rPr>
              <w:instrText xml:space="preserve"> PAGEREF _Toc204881165 \h </w:instrText>
            </w:r>
            <w:r>
              <w:rPr>
                <w:noProof/>
                <w:webHidden/>
              </w:rPr>
            </w:r>
            <w:r>
              <w:rPr>
                <w:noProof/>
                <w:webHidden/>
              </w:rPr>
              <w:fldChar w:fldCharType="separate"/>
            </w:r>
            <w:r>
              <w:rPr>
                <w:noProof/>
                <w:webHidden/>
              </w:rPr>
              <w:t>26</w:t>
            </w:r>
            <w:r>
              <w:rPr>
                <w:noProof/>
                <w:webHidden/>
              </w:rPr>
              <w:fldChar w:fldCharType="end"/>
            </w:r>
          </w:hyperlink>
        </w:p>
        <w:p w14:paraId="18FCBB5D" w14:textId="77777777" w:rsidR="00C836D3" w:rsidRDefault="00C836D3">
          <w:pPr>
            <w:pStyle w:val="TOC3"/>
            <w:tabs>
              <w:tab w:val="right" w:leader="dot" w:pos="8296"/>
            </w:tabs>
            <w:rPr>
              <w:rFonts w:eastAsiaTheme="minorEastAsia"/>
              <w:noProof/>
              <w:kern w:val="2"/>
              <w:sz w:val="24"/>
              <w:szCs w:val="24"/>
              <w:lang w:val="en-NZ" w:eastAsia="en-NZ"/>
              <w14:ligatures w14:val="standardContextual"/>
            </w:rPr>
          </w:pPr>
          <w:hyperlink w:anchor="_Toc204881166" w:history="1">
            <w:r w:rsidRPr="00597EE5">
              <w:rPr>
                <w:rStyle w:val="Hyperlink"/>
                <w:noProof/>
              </w:rPr>
              <w:t>Illegal Harvesting</w:t>
            </w:r>
            <w:r>
              <w:rPr>
                <w:noProof/>
                <w:webHidden/>
              </w:rPr>
              <w:tab/>
            </w:r>
            <w:r>
              <w:rPr>
                <w:noProof/>
                <w:webHidden/>
              </w:rPr>
              <w:fldChar w:fldCharType="begin"/>
            </w:r>
            <w:r>
              <w:rPr>
                <w:noProof/>
                <w:webHidden/>
              </w:rPr>
              <w:instrText xml:space="preserve"> PAGEREF _Toc204881166 \h </w:instrText>
            </w:r>
            <w:r>
              <w:rPr>
                <w:noProof/>
                <w:webHidden/>
              </w:rPr>
            </w:r>
            <w:r>
              <w:rPr>
                <w:noProof/>
                <w:webHidden/>
              </w:rPr>
              <w:fldChar w:fldCharType="separate"/>
            </w:r>
            <w:r>
              <w:rPr>
                <w:noProof/>
                <w:webHidden/>
              </w:rPr>
              <w:t>27</w:t>
            </w:r>
            <w:r>
              <w:rPr>
                <w:noProof/>
                <w:webHidden/>
              </w:rPr>
              <w:fldChar w:fldCharType="end"/>
            </w:r>
          </w:hyperlink>
        </w:p>
        <w:p w14:paraId="32AC93C3" w14:textId="77777777" w:rsidR="00C836D3" w:rsidRDefault="00C836D3">
          <w:pPr>
            <w:pStyle w:val="TOC3"/>
            <w:tabs>
              <w:tab w:val="right" w:leader="dot" w:pos="8296"/>
            </w:tabs>
            <w:rPr>
              <w:rFonts w:eastAsiaTheme="minorEastAsia"/>
              <w:noProof/>
              <w:kern w:val="2"/>
              <w:sz w:val="24"/>
              <w:szCs w:val="24"/>
              <w:lang w:val="en-NZ" w:eastAsia="en-NZ"/>
              <w14:ligatures w14:val="standardContextual"/>
            </w:rPr>
          </w:pPr>
          <w:hyperlink w:anchor="_Toc204881167" w:history="1">
            <w:r w:rsidRPr="00597EE5">
              <w:rPr>
                <w:rStyle w:val="Hyperlink"/>
                <w:noProof/>
              </w:rPr>
              <w:t>Treatment of goods for processing (Transshipment activity)</w:t>
            </w:r>
            <w:r>
              <w:rPr>
                <w:noProof/>
                <w:webHidden/>
              </w:rPr>
              <w:tab/>
            </w:r>
            <w:r>
              <w:rPr>
                <w:noProof/>
                <w:webHidden/>
              </w:rPr>
              <w:fldChar w:fldCharType="begin"/>
            </w:r>
            <w:r>
              <w:rPr>
                <w:noProof/>
                <w:webHidden/>
              </w:rPr>
              <w:instrText xml:space="preserve"> PAGEREF _Toc204881167 \h </w:instrText>
            </w:r>
            <w:r>
              <w:rPr>
                <w:noProof/>
                <w:webHidden/>
              </w:rPr>
            </w:r>
            <w:r>
              <w:rPr>
                <w:noProof/>
                <w:webHidden/>
              </w:rPr>
              <w:fldChar w:fldCharType="separate"/>
            </w:r>
            <w:r>
              <w:rPr>
                <w:noProof/>
                <w:webHidden/>
              </w:rPr>
              <w:t>27</w:t>
            </w:r>
            <w:r>
              <w:rPr>
                <w:noProof/>
                <w:webHidden/>
              </w:rPr>
              <w:fldChar w:fldCharType="end"/>
            </w:r>
          </w:hyperlink>
        </w:p>
        <w:p w14:paraId="21AD636D" w14:textId="77777777" w:rsidR="00C836D3" w:rsidRDefault="00C836D3">
          <w:pPr>
            <w:pStyle w:val="TOC2"/>
            <w:tabs>
              <w:tab w:val="right" w:leader="dot" w:pos="8296"/>
            </w:tabs>
            <w:rPr>
              <w:rFonts w:eastAsiaTheme="minorEastAsia"/>
              <w:b w:val="0"/>
              <w:bCs w:val="0"/>
              <w:noProof/>
              <w:kern w:val="2"/>
              <w:sz w:val="24"/>
              <w:szCs w:val="24"/>
              <w:lang w:val="en-NZ" w:eastAsia="en-NZ"/>
              <w14:ligatures w14:val="standardContextual"/>
            </w:rPr>
          </w:pPr>
          <w:hyperlink w:anchor="_Toc204881168" w:history="1">
            <w:r w:rsidRPr="00597EE5">
              <w:rPr>
                <w:rStyle w:val="Hyperlink"/>
                <w:noProof/>
              </w:rPr>
              <w:t>Physical flow accounts for water</w:t>
            </w:r>
            <w:r>
              <w:rPr>
                <w:noProof/>
                <w:webHidden/>
              </w:rPr>
              <w:tab/>
            </w:r>
            <w:r>
              <w:rPr>
                <w:noProof/>
                <w:webHidden/>
              </w:rPr>
              <w:fldChar w:fldCharType="begin"/>
            </w:r>
            <w:r>
              <w:rPr>
                <w:noProof/>
                <w:webHidden/>
              </w:rPr>
              <w:instrText xml:space="preserve"> PAGEREF _Toc204881168 \h </w:instrText>
            </w:r>
            <w:r>
              <w:rPr>
                <w:noProof/>
                <w:webHidden/>
              </w:rPr>
            </w:r>
            <w:r>
              <w:rPr>
                <w:noProof/>
                <w:webHidden/>
              </w:rPr>
              <w:fldChar w:fldCharType="separate"/>
            </w:r>
            <w:r>
              <w:rPr>
                <w:noProof/>
                <w:webHidden/>
              </w:rPr>
              <w:t>27</w:t>
            </w:r>
            <w:r>
              <w:rPr>
                <w:noProof/>
                <w:webHidden/>
              </w:rPr>
              <w:fldChar w:fldCharType="end"/>
            </w:r>
          </w:hyperlink>
        </w:p>
        <w:p w14:paraId="13CC204C" w14:textId="77777777" w:rsidR="00C836D3" w:rsidRDefault="00C836D3">
          <w:pPr>
            <w:pStyle w:val="TOC2"/>
            <w:tabs>
              <w:tab w:val="right" w:leader="dot" w:pos="8296"/>
            </w:tabs>
            <w:rPr>
              <w:rFonts w:eastAsiaTheme="minorEastAsia"/>
              <w:b w:val="0"/>
              <w:bCs w:val="0"/>
              <w:noProof/>
              <w:kern w:val="2"/>
              <w:sz w:val="24"/>
              <w:szCs w:val="24"/>
              <w:lang w:val="en-NZ" w:eastAsia="en-NZ"/>
              <w14:ligatures w14:val="standardContextual"/>
            </w:rPr>
          </w:pPr>
          <w:hyperlink w:anchor="_Toc204881169" w:history="1">
            <w:r w:rsidRPr="00597EE5">
              <w:rPr>
                <w:rStyle w:val="Hyperlink"/>
                <w:noProof/>
              </w:rPr>
              <w:t>Physical flow accounts of materials</w:t>
            </w:r>
            <w:r>
              <w:rPr>
                <w:noProof/>
                <w:webHidden/>
              </w:rPr>
              <w:tab/>
            </w:r>
            <w:r>
              <w:rPr>
                <w:noProof/>
                <w:webHidden/>
              </w:rPr>
              <w:fldChar w:fldCharType="begin"/>
            </w:r>
            <w:r>
              <w:rPr>
                <w:noProof/>
                <w:webHidden/>
              </w:rPr>
              <w:instrText xml:space="preserve"> PAGEREF _Toc204881169 \h </w:instrText>
            </w:r>
            <w:r>
              <w:rPr>
                <w:noProof/>
                <w:webHidden/>
              </w:rPr>
            </w:r>
            <w:r>
              <w:rPr>
                <w:noProof/>
                <w:webHidden/>
              </w:rPr>
              <w:fldChar w:fldCharType="separate"/>
            </w:r>
            <w:r>
              <w:rPr>
                <w:noProof/>
                <w:webHidden/>
              </w:rPr>
              <w:t>28</w:t>
            </w:r>
            <w:r>
              <w:rPr>
                <w:noProof/>
                <w:webHidden/>
              </w:rPr>
              <w:fldChar w:fldCharType="end"/>
            </w:r>
          </w:hyperlink>
        </w:p>
        <w:p w14:paraId="18FFB2F7" w14:textId="77777777" w:rsidR="00C836D3" w:rsidRDefault="00C836D3">
          <w:pPr>
            <w:pStyle w:val="TOC3"/>
            <w:tabs>
              <w:tab w:val="right" w:leader="dot" w:pos="8296"/>
            </w:tabs>
            <w:rPr>
              <w:rFonts w:eastAsiaTheme="minorEastAsia"/>
              <w:noProof/>
              <w:kern w:val="2"/>
              <w:sz w:val="24"/>
              <w:szCs w:val="24"/>
              <w:lang w:val="en-NZ" w:eastAsia="en-NZ"/>
              <w14:ligatures w14:val="standardContextual"/>
            </w:rPr>
          </w:pPr>
          <w:hyperlink w:anchor="_Toc204881170" w:history="1">
            <w:r w:rsidRPr="00597EE5">
              <w:rPr>
                <w:rStyle w:val="Hyperlink"/>
                <w:noProof/>
              </w:rPr>
              <w:t>The environmental protection expenditure account (EPEA)</w:t>
            </w:r>
            <w:r>
              <w:rPr>
                <w:noProof/>
                <w:webHidden/>
              </w:rPr>
              <w:tab/>
            </w:r>
            <w:r>
              <w:rPr>
                <w:noProof/>
                <w:webHidden/>
              </w:rPr>
              <w:fldChar w:fldCharType="begin"/>
            </w:r>
            <w:r>
              <w:rPr>
                <w:noProof/>
                <w:webHidden/>
              </w:rPr>
              <w:instrText xml:space="preserve"> PAGEREF _Toc204881170 \h </w:instrText>
            </w:r>
            <w:r>
              <w:rPr>
                <w:noProof/>
                <w:webHidden/>
              </w:rPr>
            </w:r>
            <w:r>
              <w:rPr>
                <w:noProof/>
                <w:webHidden/>
              </w:rPr>
              <w:fldChar w:fldCharType="separate"/>
            </w:r>
            <w:r>
              <w:rPr>
                <w:noProof/>
                <w:webHidden/>
              </w:rPr>
              <w:t>29</w:t>
            </w:r>
            <w:r>
              <w:rPr>
                <w:noProof/>
                <w:webHidden/>
              </w:rPr>
              <w:fldChar w:fldCharType="end"/>
            </w:r>
          </w:hyperlink>
        </w:p>
        <w:p w14:paraId="24817FC7" w14:textId="77777777" w:rsidR="00C836D3" w:rsidRDefault="00C836D3">
          <w:pPr>
            <w:pStyle w:val="TOC3"/>
            <w:tabs>
              <w:tab w:val="right" w:leader="dot" w:pos="8296"/>
            </w:tabs>
            <w:rPr>
              <w:rFonts w:eastAsiaTheme="minorEastAsia"/>
              <w:noProof/>
              <w:kern w:val="2"/>
              <w:sz w:val="24"/>
              <w:szCs w:val="24"/>
              <w:lang w:val="en-NZ" w:eastAsia="en-NZ"/>
              <w14:ligatures w14:val="standardContextual"/>
            </w:rPr>
          </w:pPr>
          <w:hyperlink w:anchor="_Toc204881171" w:history="1">
            <w:r w:rsidRPr="00597EE5">
              <w:rPr>
                <w:rStyle w:val="Hyperlink"/>
                <w:noProof/>
              </w:rPr>
              <w:t>Fixed assets used in economic activities related to the environment</w:t>
            </w:r>
            <w:r>
              <w:rPr>
                <w:noProof/>
                <w:webHidden/>
              </w:rPr>
              <w:tab/>
            </w:r>
            <w:r>
              <w:rPr>
                <w:noProof/>
                <w:webHidden/>
              </w:rPr>
              <w:fldChar w:fldCharType="begin"/>
            </w:r>
            <w:r>
              <w:rPr>
                <w:noProof/>
                <w:webHidden/>
              </w:rPr>
              <w:instrText xml:space="preserve"> PAGEREF _Toc204881171 \h </w:instrText>
            </w:r>
            <w:r>
              <w:rPr>
                <w:noProof/>
                <w:webHidden/>
              </w:rPr>
            </w:r>
            <w:r>
              <w:rPr>
                <w:noProof/>
                <w:webHidden/>
              </w:rPr>
              <w:fldChar w:fldCharType="separate"/>
            </w:r>
            <w:r>
              <w:rPr>
                <w:noProof/>
                <w:webHidden/>
              </w:rPr>
              <w:t>30</w:t>
            </w:r>
            <w:r>
              <w:rPr>
                <w:noProof/>
                <w:webHidden/>
              </w:rPr>
              <w:fldChar w:fldCharType="end"/>
            </w:r>
          </w:hyperlink>
        </w:p>
        <w:p w14:paraId="170FCB2A" w14:textId="77777777" w:rsidR="00C836D3" w:rsidRDefault="00C836D3">
          <w:pPr>
            <w:pStyle w:val="TOC1"/>
            <w:tabs>
              <w:tab w:val="left" w:pos="440"/>
              <w:tab w:val="right" w:leader="dot" w:pos="8296"/>
            </w:tabs>
            <w:rPr>
              <w:rFonts w:asciiTheme="minorHAnsi" w:eastAsiaTheme="minorEastAsia" w:hAnsiTheme="minorHAnsi" w:cstheme="minorBidi"/>
              <w:b w:val="0"/>
              <w:bCs w:val="0"/>
              <w:caps w:val="0"/>
              <w:noProof/>
              <w:kern w:val="2"/>
              <w:lang w:val="en-NZ" w:eastAsia="en-NZ"/>
              <w14:ligatures w14:val="standardContextual"/>
            </w:rPr>
          </w:pPr>
          <w:hyperlink w:anchor="_Toc204881172" w:history="1">
            <w:r w:rsidRPr="00597EE5">
              <w:rPr>
                <w:rStyle w:val="Hyperlink"/>
                <w:noProof/>
              </w:rPr>
              <w:t>5</w:t>
            </w:r>
            <w:r>
              <w:rPr>
                <w:rFonts w:asciiTheme="minorHAnsi" w:eastAsiaTheme="minorEastAsia" w:hAnsiTheme="minorHAnsi" w:cstheme="minorBidi"/>
                <w:b w:val="0"/>
                <w:bCs w:val="0"/>
                <w:caps w:val="0"/>
                <w:noProof/>
                <w:kern w:val="2"/>
                <w:lang w:val="en-NZ" w:eastAsia="en-NZ"/>
                <w14:ligatures w14:val="standardContextual"/>
              </w:rPr>
              <w:tab/>
            </w:r>
            <w:r w:rsidRPr="00597EE5">
              <w:rPr>
                <w:rStyle w:val="Hyperlink"/>
                <w:noProof/>
              </w:rPr>
              <w:t>Digital Earth Pacific and FAME / GEM data sources</w:t>
            </w:r>
            <w:r>
              <w:rPr>
                <w:noProof/>
                <w:webHidden/>
              </w:rPr>
              <w:tab/>
            </w:r>
            <w:r>
              <w:rPr>
                <w:noProof/>
                <w:webHidden/>
              </w:rPr>
              <w:fldChar w:fldCharType="begin"/>
            </w:r>
            <w:r>
              <w:rPr>
                <w:noProof/>
                <w:webHidden/>
              </w:rPr>
              <w:instrText xml:space="preserve"> PAGEREF _Toc204881172 \h </w:instrText>
            </w:r>
            <w:r>
              <w:rPr>
                <w:noProof/>
                <w:webHidden/>
              </w:rPr>
            </w:r>
            <w:r>
              <w:rPr>
                <w:noProof/>
                <w:webHidden/>
              </w:rPr>
              <w:fldChar w:fldCharType="separate"/>
            </w:r>
            <w:r>
              <w:rPr>
                <w:noProof/>
                <w:webHidden/>
              </w:rPr>
              <w:t>31</w:t>
            </w:r>
            <w:r>
              <w:rPr>
                <w:noProof/>
                <w:webHidden/>
              </w:rPr>
              <w:fldChar w:fldCharType="end"/>
            </w:r>
          </w:hyperlink>
        </w:p>
        <w:p w14:paraId="53F1C3E0" w14:textId="77777777" w:rsidR="00C836D3" w:rsidRDefault="00C836D3">
          <w:pPr>
            <w:pStyle w:val="TOC1"/>
            <w:tabs>
              <w:tab w:val="left" w:pos="440"/>
              <w:tab w:val="right" w:leader="dot" w:pos="8296"/>
            </w:tabs>
            <w:rPr>
              <w:rFonts w:asciiTheme="minorHAnsi" w:eastAsiaTheme="minorEastAsia" w:hAnsiTheme="minorHAnsi" w:cstheme="minorBidi"/>
              <w:b w:val="0"/>
              <w:bCs w:val="0"/>
              <w:caps w:val="0"/>
              <w:noProof/>
              <w:kern w:val="2"/>
              <w:lang w:val="en-NZ" w:eastAsia="en-NZ"/>
              <w14:ligatures w14:val="standardContextual"/>
            </w:rPr>
          </w:pPr>
          <w:hyperlink w:anchor="_Toc204881173" w:history="1">
            <w:r w:rsidRPr="00597EE5">
              <w:rPr>
                <w:rStyle w:val="Hyperlink"/>
                <w:noProof/>
              </w:rPr>
              <w:t>6</w:t>
            </w:r>
            <w:r>
              <w:rPr>
                <w:rFonts w:asciiTheme="minorHAnsi" w:eastAsiaTheme="minorEastAsia" w:hAnsiTheme="minorHAnsi" w:cstheme="minorBidi"/>
                <w:b w:val="0"/>
                <w:bCs w:val="0"/>
                <w:caps w:val="0"/>
                <w:noProof/>
                <w:kern w:val="2"/>
                <w:lang w:val="en-NZ" w:eastAsia="en-NZ"/>
                <w14:ligatures w14:val="standardContextual"/>
              </w:rPr>
              <w:tab/>
            </w:r>
            <w:r w:rsidRPr="00597EE5">
              <w:rPr>
                <w:rStyle w:val="Hyperlink"/>
                <w:noProof/>
              </w:rPr>
              <w:t>References</w:t>
            </w:r>
            <w:r>
              <w:rPr>
                <w:noProof/>
                <w:webHidden/>
              </w:rPr>
              <w:tab/>
            </w:r>
            <w:r>
              <w:rPr>
                <w:noProof/>
                <w:webHidden/>
              </w:rPr>
              <w:fldChar w:fldCharType="begin"/>
            </w:r>
            <w:r>
              <w:rPr>
                <w:noProof/>
                <w:webHidden/>
              </w:rPr>
              <w:instrText xml:space="preserve"> PAGEREF _Toc204881173 \h </w:instrText>
            </w:r>
            <w:r>
              <w:rPr>
                <w:noProof/>
                <w:webHidden/>
              </w:rPr>
            </w:r>
            <w:r>
              <w:rPr>
                <w:noProof/>
                <w:webHidden/>
              </w:rPr>
              <w:fldChar w:fldCharType="separate"/>
            </w:r>
            <w:r>
              <w:rPr>
                <w:noProof/>
                <w:webHidden/>
              </w:rPr>
              <w:t>31</w:t>
            </w:r>
            <w:r>
              <w:rPr>
                <w:noProof/>
                <w:webHidden/>
              </w:rPr>
              <w:fldChar w:fldCharType="end"/>
            </w:r>
          </w:hyperlink>
        </w:p>
        <w:p w14:paraId="7CF45C5C" w14:textId="77777777" w:rsidR="007A3D20" w:rsidRDefault="00000000">
          <w:r>
            <w:fldChar w:fldCharType="end"/>
          </w:r>
        </w:p>
      </w:sdtContent>
    </w:sdt>
    <w:p w14:paraId="45883C84" w14:textId="77777777" w:rsidR="007A3D20" w:rsidRDefault="00000000">
      <w:r>
        <w:br w:type="page"/>
      </w:r>
    </w:p>
    <w:p w14:paraId="168680FA" w14:textId="77777777" w:rsidR="007A3D20" w:rsidRDefault="00000000">
      <w:pPr>
        <w:pStyle w:val="Heading1"/>
      </w:pPr>
      <w:bookmarkStart w:id="0" w:name="executive-summary"/>
      <w:bookmarkStart w:id="1" w:name="_Toc204881129"/>
      <w:r>
        <w:rPr>
          <w:rStyle w:val="SectionNumber"/>
        </w:rPr>
        <w:lastRenderedPageBreak/>
        <w:t>1</w:t>
      </w:r>
      <w:r>
        <w:tab/>
        <w:t>Executive Summary</w:t>
      </w:r>
      <w:bookmarkEnd w:id="1"/>
    </w:p>
    <w:p w14:paraId="410EB550" w14:textId="77777777" w:rsidR="007A3D20" w:rsidRDefault="00000000">
      <w:r>
        <w:br w:type="page"/>
      </w:r>
    </w:p>
    <w:p w14:paraId="6C4E8445" w14:textId="77777777" w:rsidR="007A3D20" w:rsidRDefault="00000000">
      <w:pPr>
        <w:pStyle w:val="Heading1"/>
      </w:pPr>
      <w:bookmarkStart w:id="2" w:name="background-and-context"/>
      <w:bookmarkStart w:id="3" w:name="_Toc204881130"/>
      <w:bookmarkEnd w:id="0"/>
      <w:r>
        <w:rPr>
          <w:rStyle w:val="SectionNumber"/>
        </w:rPr>
        <w:lastRenderedPageBreak/>
        <w:t>2</w:t>
      </w:r>
      <w:r>
        <w:tab/>
        <w:t>Background and context</w:t>
      </w:r>
      <w:bookmarkEnd w:id="3"/>
    </w:p>
    <w:p w14:paraId="1B352C7A" w14:textId="77777777" w:rsidR="007A3D20" w:rsidRDefault="00000000">
      <w:pPr>
        <w:pStyle w:val="FirstParagraph"/>
      </w:pPr>
      <w:r>
        <w:t>A “confluence of factors” have come together for this paper.</w:t>
      </w:r>
    </w:p>
    <w:p w14:paraId="61F7FCE4" w14:textId="77777777" w:rsidR="007A3D20" w:rsidRDefault="00000000">
      <w:pPr>
        <w:pStyle w:val="BodyText"/>
      </w:pPr>
      <w:r>
        <w:t>Firstly, despite climate changing being an existential threat for Pacific nations</w:t>
      </w:r>
      <w:r>
        <w:rPr>
          <w:rStyle w:val="FootnoteReference"/>
        </w:rPr>
        <w:footnoteReference w:id="1"/>
      </w:r>
      <w:r>
        <w:t>, the standard economic metrics developed according to international frameworks have not served Pacific Island Countries and Territories (PICTs) well. A better measurement framework is needed, and this paper suggests that framework be based of the System of Environmental-Economic Accounts - Central Framework 2012 (SEEA-CF).</w:t>
      </w:r>
    </w:p>
    <w:p w14:paraId="01AD95FE" w14:textId="77777777" w:rsidR="007A3D20" w:rsidRDefault="00000000">
      <w:pPr>
        <w:pStyle w:val="BodyText"/>
      </w:pPr>
      <w:r>
        <w:t>Secondly, in an age where earth-observing satellite systems encompass the planet, the cost of employing remote-sensing satellite technologies for statistically measuring the environment is now relatively low. Efficiencies can be gained through employing The Pacific Community’s Digital Earth Pacific (DEP) geospatial system as a data measurment tool to measure the SEEA-CF dimensions of member country all at once.</w:t>
      </w:r>
    </w:p>
    <w:p w14:paraId="7B5FD89C" w14:textId="77777777" w:rsidR="007A3D20" w:rsidRDefault="00000000">
      <w:pPr>
        <w:pStyle w:val="BodyText"/>
      </w:pPr>
      <w:r>
        <w:t xml:space="preserve">Thirdly, developing a centrally estimated suite of SEEA-CF accounts using remote-sensing lays a preparatory foundation for measuring member country marine-based biodiversity. Environmental Accounts provide an evidence-based framework for the development of markets in the protection of biodiversity, creating a funding source that becomes more valuable </w:t>
      </w:r>
      <w:r>
        <w:rPr>
          <w:i/>
          <w:iCs/>
        </w:rPr>
        <w:t>with</w:t>
      </w:r>
      <w:r>
        <w:t xml:space="preserve"> climate change.</w:t>
      </w:r>
    </w:p>
    <w:p w14:paraId="2705C060" w14:textId="77777777" w:rsidR="007A3D20" w:rsidRDefault="00000000">
      <w:pPr>
        <w:pStyle w:val="Heading2"/>
      </w:pPr>
      <w:bookmarkStart w:id="4" w:name="Xe2b2946bea240415a0c2c90e7cf6ef1e84d7530"/>
      <w:bookmarkStart w:id="5" w:name="_Toc204881131"/>
      <w:r>
        <w:t>Climate change needs a better suite of metrics</w:t>
      </w:r>
      <w:bookmarkEnd w:id="5"/>
    </w:p>
    <w:p w14:paraId="22B1FC6B" w14:textId="77777777" w:rsidR="007A3D20" w:rsidRDefault="00000000">
      <w:pPr>
        <w:pStyle w:val="FirstParagraph"/>
      </w:pPr>
      <w:r>
        <w:t>For most of the 20th century, and up until relatively recently into the 21st century, the environment’s contribution to economic production had received little statistical measurement attention.</w:t>
      </w:r>
    </w:p>
    <w:p w14:paraId="212D4AAC" w14:textId="77777777" w:rsidR="007A3D20" w:rsidRDefault="00000000">
      <w:pPr>
        <w:pStyle w:val="BodyText"/>
      </w:pPr>
      <w:r>
        <w:t xml:space="preserve">What was becoming </w:t>
      </w:r>
      <w:r>
        <w:rPr>
          <w:i/>
          <w:iCs/>
        </w:rPr>
        <w:t>Issue de Jure</w:t>
      </w:r>
      <w:r>
        <w:t xml:space="preserve"> for countries - climate change - came onto the national accounting statistical radar in 1987 with the publication of the </w:t>
      </w:r>
      <w:r>
        <w:rPr>
          <w:i/>
          <w:iCs/>
        </w:rPr>
        <w:t>Brudtland Report</w:t>
      </w:r>
      <w:r>
        <w:t>.</w:t>
      </w:r>
      <w:r>
        <w:rPr>
          <w:rStyle w:val="FootnoteReference"/>
        </w:rPr>
        <w:footnoteReference w:id="2"/>
      </w:r>
      <w:r>
        <w:t xml:space="preserve"> The latest statistical framework with its origins from that report is the United Nations System of Environmental-Economic Accounts - Central Framework (SEEA-CF)</w:t>
      </w:r>
      <w:r>
        <w:rPr>
          <w:rStyle w:val="FootnoteReference"/>
        </w:rPr>
        <w:footnoteReference w:id="3"/>
      </w:r>
      <w:r>
        <w:t>: a robust suite of measures that both supports the System of National Accounts</w:t>
      </w:r>
      <w:r>
        <w:rPr>
          <w:rStyle w:val="FootnoteReference"/>
        </w:rPr>
        <w:footnoteReference w:id="4"/>
      </w:r>
      <w:r>
        <w:t xml:space="preserve"> (SNA) measures and reflects SNA principals.</w:t>
      </w:r>
    </w:p>
    <w:p w14:paraId="61966BFE" w14:textId="77777777" w:rsidR="007A3D20" w:rsidRDefault="00000000">
      <w:pPr>
        <w:pStyle w:val="BodyText"/>
      </w:pPr>
      <w:r>
        <w:t xml:space="preserve">SEEA-CF and its theoretical companion, the System of Environmental-Economic Accounts - Exosystem Accounting (SEEA-EA), create a suite of environmental statistical measures that complement the economics metrics from the SNA. Countries now have the </w:t>
      </w:r>
      <w:r>
        <w:rPr>
          <w:i/>
          <w:iCs/>
        </w:rPr>
        <w:t>theoretical</w:t>
      </w:r>
      <w:r>
        <w:t xml:space="preserve"> tools for connecting changes in their economic systems to environmental changes, and (importantly) </w:t>
      </w:r>
      <w:r>
        <w:rPr>
          <w:b/>
          <w:bCs/>
          <w:i/>
          <w:iCs/>
        </w:rPr>
        <w:t>vice versa</w:t>
      </w:r>
      <w:r>
        <w:t>.</w:t>
      </w:r>
    </w:p>
    <w:p w14:paraId="62B9E25D" w14:textId="77777777" w:rsidR="007A3D20" w:rsidRDefault="00000000">
      <w:pPr>
        <w:pStyle w:val="Heading2"/>
      </w:pPr>
      <w:bookmarkStart w:id="6" w:name="X80f60efa5582636e29629d9a76b03c18448f514"/>
      <w:bookmarkStart w:id="7" w:name="_Toc204881132"/>
      <w:bookmarkEnd w:id="4"/>
      <w:r>
        <w:lastRenderedPageBreak/>
        <w:t>Weather extremes regularly destroy PICT land-based capital…</w:t>
      </w:r>
      <w:bookmarkEnd w:id="7"/>
    </w:p>
    <w:p w14:paraId="102DE3A1" w14:textId="77777777" w:rsidR="007A3D20" w:rsidRDefault="00000000">
      <w:pPr>
        <w:pStyle w:val="FirstParagraph"/>
      </w:pPr>
      <w:r>
        <w:t>The twin issues of rebuilding from and adapting to present day climate change, and securing meaningful and valuable sources of economic value are hot topics for PICT policy-makers. Rising sea levels and coastal erosion, together with increasingly violent and frequent weather extremes, decimate land-based physical capital. This destruction reduces PICTs productive capital stocks, and lowers their economic growth potential. Recovering from tropical cyclones and rebuilding buildings and equipment also saps scarce resources from more productive alternative uses.</w:t>
      </w:r>
    </w:p>
    <w:p w14:paraId="4B8242CC" w14:textId="77777777" w:rsidR="007A3D20" w:rsidRDefault="00000000">
      <w:pPr>
        <w:pStyle w:val="BodyText"/>
      </w:pPr>
      <w:r>
        <w:t>The latest statistics from Kiribati’ “Kiribati Natural Disasters and Climate Change Survey Report 2023–2024”</w:t>
      </w:r>
      <w:r>
        <w:rPr>
          <w:rStyle w:val="FootnoteReference"/>
        </w:rPr>
        <w:footnoteReference w:id="5"/>
      </w:r>
      <w:r>
        <w:t xml:space="preserve"> provides some scale to how climate change is impacting PICTs.</w:t>
      </w:r>
    </w:p>
    <w:p w14:paraId="5F49657F" w14:textId="77777777" w:rsidR="007A3D20" w:rsidRDefault="00000000">
      <w:pPr>
        <w:pStyle w:val="BodyText"/>
      </w:pPr>
      <w:r>
        <w:t>During the 2023–2024 period:</w:t>
      </w:r>
    </w:p>
    <w:p w14:paraId="1DC7ADBA" w14:textId="77777777" w:rsidR="007A3D20" w:rsidRDefault="00000000">
      <w:pPr>
        <w:numPr>
          <w:ilvl w:val="0"/>
          <w:numId w:val="11"/>
        </w:numPr>
      </w:pPr>
      <w:r>
        <w:t>A quarter (25%) of households reported being impacted by at least one natural disaster.</w:t>
      </w:r>
    </w:p>
    <w:p w14:paraId="10608453" w14:textId="77777777" w:rsidR="007A3D20" w:rsidRDefault="00000000">
      <w:pPr>
        <w:numPr>
          <w:ilvl w:val="0"/>
          <w:numId w:val="11"/>
        </w:numPr>
      </w:pPr>
      <w:r>
        <w:t>The estimated economic losses from climate change totaled $1.25 million (AUD), with housing and agriculture most affected.</w:t>
      </w:r>
    </w:p>
    <w:p w14:paraId="61C13021" w14:textId="77777777" w:rsidR="007A3D20" w:rsidRDefault="00000000">
      <w:pPr>
        <w:numPr>
          <w:ilvl w:val="0"/>
          <w:numId w:val="11"/>
        </w:numPr>
      </w:pPr>
      <w:r>
        <w:t>Three-fifths (60%) of affected households experienced damage to their homes — mostly due to strong winds and heavy rain.</w:t>
      </w:r>
    </w:p>
    <w:p w14:paraId="4B6042DF" w14:textId="77777777" w:rsidR="007A3D20" w:rsidRDefault="00000000">
      <w:pPr>
        <w:numPr>
          <w:ilvl w:val="0"/>
          <w:numId w:val="11"/>
        </w:numPr>
      </w:pPr>
      <w:r>
        <w:t>A quarter (26%) of households affected by disasters reported agricultural losses, with drought the leading cause.</w:t>
      </w:r>
    </w:p>
    <w:p w14:paraId="46F23988" w14:textId="77777777" w:rsidR="007A3D20" w:rsidRDefault="00000000">
      <w:pPr>
        <w:numPr>
          <w:ilvl w:val="0"/>
          <w:numId w:val="11"/>
        </w:numPr>
      </w:pPr>
      <w:r>
        <w:t>One in 10 (10%) of households affected by disasters experienced health issues linked to climate events, including extreme heat and flooding.</w:t>
      </w:r>
    </w:p>
    <w:p w14:paraId="5595EC0C" w14:textId="77777777" w:rsidR="007A3D20" w:rsidRDefault="00000000">
      <w:pPr>
        <w:numPr>
          <w:ilvl w:val="0"/>
          <w:numId w:val="11"/>
        </w:numPr>
      </w:pPr>
      <w:r>
        <w:t>Nearly 4,000 people were temporarily relocated due to natural disasters.</w:t>
      </w:r>
    </w:p>
    <w:p w14:paraId="738D79CC" w14:textId="77777777" w:rsidR="007A3D20" w:rsidRDefault="00000000">
      <w:pPr>
        <w:pStyle w:val="Heading2"/>
      </w:pPr>
      <w:bookmarkStart w:id="8" w:name="X05d3cebac7e98ead842194afd0593c09eafb164"/>
      <w:bookmarkStart w:id="9" w:name="_Toc204881133"/>
      <w:bookmarkEnd w:id="6"/>
      <w:r>
        <w:t>… while ocean-based capital is more weather resilient</w:t>
      </w:r>
      <w:bookmarkEnd w:id="9"/>
    </w:p>
    <w:p w14:paraId="15868777" w14:textId="77777777" w:rsidR="007A3D20" w:rsidRDefault="00000000">
      <w:pPr>
        <w:pStyle w:val="FirstParagraph"/>
      </w:pPr>
      <w:r>
        <w:t>Measuring the environment through an ocean-based capital perspective offers PICTs alternative options from considering the economy through the SNA lens alone. By estimating the volume and type of ocean-based capital, the estimated value of ocean-based economic production can be quantified and potentially exploited. Fishing stocks and mineral deposits - ocean-based capital - present opportunities for PICTs to tap into overseas sources of funding, and generate value export incomes and licencing revenues independent of their land-based capital.</w:t>
      </w:r>
    </w:p>
    <w:p w14:paraId="6507998C" w14:textId="77777777" w:rsidR="007A3D20" w:rsidRDefault="00000000">
      <w:pPr>
        <w:pStyle w:val="BodyText"/>
      </w:pPr>
      <w:r>
        <w:t>Unlike physical productive capital - factories, farms and land-based mechinery - ocean-based capital is less weather dependent and more resiliant against weather extremes.</w:t>
      </w:r>
    </w:p>
    <w:p w14:paraId="6F9A8E56" w14:textId="77777777" w:rsidR="007A3D20" w:rsidRDefault="00000000">
      <w:pPr>
        <w:pStyle w:val="BodyText"/>
      </w:pPr>
      <w:r>
        <w:t>As seen from Table 1, PICTs have generated an average $US463.66 million per year over the last 10 years from fishing license fees of tuna alone.</w:t>
      </w:r>
    </w:p>
    <w:p w14:paraId="17536A76" w14:textId="77777777" w:rsidR="007A3D20" w:rsidRDefault="00000000">
      <w:pPr>
        <w:pStyle w:val="TableCaption"/>
      </w:pPr>
      <w:bookmarkStart w:id="10" w:name="tab:LicenseRevenues"/>
      <w:bookmarkEnd w:id="10"/>
      <w:r>
        <w:lastRenderedPageBreak/>
        <w:t>Table 1: Tuna Revenues: Access fees for offshore fishing 2014–2023 - $US Millions</w:t>
      </w:r>
    </w:p>
    <w:tbl>
      <w:tblPr>
        <w:tblStyle w:val="Table"/>
        <w:tblW w:w="5000" w:type="pct"/>
        <w:tblLayout w:type="fixed"/>
        <w:tblLook w:val="0020" w:firstRow="1" w:lastRow="0" w:firstColumn="0" w:lastColumn="0" w:noHBand="0" w:noVBand="0"/>
        <w:tblCaption w:val="Table 1: Tuna Revenues: Access fees for offshore fishing 2014–2023 - $US Millions"/>
      </w:tblPr>
      <w:tblGrid>
        <w:gridCol w:w="2906"/>
        <w:gridCol w:w="581"/>
        <w:gridCol w:w="581"/>
        <w:gridCol w:w="581"/>
        <w:gridCol w:w="581"/>
        <w:gridCol w:w="581"/>
        <w:gridCol w:w="581"/>
        <w:gridCol w:w="484"/>
        <w:gridCol w:w="581"/>
        <w:gridCol w:w="581"/>
        <w:gridCol w:w="484"/>
      </w:tblGrid>
      <w:tr w:rsidR="007A3D20" w14:paraId="5C7251B1" w14:textId="77777777">
        <w:trPr>
          <w:tblHeader/>
        </w:trPr>
        <w:tc>
          <w:tcPr>
            <w:tcW w:w="2700" w:type="dxa"/>
          </w:tcPr>
          <w:p w14:paraId="7627F606" w14:textId="77777777" w:rsidR="007A3D20" w:rsidRDefault="00000000">
            <w:pPr>
              <w:pStyle w:val="Compact"/>
              <w:jc w:val="left"/>
            </w:pPr>
            <w:r>
              <w:t>Country</w:t>
            </w:r>
          </w:p>
        </w:tc>
        <w:tc>
          <w:tcPr>
            <w:tcW w:w="540" w:type="dxa"/>
          </w:tcPr>
          <w:p w14:paraId="7616371E" w14:textId="77777777" w:rsidR="007A3D20" w:rsidRDefault="00000000">
            <w:pPr>
              <w:pStyle w:val="Compact"/>
              <w:jc w:val="right"/>
            </w:pPr>
            <w:r>
              <w:t>2014</w:t>
            </w:r>
          </w:p>
        </w:tc>
        <w:tc>
          <w:tcPr>
            <w:tcW w:w="540" w:type="dxa"/>
          </w:tcPr>
          <w:p w14:paraId="4D4D6C50" w14:textId="77777777" w:rsidR="007A3D20" w:rsidRDefault="00000000">
            <w:pPr>
              <w:pStyle w:val="Compact"/>
              <w:jc w:val="right"/>
            </w:pPr>
            <w:r>
              <w:t>2015</w:t>
            </w:r>
          </w:p>
        </w:tc>
        <w:tc>
          <w:tcPr>
            <w:tcW w:w="540" w:type="dxa"/>
          </w:tcPr>
          <w:p w14:paraId="2E4120FD" w14:textId="77777777" w:rsidR="007A3D20" w:rsidRDefault="00000000">
            <w:pPr>
              <w:pStyle w:val="Compact"/>
              <w:jc w:val="right"/>
            </w:pPr>
            <w:r>
              <w:t>2016</w:t>
            </w:r>
          </w:p>
        </w:tc>
        <w:tc>
          <w:tcPr>
            <w:tcW w:w="540" w:type="dxa"/>
          </w:tcPr>
          <w:p w14:paraId="139B6148" w14:textId="77777777" w:rsidR="007A3D20" w:rsidRDefault="00000000">
            <w:pPr>
              <w:pStyle w:val="Compact"/>
              <w:jc w:val="right"/>
            </w:pPr>
            <w:r>
              <w:t>2017</w:t>
            </w:r>
          </w:p>
        </w:tc>
        <w:tc>
          <w:tcPr>
            <w:tcW w:w="540" w:type="dxa"/>
          </w:tcPr>
          <w:p w14:paraId="4AEFB2B0" w14:textId="77777777" w:rsidR="007A3D20" w:rsidRDefault="00000000">
            <w:pPr>
              <w:pStyle w:val="Compact"/>
              <w:jc w:val="right"/>
            </w:pPr>
            <w:r>
              <w:t>2018</w:t>
            </w:r>
          </w:p>
        </w:tc>
        <w:tc>
          <w:tcPr>
            <w:tcW w:w="540" w:type="dxa"/>
          </w:tcPr>
          <w:p w14:paraId="68A6F83B" w14:textId="77777777" w:rsidR="007A3D20" w:rsidRDefault="00000000">
            <w:pPr>
              <w:pStyle w:val="Compact"/>
              <w:jc w:val="right"/>
            </w:pPr>
            <w:r>
              <w:t>2019</w:t>
            </w:r>
          </w:p>
        </w:tc>
        <w:tc>
          <w:tcPr>
            <w:tcW w:w="450" w:type="dxa"/>
          </w:tcPr>
          <w:p w14:paraId="688DD7A8" w14:textId="77777777" w:rsidR="007A3D20" w:rsidRDefault="00000000">
            <w:pPr>
              <w:pStyle w:val="Compact"/>
              <w:jc w:val="right"/>
            </w:pPr>
            <w:r>
              <w:t>2020</w:t>
            </w:r>
          </w:p>
        </w:tc>
        <w:tc>
          <w:tcPr>
            <w:tcW w:w="540" w:type="dxa"/>
          </w:tcPr>
          <w:p w14:paraId="24973B46" w14:textId="77777777" w:rsidR="007A3D20" w:rsidRDefault="00000000">
            <w:pPr>
              <w:pStyle w:val="Compact"/>
              <w:jc w:val="right"/>
            </w:pPr>
            <w:r>
              <w:t>2021</w:t>
            </w:r>
          </w:p>
        </w:tc>
        <w:tc>
          <w:tcPr>
            <w:tcW w:w="540" w:type="dxa"/>
          </w:tcPr>
          <w:p w14:paraId="58C9ADD7" w14:textId="77777777" w:rsidR="007A3D20" w:rsidRDefault="00000000">
            <w:pPr>
              <w:pStyle w:val="Compact"/>
              <w:jc w:val="right"/>
            </w:pPr>
            <w:r>
              <w:t>2022</w:t>
            </w:r>
          </w:p>
        </w:tc>
        <w:tc>
          <w:tcPr>
            <w:tcW w:w="450" w:type="dxa"/>
          </w:tcPr>
          <w:p w14:paraId="4C1F00E6" w14:textId="77777777" w:rsidR="007A3D20" w:rsidRDefault="00000000">
            <w:pPr>
              <w:pStyle w:val="Compact"/>
              <w:jc w:val="right"/>
            </w:pPr>
            <w:r>
              <w:t>2023</w:t>
            </w:r>
          </w:p>
        </w:tc>
      </w:tr>
      <w:tr w:rsidR="007A3D20" w14:paraId="37DA8AA0" w14:textId="77777777">
        <w:tc>
          <w:tcPr>
            <w:tcW w:w="2700" w:type="dxa"/>
          </w:tcPr>
          <w:p w14:paraId="28B4E0D9" w14:textId="77777777" w:rsidR="007A3D20" w:rsidRDefault="00000000">
            <w:pPr>
              <w:pStyle w:val="Compact"/>
              <w:jc w:val="left"/>
            </w:pPr>
            <w:r>
              <w:t>Total Fishing License Revenue</w:t>
            </w:r>
          </w:p>
        </w:tc>
        <w:tc>
          <w:tcPr>
            <w:tcW w:w="540" w:type="dxa"/>
          </w:tcPr>
          <w:p w14:paraId="3E22ADBD" w14:textId="77777777" w:rsidR="007A3D20" w:rsidRDefault="00000000">
            <w:pPr>
              <w:pStyle w:val="Compact"/>
              <w:jc w:val="right"/>
            </w:pPr>
            <w:r>
              <w:t>370.6</w:t>
            </w:r>
          </w:p>
        </w:tc>
        <w:tc>
          <w:tcPr>
            <w:tcW w:w="540" w:type="dxa"/>
          </w:tcPr>
          <w:p w14:paraId="536FFB62" w14:textId="77777777" w:rsidR="007A3D20" w:rsidRDefault="00000000">
            <w:pPr>
              <w:pStyle w:val="Compact"/>
              <w:jc w:val="right"/>
            </w:pPr>
            <w:r>
              <w:t>454.4</w:t>
            </w:r>
          </w:p>
        </w:tc>
        <w:tc>
          <w:tcPr>
            <w:tcW w:w="540" w:type="dxa"/>
          </w:tcPr>
          <w:p w14:paraId="0A0BC2A2" w14:textId="77777777" w:rsidR="007A3D20" w:rsidRDefault="00000000">
            <w:pPr>
              <w:pStyle w:val="Compact"/>
              <w:jc w:val="right"/>
            </w:pPr>
            <w:r>
              <w:t>446.5</w:t>
            </w:r>
          </w:p>
        </w:tc>
        <w:tc>
          <w:tcPr>
            <w:tcW w:w="540" w:type="dxa"/>
          </w:tcPr>
          <w:p w14:paraId="00368723" w14:textId="77777777" w:rsidR="007A3D20" w:rsidRDefault="00000000">
            <w:pPr>
              <w:pStyle w:val="Compact"/>
              <w:jc w:val="right"/>
            </w:pPr>
            <w:r>
              <w:t>496.1</w:t>
            </w:r>
          </w:p>
        </w:tc>
        <w:tc>
          <w:tcPr>
            <w:tcW w:w="540" w:type="dxa"/>
          </w:tcPr>
          <w:p w14:paraId="46EB0BBA" w14:textId="77777777" w:rsidR="007A3D20" w:rsidRDefault="00000000">
            <w:pPr>
              <w:pStyle w:val="Compact"/>
              <w:jc w:val="right"/>
            </w:pPr>
            <w:r>
              <w:t>496.9</w:t>
            </w:r>
          </w:p>
        </w:tc>
        <w:tc>
          <w:tcPr>
            <w:tcW w:w="540" w:type="dxa"/>
          </w:tcPr>
          <w:p w14:paraId="422DB963" w14:textId="77777777" w:rsidR="007A3D20" w:rsidRDefault="00000000">
            <w:pPr>
              <w:pStyle w:val="Compact"/>
              <w:jc w:val="right"/>
            </w:pPr>
            <w:r>
              <w:t>490.3</w:t>
            </w:r>
          </w:p>
        </w:tc>
        <w:tc>
          <w:tcPr>
            <w:tcW w:w="450" w:type="dxa"/>
          </w:tcPr>
          <w:p w14:paraId="6F2DD285" w14:textId="77777777" w:rsidR="007A3D20" w:rsidRDefault="00000000">
            <w:pPr>
              <w:pStyle w:val="Compact"/>
              <w:jc w:val="right"/>
            </w:pPr>
            <w:r>
              <w:t>481</w:t>
            </w:r>
          </w:p>
        </w:tc>
        <w:tc>
          <w:tcPr>
            <w:tcW w:w="540" w:type="dxa"/>
          </w:tcPr>
          <w:p w14:paraId="4BF22410" w14:textId="77777777" w:rsidR="007A3D20" w:rsidRDefault="00000000">
            <w:pPr>
              <w:pStyle w:val="Compact"/>
              <w:jc w:val="right"/>
            </w:pPr>
            <w:r>
              <w:t>483.5</w:t>
            </w:r>
          </w:p>
        </w:tc>
        <w:tc>
          <w:tcPr>
            <w:tcW w:w="540" w:type="dxa"/>
          </w:tcPr>
          <w:p w14:paraId="235E5B72" w14:textId="77777777" w:rsidR="007A3D20" w:rsidRDefault="00000000">
            <w:pPr>
              <w:pStyle w:val="Compact"/>
              <w:jc w:val="right"/>
            </w:pPr>
            <w:r>
              <w:t>458.3</w:t>
            </w:r>
          </w:p>
        </w:tc>
        <w:tc>
          <w:tcPr>
            <w:tcW w:w="450" w:type="dxa"/>
          </w:tcPr>
          <w:p w14:paraId="75E6F1E3" w14:textId="77777777" w:rsidR="007A3D20" w:rsidRDefault="00000000">
            <w:pPr>
              <w:pStyle w:val="Compact"/>
              <w:jc w:val="right"/>
            </w:pPr>
            <w:r>
              <w:t>459</w:t>
            </w:r>
          </w:p>
        </w:tc>
      </w:tr>
    </w:tbl>
    <w:p w14:paraId="5604EB06" w14:textId="77777777" w:rsidR="007A3D20" w:rsidRDefault="00000000">
      <w:pPr>
        <w:pStyle w:val="SourceCode"/>
      </w:pPr>
      <w:r>
        <w:rPr>
          <w:rStyle w:val="VerbatimChar"/>
        </w:rPr>
        <w:t>## [1] "Forum Fisheries Authority, Compendium of Economic and Development Statistics 2024.xlsx, https://www.ffa.int/download/economic-development-indicators-and-statistics/"</w:t>
      </w:r>
    </w:p>
    <w:p w14:paraId="15B92949" w14:textId="77777777" w:rsidR="007A3D20" w:rsidRDefault="00000000">
      <w:pPr>
        <w:pStyle w:val="FirstParagraph"/>
      </w:pPr>
      <w:r>
        <w:t>While the ocean is facing its own climate-related issues, having a “sea-based” alternative revenue source to more traditional “land-based” economic activity acts like a form of insurance against depending on one type of revenue source alone.</w:t>
      </w:r>
    </w:p>
    <w:p w14:paraId="7B71A2C4" w14:textId="77777777" w:rsidR="007A3D20" w:rsidRDefault="00000000">
      <w:pPr>
        <w:pStyle w:val="Heading2"/>
      </w:pPr>
      <w:bookmarkStart w:id="11" w:name="Xf22ae90a6531a2484e42cf05b7b47a65bc1731b"/>
      <w:bookmarkStart w:id="12" w:name="_Toc204881134"/>
      <w:bookmarkEnd w:id="8"/>
      <w:r>
        <w:t>The value of simulatenously measuring both the enviromental and the economic system is high</w:t>
      </w:r>
      <w:bookmarkEnd w:id="12"/>
    </w:p>
    <w:p w14:paraId="517E43D2" w14:textId="77777777" w:rsidR="007A3D20" w:rsidRDefault="00000000">
      <w:pPr>
        <w:pStyle w:val="FirstParagraph"/>
      </w:pPr>
      <w:r>
        <w:t>Unlike large countries with larger land areas, the scarcity of land for PICTs relative to the area of their Exclusive Economic Zones (EEZ) implies the bulk of exploitable economic resources are marine-based. For PICTs, SEEA-CF allows countries to understand how value is created within their environment, and how their environment shapes their future economic opportunities.</w:t>
      </w:r>
    </w:p>
    <w:p w14:paraId="73FCAAA0" w14:textId="77777777" w:rsidR="007A3D20" w:rsidRDefault="00000000">
      <w:pPr>
        <w:pStyle w:val="CaptionedFigure"/>
      </w:pPr>
      <w:r>
        <w:rPr>
          <w:noProof/>
        </w:rPr>
        <w:drawing>
          <wp:inline distT="0" distB="0" distL="0" distR="0" wp14:anchorId="34AAB5BE" wp14:editId="140AFF7C">
            <wp:extent cx="6588125" cy="4407983"/>
            <wp:effectExtent l="0" t="0" r="0" b="0"/>
            <wp:docPr id="36" name="Picture" descr="Figure 1: Distribution of countries by land size relative to EEZ size (World Bank Groupings)"/>
            <wp:cNvGraphicFramePr/>
            <a:graphic xmlns:a="http://schemas.openxmlformats.org/drawingml/2006/main">
              <a:graphicData uri="http://schemas.openxmlformats.org/drawingml/2006/picture">
                <pic:pic xmlns:pic="http://schemas.openxmlformats.org/drawingml/2006/picture">
                  <pic:nvPicPr>
                    <pic:cNvPr id="37" name="Picture" descr="Graphical_Output/Relative%20Land%20Area%20to%20EEZ.png"/>
                    <pic:cNvPicPr>
                      <a:picLocks noChangeAspect="1" noChangeArrowheads="1"/>
                    </pic:cNvPicPr>
                  </pic:nvPicPr>
                  <pic:blipFill>
                    <a:blip r:embed="rId7"/>
                    <a:stretch>
                      <a:fillRect/>
                    </a:stretch>
                  </pic:blipFill>
                  <pic:spPr bwMode="auto">
                    <a:xfrm>
                      <a:off x="0" y="0"/>
                      <a:ext cx="6588125" cy="4407983"/>
                    </a:xfrm>
                    <a:prstGeom prst="rect">
                      <a:avLst/>
                    </a:prstGeom>
                    <a:noFill/>
                    <a:ln w="9525">
                      <a:noFill/>
                      <a:headEnd/>
                      <a:tailEnd/>
                    </a:ln>
                  </pic:spPr>
                </pic:pic>
              </a:graphicData>
            </a:graphic>
          </wp:inline>
        </w:drawing>
      </w:r>
    </w:p>
    <w:p w14:paraId="3F2AA613" w14:textId="77777777" w:rsidR="007A3D20" w:rsidRDefault="00000000">
      <w:pPr>
        <w:pStyle w:val="ImageCaption"/>
      </w:pPr>
      <w:bookmarkStart w:id="13" w:name="fig:unnamed-chunk-1"/>
      <w:bookmarkEnd w:id="13"/>
      <w:r>
        <w:t>Figure 1: Distribution of countries by land size relative to EEZ size (World Bank Groupings)</w:t>
      </w:r>
    </w:p>
    <w:p w14:paraId="6231FABF" w14:textId="77777777" w:rsidR="007A3D20" w:rsidRDefault="00000000">
      <w:pPr>
        <w:pStyle w:val="BodyText"/>
      </w:pPr>
      <w:r>
        <w:rPr>
          <w:i/>
          <w:iCs/>
        </w:rPr>
        <w:lastRenderedPageBreak/>
        <w:t>Note:* These are: Clipperton Island, Maldives, Mauritius, Saint Helena, Seychelles, South Georgia and the South Sandwich Islands</w:t>
      </w:r>
    </w:p>
    <w:p w14:paraId="326D550B" w14:textId="77777777" w:rsidR="007A3D20" w:rsidRDefault="00000000">
      <w:pPr>
        <w:pStyle w:val="Heading2"/>
      </w:pPr>
      <w:bookmarkStart w:id="14" w:name="Xdc1944e2e213dfaef5242b2c86bfb232af90ee5"/>
      <w:bookmarkStart w:id="15" w:name="_Toc204881135"/>
      <w:bookmarkEnd w:id="11"/>
      <w:r>
        <w:t>… and the cost of remote sensing is relatively low</w:t>
      </w:r>
      <w:bookmarkEnd w:id="15"/>
    </w:p>
    <w:p w14:paraId="276450CD" w14:textId="77777777" w:rsidR="007A3D20" w:rsidRDefault="00000000">
      <w:pPr>
        <w:pStyle w:val="FirstParagraph"/>
      </w:pPr>
      <w:r>
        <w:t>The Pacific Community’s (SPC) Digital Earth Pacific (DEP) platform is capable of measuring member country environmental assets through remote-sensing. DEP can measure both land and near-shore ocean-based environmental assets for all SPC member countries at the same time. DEP can also take repeated periodic measures, enabling change measures to be derived, and capturing the impact of climate change on member countries. In the future, DEP might also create measures of ocean-based pollution.</w:t>
      </w:r>
    </w:p>
    <w:p w14:paraId="4E7C9F17" w14:textId="77777777" w:rsidR="007A3D20" w:rsidRDefault="00000000">
      <w:pPr>
        <w:pStyle w:val="Heading2"/>
      </w:pPr>
      <w:bookmarkStart w:id="16" w:name="X9e046a3a3f484c37fd7e0af9a816709c56e04ac"/>
      <w:bookmarkStart w:id="17" w:name="_Toc204881136"/>
      <w:bookmarkEnd w:id="14"/>
      <w:r>
        <w:t>Markets in biodiversity: Unlocking the real Blue Pacific Prosperity</w:t>
      </w:r>
      <w:bookmarkEnd w:id="17"/>
    </w:p>
    <w:p w14:paraId="1DF00E4C" w14:textId="77777777" w:rsidR="007A3D20" w:rsidRDefault="00000000">
      <w:pPr>
        <w:pStyle w:val="FirstParagraph"/>
      </w:pPr>
      <w:r>
        <w:t xml:space="preserve">The end-goal for introducing SEEA measurement into pacific countries is to create a capability and a measurement platform for data sources that could measure pacific-oceanwide </w:t>
      </w:r>
      <w:r>
        <w:rPr>
          <w:i/>
          <w:iCs/>
        </w:rPr>
        <w:t>biodiversity</w:t>
      </w:r>
      <w:r>
        <w:t xml:space="preserve"> and enable economic markets in biodiversity conservation to develop.</w:t>
      </w:r>
    </w:p>
    <w:p w14:paraId="1D614464" w14:textId="77777777" w:rsidR="007A3D20" w:rsidRDefault="00000000">
      <w:pPr>
        <w:pStyle w:val="BodyText"/>
      </w:pPr>
      <w:r>
        <w:t>Biodiversity, centrally and consistently measured using authoritative and scientifically valid data sources, offers a new source for establishing markets in conservation and biodiversity protection. Somewhat ironically, as climate change worsens, the most increasingly valuable aspect of the Pacific Ocean could become the continued existence of its rich and life-sustaining biodiversity.</w:t>
      </w:r>
    </w:p>
    <w:p w14:paraId="37896E72" w14:textId="77777777" w:rsidR="007A3D20" w:rsidRDefault="00000000">
      <w:pPr>
        <w:pStyle w:val="BodyText"/>
      </w:pPr>
      <w:r>
        <w:t>While climate change negatively impacts habitats, protecting existing habitats and preserving biodiversity becomes increasingly more valuable in harsher and more extreme world environment. If biodiversity and biodiverse areas can be readily identified, and their “level” and “difference” in biodiversity readily assessed, then the protection and expansion in those areas is valuable in a climatically changing world, and its conservation a future PICT revenue source.</w:t>
      </w:r>
    </w:p>
    <w:p w14:paraId="2E5ED525" w14:textId="77777777" w:rsidR="007A3D20" w:rsidRDefault="00000000">
      <w:pPr>
        <w:pStyle w:val="BodyText"/>
      </w:pPr>
      <w:r>
        <w:t xml:space="preserve">Not only would biodiverse areas be identified, but </w:t>
      </w:r>
      <w:r>
        <w:rPr>
          <w:i/>
          <w:iCs/>
        </w:rPr>
        <w:t>non-biodiverse</w:t>
      </w:r>
      <w:r>
        <w:t xml:space="preserve"> areas would also become identified. In non-biodiverse areas, alternative uses of the marine environment (like offshore oil exploration, or maritime transport paths) might be activities whose benefits outweigh their impacts on the environment.</w:t>
      </w:r>
    </w:p>
    <w:p w14:paraId="0723BC18" w14:textId="77777777" w:rsidR="007A3D20" w:rsidRDefault="00000000">
      <w:pPr>
        <w:pStyle w:val="BlockText"/>
      </w:pPr>
      <w:r>
        <w:rPr>
          <w:i/>
          <w:iCs/>
        </w:rPr>
        <w:t>The main allure of a market-based approach is its potential to achieve any given conservation goal at the lowest possible cost.</w:t>
      </w:r>
    </w:p>
    <w:p w14:paraId="00F39B6C" w14:textId="77777777" w:rsidR="007A3D20" w:rsidRDefault="00000000">
      <w:pPr>
        <w:pStyle w:val="BlockText"/>
      </w:pPr>
      <w:r>
        <w:rPr>
          <w:i/>
          <w:iCs/>
        </w:rPr>
        <w:t>Market-based policies have led to substantial improvements in air quality, reduced overfishing, and increased water provisioning and quality. Some coastal nations are already engaging in trade-based schemes to protect the marine environment—for example, The Nature Conservancy and the Republic of Seychelles’ “Blue Bonds for Ocean Conservation” program, or the “Ocean Conservation Commitments” scheme recently announced by the Pacific Island nation of Niue.</w:t>
      </w:r>
    </w:p>
    <w:p w14:paraId="1C9E2247" w14:textId="77777777" w:rsidR="007A3D20" w:rsidRDefault="00000000">
      <w:pPr>
        <w:pStyle w:val="BlockText"/>
      </w:pPr>
      <w:r>
        <w:rPr>
          <w:i/>
          <w:iCs/>
        </w:rPr>
        <w:lastRenderedPageBreak/>
        <w:t>Both models have something in common: A deal is struck between a coastal nation that conserves a portion of the marine environment and an interested party who helps pay for the costs of conserving. These schemes show that nations are interested in innovative financing approaches that take advantage of trades in which buyers place higher values on conservation than sellers. Although these examples are promising, they do not fully harness the cost reductions that could be achieved with a global market for conservation.</w:t>
      </w:r>
    </w:p>
    <w:p w14:paraId="7995BF6E" w14:textId="77777777" w:rsidR="007A3D20" w:rsidRDefault="00000000">
      <w:pPr>
        <w:pStyle w:val="BlockText"/>
      </w:pPr>
      <w:r>
        <w:t>— (</w:t>
      </w:r>
      <w:hyperlink r:id="rId8">
        <w:r>
          <w:rPr>
            <w:rStyle w:val="Hyperlink"/>
          </w:rPr>
          <w:t>Villasenor-Derbez, Costello, and Plantinga, 2024</w:t>
        </w:r>
      </w:hyperlink>
      <w:r>
        <w:t>)</w:t>
      </w:r>
    </w:p>
    <w:p w14:paraId="00DDC8CD" w14:textId="77777777" w:rsidR="007A3D20" w:rsidRDefault="00000000">
      <w:pPr>
        <w:pStyle w:val="Heading2"/>
      </w:pPr>
      <w:bookmarkStart w:id="18" w:name="this-is-our-collective-efforts"/>
      <w:bookmarkStart w:id="19" w:name="_Toc204881137"/>
      <w:bookmarkEnd w:id="16"/>
      <w:r>
        <w:t>This is our collective efforts</w:t>
      </w:r>
      <w:bookmarkEnd w:id="19"/>
    </w:p>
    <w:p w14:paraId="576D16A5" w14:textId="77777777" w:rsidR="007A3D20" w:rsidRDefault="00000000">
      <w:pPr>
        <w:pStyle w:val="FirstParagraph"/>
      </w:pPr>
      <w:r>
        <w:t>This paper outlines how SPC’s data sources might be leveraged to create an initial suite of Environmental-Economic Accounts for our Pacific member countries. It is the collective product from almost all of SPC’s divisions</w:t>
      </w:r>
    </w:p>
    <w:p w14:paraId="0F0A9E4C" w14:textId="77777777" w:rsidR="007A3D20" w:rsidRDefault="00000000">
      <w:pPr>
        <w:numPr>
          <w:ilvl w:val="0"/>
          <w:numId w:val="12"/>
        </w:numPr>
      </w:pPr>
      <w:r>
        <w:t>Its impetus started in Fisheries, Aquatic and Marine Environment (FAME) Division, who is also contributing the ocean-based aquatic life data sources and measures.</w:t>
      </w:r>
    </w:p>
    <w:p w14:paraId="25678D32" w14:textId="77777777" w:rsidR="007A3D20" w:rsidRDefault="00000000">
      <w:pPr>
        <w:numPr>
          <w:ilvl w:val="0"/>
          <w:numId w:val="12"/>
        </w:numPr>
      </w:pPr>
      <w:r>
        <w:t>Digital Earth Pacific, mineral resources and maritime transport activity data is supplied by the Geoscience, Energy and Marine (GEM) Division.</w:t>
      </w:r>
    </w:p>
    <w:p w14:paraId="10A08ADD" w14:textId="77777777" w:rsidR="007A3D20" w:rsidRDefault="00000000">
      <w:pPr>
        <w:numPr>
          <w:ilvl w:val="0"/>
          <w:numId w:val="12"/>
        </w:numPr>
      </w:pPr>
      <w:r>
        <w:t>The Land Resources Division (LRD) is guiding the development of the land use metrics.</w:t>
      </w:r>
    </w:p>
    <w:p w14:paraId="79FBEFA3" w14:textId="77777777" w:rsidR="007A3D20" w:rsidRDefault="00000000">
      <w:pPr>
        <w:numPr>
          <w:ilvl w:val="0"/>
          <w:numId w:val="12"/>
        </w:numPr>
      </w:pPr>
      <w:r>
        <w:t>Climate Change and Environmental Sustainability (CCES) Division are guiding the use of the metrics for member countries.</w:t>
      </w:r>
    </w:p>
    <w:p w14:paraId="512538A0" w14:textId="77777777" w:rsidR="007A3D20" w:rsidRDefault="00000000">
      <w:pPr>
        <w:numPr>
          <w:ilvl w:val="0"/>
          <w:numId w:val="12"/>
        </w:numPr>
      </w:pPr>
      <w:r>
        <w:t>The Statistics for Development Division (SDD) is providing oversight of the validity and compliance of the SEEA-based statistical measures.</w:t>
      </w:r>
    </w:p>
    <w:p w14:paraId="1BFA2812" w14:textId="77777777" w:rsidR="007A3D20" w:rsidRDefault="00000000">
      <w:r>
        <w:br w:type="page"/>
      </w:r>
    </w:p>
    <w:p w14:paraId="66DFFB20" w14:textId="77777777" w:rsidR="007A3D20" w:rsidRDefault="00000000">
      <w:pPr>
        <w:pStyle w:val="Heading1"/>
      </w:pPr>
      <w:bookmarkStart w:id="20" w:name="statistically-measuring-the-environment"/>
      <w:bookmarkStart w:id="21" w:name="_Toc204881138"/>
      <w:bookmarkEnd w:id="2"/>
      <w:bookmarkEnd w:id="18"/>
      <w:r>
        <w:rPr>
          <w:rStyle w:val="SectionNumber"/>
        </w:rPr>
        <w:lastRenderedPageBreak/>
        <w:t>3</w:t>
      </w:r>
      <w:r>
        <w:tab/>
        <w:t>Statistically measuring the environment</w:t>
      </w:r>
      <w:bookmarkEnd w:id="21"/>
    </w:p>
    <w:p w14:paraId="39B1EA7E" w14:textId="77777777" w:rsidR="007A3D20" w:rsidRDefault="00000000">
      <w:pPr>
        <w:pStyle w:val="FirstParagraph"/>
      </w:pPr>
      <w:r>
        <w:t>Measuring countries economic processes had, since 1947, been guided by the United Nations Systems of National Accounts (SNA)</w:t>
      </w:r>
      <w:r>
        <w:rPr>
          <w:rStyle w:val="FootnoteReference"/>
        </w:rPr>
        <w:footnoteReference w:id="6"/>
      </w:r>
      <w:r>
        <w:t>: a statistical methodological framework that maintained a robust adherance to a standard suite of economic measures for how countries measure their economic production, consumption, and exchange activity. Together with the Balance of Payments, it was a massive advance in the theory and practice of economics and has created commonly defined metrics for cross-country comparative analysis into the mechanics of economic growth and development.</w:t>
      </w:r>
    </w:p>
    <w:p w14:paraId="797DC4E1" w14:textId="77777777" w:rsidR="007A3D20" w:rsidRDefault="00000000">
      <w:pPr>
        <w:pStyle w:val="BodyText"/>
      </w:pPr>
      <w:r>
        <w:t>Its main limitation has, until recently, been its treatment of capital and capital services and lack of recognition for enviromental assets and services. The SNA 2025 version</w:t>
      </w:r>
      <w:r>
        <w:rPr>
          <w:rStyle w:val="FootnoteReference"/>
        </w:rPr>
        <w:footnoteReference w:id="7"/>
      </w:r>
      <w:r>
        <w:t xml:space="preserve"> now incorporates the SEEA and recognises environmental assets that generate environmental services and explicitly moves in line with the SEEA. As a result, moving towards the SEEA also moves PICTs towards upgrading their national accounting metrics.</w:t>
      </w:r>
    </w:p>
    <w:p w14:paraId="68F6D529" w14:textId="77777777" w:rsidR="007A3D20" w:rsidRDefault="00000000">
      <w:pPr>
        <w:pStyle w:val="BodyText"/>
      </w:pPr>
      <w:r>
        <w:t>This paper suggests developing SEEA-CF’s key metrics, its Environmental Asset Accounts differentiated into SEEA-CF’s Classification Environment Activities [Table 3] and populated using Digital Earth Pacific, FAME and GEM data sources.</w:t>
      </w:r>
    </w:p>
    <w:p w14:paraId="605C759C" w14:textId="77777777" w:rsidR="007A3D20" w:rsidRDefault="00000000">
      <w:pPr>
        <w:pStyle w:val="Heading2"/>
      </w:pPr>
      <w:bookmarkStart w:id="22" w:name="Xdee9d1d43ff220bc87cd04ef1d1e6e365101e72"/>
      <w:bookmarkStart w:id="23" w:name="_Toc204881139"/>
      <w:r>
        <w:t>The statistic issues relate to measurement theory</w:t>
      </w:r>
      <w:bookmarkEnd w:id="23"/>
    </w:p>
    <w:p w14:paraId="5618DB34" w14:textId="77777777" w:rsidR="007A3D20" w:rsidRDefault="00000000">
      <w:pPr>
        <w:pStyle w:val="FirstParagraph"/>
      </w:pPr>
      <w:r>
        <w:t>Since its inception in 1947, the System of National Accounts</w:t>
      </w:r>
      <w:r>
        <w:rPr>
          <w:rStyle w:val="FootnoteReference"/>
        </w:rPr>
        <w:footnoteReference w:id="8"/>
      </w:r>
      <w:r>
        <w:t xml:space="preserve"> has been the international standard for how countries, including PICTs, measure their economic production, consumption, and exchange activity. Together with the Balance of Payments, (reflecting inter-country trade and economic flows) the SNA is the framework for measuring economic systems. It was a massive advance in the theory and practice of economics and has created commonly defined metrics for cross-country comparative analysis into the mechanics of economic growth and development.</w:t>
      </w:r>
    </w:p>
    <w:p w14:paraId="129E4B8F" w14:textId="77777777" w:rsidR="007A3D20" w:rsidRDefault="00000000">
      <w:pPr>
        <w:pStyle w:val="BodyText"/>
      </w:pPr>
      <w:r>
        <w:t xml:space="preserve">The environment is recognised to the extent it could be captured within property rights and monetarily valued. Under the existing and previous SNA manuals, the environment is not seen as an input into a production process. The environment is something </w:t>
      </w:r>
      <w:r>
        <w:rPr>
          <w:i/>
          <w:iCs/>
        </w:rPr>
        <w:t>ancillary-to</w:t>
      </w:r>
      <w:r>
        <w:t xml:space="preserve"> the economy and </w:t>
      </w:r>
      <w:r>
        <w:rPr>
          <w:i/>
          <w:iCs/>
        </w:rPr>
        <w:t>within-which</w:t>
      </w:r>
      <w:r>
        <w:t xml:space="preserve"> economies undertake production, consumption and exchange.</w:t>
      </w:r>
    </w:p>
    <w:p w14:paraId="5DC5757A" w14:textId="77777777" w:rsidR="007A3D20" w:rsidRDefault="00000000">
      <w:pPr>
        <w:pStyle w:val="Heading2"/>
      </w:pPr>
      <w:bookmarkStart w:id="24" w:name="Xa4da6e1e574f34f6a00182c5dc19d7711218193"/>
      <w:bookmarkStart w:id="25" w:name="_Toc204881140"/>
      <w:bookmarkEnd w:id="22"/>
      <w:r>
        <w:t>The SNA only acknowledges man-made “produce” capital…</w:t>
      </w:r>
      <w:bookmarkEnd w:id="25"/>
    </w:p>
    <w:p w14:paraId="7B38C2ED" w14:textId="77777777" w:rsidR="007A3D20" w:rsidRDefault="00000000">
      <w:pPr>
        <w:pStyle w:val="FirstParagraph"/>
      </w:pPr>
      <w:r>
        <w:t>The concept that man-made capital generates “capital services” as inputs into the production was acknowledged in the 1993 version of the SNA;</w:t>
      </w:r>
      <w:r>
        <w:rPr>
          <w:rStyle w:val="FootnoteReference"/>
        </w:rPr>
        <w:footnoteReference w:id="9"/>
      </w:r>
      <w:r>
        <w:t xml:space="preserve"> however, the SNA93 stopped short of measuring environmental capital services as also inputs into production.</w:t>
      </w:r>
    </w:p>
    <w:p w14:paraId="4B9AF6BB" w14:textId="77777777" w:rsidR="007A3D20" w:rsidRDefault="00000000">
      <w:pPr>
        <w:pStyle w:val="BodyText"/>
      </w:pPr>
      <w:r>
        <w:t xml:space="preserve">Physical capital; for example, a motor vehicle, provides “transport services”: the ability to move inputs and outputs between locations. The transport services from a car differ from those of a truck. Similarly, the transport services of a new truck differ significantly from </w:t>
      </w:r>
      <w:r>
        <w:lastRenderedPageBreak/>
        <w:t xml:space="preserve">transport services of a vintage truck. Not only do the levels of inherent technology differ between vintage capital, but vintage capital also experiences economic depreciation, which reduces the </w:t>
      </w:r>
      <w:r>
        <w:rPr>
          <w:i/>
          <w:iCs/>
        </w:rPr>
        <w:t>quantity</w:t>
      </w:r>
      <w:r>
        <w:t xml:space="preserve"> of the capital services it provides.</w:t>
      </w:r>
    </w:p>
    <w:p w14:paraId="12F84EDC" w14:textId="77777777" w:rsidR="007A3D20" w:rsidRDefault="00000000">
      <w:pPr>
        <w:pStyle w:val="Heading2"/>
      </w:pPr>
      <w:bookmarkStart w:id="26" w:name="X74e894805659d44731707c5bc3dd12049c73f40"/>
      <w:bookmarkStart w:id="27" w:name="_Toc204881141"/>
      <w:bookmarkEnd w:id="24"/>
      <w:r>
        <w:t>… while the SEEA-CF measures environmental services from environmental assets</w:t>
      </w:r>
      <w:bookmarkEnd w:id="27"/>
    </w:p>
    <w:p w14:paraId="5AF6091D" w14:textId="77777777" w:rsidR="007A3D20" w:rsidRDefault="00000000">
      <w:pPr>
        <w:pStyle w:val="FirstParagraph"/>
      </w:pPr>
      <w:r>
        <w:t xml:space="preserve">There are direct parallels between man-made and environmental capital, yet until </w:t>
      </w:r>
      <w:r>
        <w:rPr>
          <w:b/>
          <w:bCs/>
          <w:i/>
          <w:iCs/>
        </w:rPr>
        <w:t>very recently</w:t>
      </w:r>
      <w:r>
        <w:rPr>
          <w:rStyle w:val="FootnoteReference"/>
        </w:rPr>
        <w:footnoteReference w:id="10"/>
      </w:r>
      <w:r>
        <w:t xml:space="preserve"> enviromental assets were not recognised as providing economic services into production. Likewise, changes to the environment from economic activity were not reflected as economic costs of production.</w:t>
      </w:r>
    </w:p>
    <w:p w14:paraId="2BC88A68" w14:textId="77777777" w:rsidR="007A3D20" w:rsidRDefault="00000000">
      <w:pPr>
        <w:pStyle w:val="BodyText"/>
      </w:pPr>
      <w:r>
        <w:t>Environmental capital, measured in environmental assets, generates environmental services which are inputs into economic production processes. Fish biomass stocks are the enviromental capital inputs into the fishing industry. Their capital services are the continuous supply of a maximum sustainable catch: the annual quantity of catch that can be extracted from the stock while still maintaining the reproductive capacity of the overall population.</w:t>
      </w:r>
    </w:p>
    <w:p w14:paraId="47728EB3" w14:textId="77777777" w:rsidR="007A3D20" w:rsidRDefault="00000000">
      <w:pPr>
        <w:pStyle w:val="BodyText"/>
      </w:pPr>
      <w:r>
        <w:t>Where man-made capital services are degraded from economic depreciation, environmental capital services are degraded through pollution and depletion. While man-made capital services are improved through technology, enviromental capital services have a regenerative capability.</w:t>
      </w:r>
    </w:p>
    <w:p w14:paraId="10D9377B" w14:textId="77777777" w:rsidR="007A3D20" w:rsidRDefault="00000000">
      <w:pPr>
        <w:pStyle w:val="Heading2"/>
      </w:pPr>
      <w:bookmarkStart w:id="28" w:name="X42148ca82b85c65c0a07c50d2f63512adce5aa5"/>
      <w:bookmarkStart w:id="29" w:name="_Toc204881142"/>
      <w:bookmarkEnd w:id="26"/>
      <w:r>
        <w:t>The SEEA-CF is a better framework for measuring the environmental and the economy</w:t>
      </w:r>
      <w:bookmarkEnd w:id="29"/>
    </w:p>
    <w:p w14:paraId="783223FA" w14:textId="77777777" w:rsidR="007A3D20" w:rsidRDefault="00000000">
      <w:pPr>
        <w:pStyle w:val="FirstParagraph"/>
      </w:pPr>
      <w:r>
        <w:t>SEEA-CF is a multipurpose statistical framework for understanding the interactions between the environment and the economy. It puts statistics on the environment and its relationship to the economy at the core of official statistics. Both the SEEA-CF and SNA systems operate together - one measuring the environment, and the other the economy. Changes in the “stock” of environmental assets over a period of time is matched against the economic flows derived from an associated industry through SNA supply/use tables.</w:t>
      </w:r>
    </w:p>
    <w:p w14:paraId="369B13CC" w14:textId="77777777" w:rsidR="007A3D20" w:rsidRDefault="00000000">
      <w:pPr>
        <w:pStyle w:val="BodyText"/>
      </w:pPr>
      <w:r>
        <w:t>SEEA-CF covers three main measurement areas:</w:t>
      </w:r>
    </w:p>
    <w:p w14:paraId="76535B30" w14:textId="77777777" w:rsidR="007A3D20" w:rsidRDefault="00000000">
      <w:pPr>
        <w:numPr>
          <w:ilvl w:val="0"/>
          <w:numId w:val="13"/>
        </w:numPr>
      </w:pPr>
      <w:r>
        <w:t>the physical flows of materials and energy within the economy and between the economy and the environment;</w:t>
      </w:r>
    </w:p>
    <w:p w14:paraId="76DE37B8" w14:textId="77777777" w:rsidR="007A3D20" w:rsidRDefault="00000000">
      <w:pPr>
        <w:numPr>
          <w:ilvl w:val="0"/>
          <w:numId w:val="13"/>
        </w:numPr>
      </w:pPr>
      <w:r>
        <w:t>the stocks of environmental assets and changes in these stocks; and</w:t>
      </w:r>
    </w:p>
    <w:p w14:paraId="460C94A4" w14:textId="77777777" w:rsidR="007A3D20" w:rsidRDefault="00000000">
      <w:pPr>
        <w:numPr>
          <w:ilvl w:val="0"/>
          <w:numId w:val="13"/>
        </w:numPr>
      </w:pPr>
      <w:r>
        <w:t>economic activity and transactions related to the environment.</w:t>
      </w:r>
    </w:p>
    <w:p w14:paraId="6BAF28B9" w14:textId="77777777" w:rsidR="007A3D20" w:rsidRDefault="00000000">
      <w:pPr>
        <w:pStyle w:val="FirstParagraph"/>
      </w:pPr>
      <w:r>
        <w:rPr>
          <w:i/>
          <w:iCs/>
        </w:rPr>
        <w:lastRenderedPageBreak/>
        <w:t>Environmental assets</w:t>
      </w:r>
      <w:r>
        <w:t xml:space="preserve"> are the naturally occurring living and non-living components of the Earth, together constituting the biophysical environment, which may provide benefits to humanity.</w:t>
      </w:r>
      <w:r>
        <w:rPr>
          <w:rStyle w:val="FootnoteReference"/>
        </w:rPr>
        <w:footnoteReference w:id="11"/>
      </w:r>
      <w:r>
        <w:t xml:space="preserve"> They can be either cultivated or natural resources.</w:t>
      </w:r>
    </w:p>
    <w:p w14:paraId="39BA368C" w14:textId="77777777" w:rsidR="007A3D20" w:rsidRDefault="00000000">
      <w:pPr>
        <w:pStyle w:val="BodyText"/>
      </w:pPr>
      <w:r>
        <w:t>In principle, all of the benefits delivered by environmental assets can be valued in monetary terms. In the Central Framework, consistent with the SNA, the scope of valuation is limited to the benefits that accrue to economic owners. An economic owner is the institutional unit entitled to claim the benefits associated with the use of an asset in the course of an economic activity by virtue of accepting the associated risks. Further, following the SNA, an asset is a store of value representing a benefit or series of benefits accruing to the economic owner by holding or using the entity over a period of time.</w:t>
      </w:r>
    </w:p>
    <w:p w14:paraId="37CB5DB8" w14:textId="77777777" w:rsidR="007A3D20" w:rsidRDefault="00000000">
      <w:pPr>
        <w:pStyle w:val="Heading2"/>
      </w:pPr>
      <w:bookmarkStart w:id="30" w:name="environmental-asset-accounts"/>
      <w:bookmarkStart w:id="31" w:name="_Toc204881143"/>
      <w:bookmarkEnd w:id="28"/>
      <w:r>
        <w:t>Environmental asset accounts</w:t>
      </w:r>
      <w:bookmarkEnd w:id="31"/>
    </w:p>
    <w:p w14:paraId="0FD732EA" w14:textId="77777777" w:rsidR="007A3D20" w:rsidRDefault="00000000">
      <w:pPr>
        <w:pStyle w:val="FirstParagraph"/>
      </w:pPr>
      <w:r>
        <w:t>Asset accounts for individual environmental assets in physical and monetary terms showing the stock of environmental assets at the beginning and the end of each accounting period and the changes in the stock. Asset accounts are compiled for individual types of environmental assets and record the opening and closing stock of environmental assets and the different types of changes in the stock over an accounting period. Environmental asset accounts also assess whether current patterns of economic activity are depleting and degrading the available environmental assets. The valuations of environmental assets in asset accounts combined with valuations of produced and financial assets to provide broader estimates of a national’s wealth.</w:t>
      </w:r>
    </w:p>
    <w:p w14:paraId="4DC8F108" w14:textId="77777777" w:rsidR="007A3D20" w:rsidRDefault="00000000">
      <w:pPr>
        <w:pStyle w:val="CaptionedFigure"/>
      </w:pPr>
      <w:r>
        <w:rPr>
          <w:noProof/>
        </w:rPr>
        <w:lastRenderedPageBreak/>
        <w:drawing>
          <wp:inline distT="0" distB="0" distL="0" distR="0" wp14:anchorId="04F7FA23" wp14:editId="3843CC22">
            <wp:extent cx="5270500" cy="3980389"/>
            <wp:effectExtent l="0" t="0" r="0" b="0"/>
            <wp:docPr id="58" name="Picture" descr="Figure 2: Connections between supply and use tables and asset accounts"/>
            <wp:cNvGraphicFramePr/>
            <a:graphic xmlns:a="http://schemas.openxmlformats.org/drawingml/2006/main">
              <a:graphicData uri="http://schemas.openxmlformats.org/drawingml/2006/picture">
                <pic:pic xmlns:pic="http://schemas.openxmlformats.org/drawingml/2006/picture">
                  <pic:nvPicPr>
                    <pic:cNvPr id="59" name="Picture" descr="Graphical_Output/PSUT_and_Asset_Accounts.png"/>
                    <pic:cNvPicPr>
                      <a:picLocks noChangeAspect="1" noChangeArrowheads="1"/>
                    </pic:cNvPicPr>
                  </pic:nvPicPr>
                  <pic:blipFill>
                    <a:blip r:embed="rId9"/>
                    <a:stretch>
                      <a:fillRect/>
                    </a:stretch>
                  </pic:blipFill>
                  <pic:spPr bwMode="auto">
                    <a:xfrm>
                      <a:off x="0" y="0"/>
                      <a:ext cx="5270500" cy="3980389"/>
                    </a:xfrm>
                    <a:prstGeom prst="rect">
                      <a:avLst/>
                    </a:prstGeom>
                    <a:noFill/>
                    <a:ln w="9525">
                      <a:noFill/>
                      <a:headEnd/>
                      <a:tailEnd/>
                    </a:ln>
                  </pic:spPr>
                </pic:pic>
              </a:graphicData>
            </a:graphic>
          </wp:inline>
        </w:drawing>
      </w:r>
    </w:p>
    <w:p w14:paraId="30D39853" w14:textId="77777777" w:rsidR="007A3D20" w:rsidRDefault="00000000">
      <w:pPr>
        <w:pStyle w:val="ImageCaption"/>
      </w:pPr>
      <w:bookmarkStart w:id="32" w:name="fig:unnamed-chunk-2"/>
      <w:bookmarkEnd w:id="32"/>
      <w:r>
        <w:t>Figure 2: Connections between supply and use tables and asset accounts</w:t>
      </w:r>
    </w:p>
    <w:p w14:paraId="40876884" w14:textId="77777777" w:rsidR="007A3D20" w:rsidRDefault="00000000">
      <w:pPr>
        <w:pStyle w:val="BodyText"/>
      </w:pPr>
      <w:r>
        <w:t>There are seven individual components of the environment that are considered environmental assets in the Central Framework. They are mineral and energy resources, land, soil resources, timber resources, aquatic resources, other biological resources (excluding timber and aquatic resources), and water resources.</w:t>
      </w:r>
    </w:p>
    <w:p w14:paraId="25C16AEB" w14:textId="77777777" w:rsidR="007A3D20" w:rsidRDefault="00000000">
      <w:pPr>
        <w:pStyle w:val="CaptionedFigure"/>
      </w:pPr>
      <w:r>
        <w:rPr>
          <w:noProof/>
        </w:rPr>
        <w:lastRenderedPageBreak/>
        <w:drawing>
          <wp:inline distT="0" distB="0" distL="0" distR="0" wp14:anchorId="1BFB0FC4" wp14:editId="09989CC3">
            <wp:extent cx="5270500" cy="3797026"/>
            <wp:effectExtent l="0" t="0" r="0" b="0"/>
            <wp:docPr id="62" name="Picture" descr="Figure 3: Classification of environmental assets in the SEEA Central Framework"/>
            <wp:cNvGraphicFramePr/>
            <a:graphic xmlns:a="http://schemas.openxmlformats.org/drawingml/2006/main">
              <a:graphicData uri="http://schemas.openxmlformats.org/drawingml/2006/picture">
                <pic:pic xmlns:pic="http://schemas.openxmlformats.org/drawingml/2006/picture">
                  <pic:nvPicPr>
                    <pic:cNvPr id="63" name="Picture" descr="Graphical_Output/ClassificationofEnvironmentalAssets.png"/>
                    <pic:cNvPicPr>
                      <a:picLocks noChangeAspect="1" noChangeArrowheads="1"/>
                    </pic:cNvPicPr>
                  </pic:nvPicPr>
                  <pic:blipFill>
                    <a:blip r:embed="rId10"/>
                    <a:stretch>
                      <a:fillRect/>
                    </a:stretch>
                  </pic:blipFill>
                  <pic:spPr bwMode="auto">
                    <a:xfrm>
                      <a:off x="0" y="0"/>
                      <a:ext cx="5270500" cy="3797026"/>
                    </a:xfrm>
                    <a:prstGeom prst="rect">
                      <a:avLst/>
                    </a:prstGeom>
                    <a:noFill/>
                    <a:ln w="9525">
                      <a:noFill/>
                      <a:headEnd/>
                      <a:tailEnd/>
                    </a:ln>
                  </pic:spPr>
                </pic:pic>
              </a:graphicData>
            </a:graphic>
          </wp:inline>
        </w:drawing>
      </w:r>
    </w:p>
    <w:p w14:paraId="082F807B" w14:textId="77777777" w:rsidR="007A3D20" w:rsidRDefault="00000000">
      <w:pPr>
        <w:pStyle w:val="ImageCaption"/>
      </w:pPr>
      <w:bookmarkStart w:id="33" w:name="fig:ClassificationofEnvironmentalAssets"/>
      <w:bookmarkEnd w:id="33"/>
      <w:r>
        <w:t>Figure 3: Classification of environmental assets in the SEEA Central Framework</w:t>
      </w:r>
    </w:p>
    <w:p w14:paraId="2160B09F" w14:textId="77777777" w:rsidR="007A3D20" w:rsidRDefault="00000000">
      <w:pPr>
        <w:pStyle w:val="BodyText"/>
      </w:pPr>
      <w:r>
        <w:t>Biological resources include timber and aquatic resources and a range of other animal and plant resources such as livestock, orchards, crops and wild animals. Like most environmental assets, they provide physical inputs to economic activity. A distinction is made between whether the resources are cultivated or natural, based on the extent to which there is active management over the growth of the resource.</w:t>
      </w:r>
    </w:p>
    <w:p w14:paraId="1564979C" w14:textId="77777777" w:rsidR="007A3D20" w:rsidRDefault="00000000">
      <w:pPr>
        <w:pStyle w:val="BodyText"/>
      </w:pPr>
      <w:r>
        <w:t>Many environmental assets are also economic assets. In particular, natural resources and land are considered non-produced assets, and cultivated biological resources may be either fixed assets or inventories, depending on their role in production.</w:t>
      </w:r>
    </w:p>
    <w:p w14:paraId="4F18F8F6" w14:textId="77777777" w:rsidR="007A3D20" w:rsidRDefault="00000000">
      <w:pPr>
        <w:pStyle w:val="CaptionedFigure"/>
      </w:pPr>
      <w:r>
        <w:rPr>
          <w:noProof/>
        </w:rPr>
        <w:lastRenderedPageBreak/>
        <w:drawing>
          <wp:inline distT="0" distB="0" distL="0" distR="0" wp14:anchorId="3EC28E0D" wp14:editId="48D05ED1">
            <wp:extent cx="5270500" cy="2417624"/>
            <wp:effectExtent l="0" t="0" r="0" b="0"/>
            <wp:docPr id="66" name="Picture" descr="Figure 4: General structure of the physical asset account for environmental assets (physical units)"/>
            <wp:cNvGraphicFramePr/>
            <a:graphic xmlns:a="http://schemas.openxmlformats.org/drawingml/2006/main">
              <a:graphicData uri="http://schemas.openxmlformats.org/drawingml/2006/picture">
                <pic:pic xmlns:pic="http://schemas.openxmlformats.org/drawingml/2006/picture">
                  <pic:nvPicPr>
                    <pic:cNvPr id="67" name="Picture" descr="Graphical_Output/Structure%20of%20physical%20assets%20accounts.png"/>
                    <pic:cNvPicPr>
                      <a:picLocks noChangeAspect="1" noChangeArrowheads="1"/>
                    </pic:cNvPicPr>
                  </pic:nvPicPr>
                  <pic:blipFill>
                    <a:blip r:embed="rId11"/>
                    <a:stretch>
                      <a:fillRect/>
                    </a:stretch>
                  </pic:blipFill>
                  <pic:spPr bwMode="auto">
                    <a:xfrm>
                      <a:off x="0" y="0"/>
                      <a:ext cx="5270500" cy="2417624"/>
                    </a:xfrm>
                    <a:prstGeom prst="rect">
                      <a:avLst/>
                    </a:prstGeom>
                    <a:noFill/>
                    <a:ln w="9525">
                      <a:noFill/>
                      <a:headEnd/>
                      <a:tailEnd/>
                    </a:ln>
                  </pic:spPr>
                </pic:pic>
              </a:graphicData>
            </a:graphic>
          </wp:inline>
        </w:drawing>
      </w:r>
    </w:p>
    <w:p w14:paraId="0C13E58A" w14:textId="77777777" w:rsidR="007A3D20" w:rsidRDefault="00000000">
      <w:pPr>
        <w:pStyle w:val="ImageCaption"/>
      </w:pPr>
      <w:bookmarkStart w:id="34" w:name="fig:unnamed-chunk-3"/>
      <w:bookmarkEnd w:id="34"/>
      <w:r>
        <w:t>Figure 4: General structure of the physical asset account for environmental assets (physical units)</w:t>
      </w:r>
    </w:p>
    <w:p w14:paraId="72598F62" w14:textId="77777777" w:rsidR="007A3D20" w:rsidRDefault="00000000">
      <w:pPr>
        <w:pStyle w:val="Heading3"/>
      </w:pPr>
      <w:bookmarkStart w:id="35" w:name="depletion-of-fisheries"/>
      <w:bookmarkStart w:id="36" w:name="_Toc204881144"/>
      <w:r>
        <w:t>Depletion of fisheries</w:t>
      </w:r>
      <w:bookmarkEnd w:id="36"/>
    </w:p>
    <w:p w14:paraId="70DEA1E7" w14:textId="77777777" w:rsidR="007A3D20" w:rsidRDefault="00000000">
      <w:pPr>
        <w:pStyle w:val="FirstParagraph"/>
      </w:pPr>
      <w:r>
        <w:t>The depletion of environmental assets relates to the physical using up of environmental assets through extraction and harvest by economic units, including households, resulting in a reduced availability of the resource. For natural biological resources, such as timber resources and aquatic resources, the equality in physical terms between depletion and extraction does not hold.</w:t>
      </w:r>
    </w:p>
    <w:p w14:paraId="27F60C23" w14:textId="77777777" w:rsidR="007A3D20" w:rsidRDefault="00000000">
      <w:pPr>
        <w:pStyle w:val="BodyText"/>
      </w:pPr>
      <w:r>
        <w:t>The ability for these resources to regenerate naturally means that in certain management and extraction situations, the quantity of resources extracted may be matched by a quantity of resources that are regenerated and, in this situation, there is no overall physical depletion of the environmental asset. More generally, only the amount of extraction that is above the level of regeneration is recorded as depletion.</w:t>
      </w:r>
    </w:p>
    <w:p w14:paraId="253C5FE0" w14:textId="77777777" w:rsidR="007A3D20" w:rsidRDefault="00000000">
      <w:pPr>
        <w:pStyle w:val="BodyText"/>
      </w:pPr>
      <w:r>
        <w:t>Depletion is not recorded when there is a reduction in the quantity of an environmental asset owing to unexpected events such as losses due to extreme weather or pandemic outbreaks of disease. These reductions are recorded as catastrophic losses. In contrast, depletion must be seen as a consequence of the extraction of natural resources by economic units.</w:t>
      </w:r>
    </w:p>
    <w:p w14:paraId="1836E0F4" w14:textId="77777777" w:rsidR="007A3D20" w:rsidRDefault="00000000">
      <w:pPr>
        <w:pStyle w:val="BodyText"/>
      </w:pPr>
      <w:r>
        <w:t>To estimate depletion, it is necessary to consider both the extraction and the regeneration of biological resources. While the rates of extraction can be observed directly, measurement of the rates of regeneration can be complex and usually requires consideration of biological models. These models will usually account for both the structure and the size of populations; and exhibited by their general form, when the stock or population of the specific type of resource is small, the rate of growth will be small but, as the population increases, the rate of growth will also increase. Eventually, as the population within a given area reaches the carrying capacity of the area, i.e., as the density reaches a maximum, the rate of growth in the population will slow substantially.</w:t>
      </w:r>
    </w:p>
    <w:p w14:paraId="0C60BC8C" w14:textId="77777777" w:rsidR="007A3D20" w:rsidRDefault="00000000">
      <w:pPr>
        <w:pStyle w:val="BodyText"/>
      </w:pPr>
      <w:r>
        <w:lastRenderedPageBreak/>
        <w:t>For a given population, if the amount of extraction is less than the sustainable yield, no depletion should be recorded. In this situation, assuming no catastrophic losses or other changes, it would be expected that the stock would increase over the accounting period. Depletion is recorded wherever the amount of extraction is greater than the sustainable yield corresponding to the population size and structure.</w:t>
      </w:r>
    </w:p>
    <w:p w14:paraId="762DFA68" w14:textId="77777777" w:rsidR="007A3D20" w:rsidRDefault="00000000">
      <w:pPr>
        <w:pStyle w:val="Heading3"/>
      </w:pPr>
      <w:bookmarkStart w:id="37" w:name="degradation-of-fisheries"/>
      <w:bookmarkStart w:id="38" w:name="_Toc204881145"/>
      <w:bookmarkEnd w:id="35"/>
      <w:r>
        <w:t>Degradation of fisheries</w:t>
      </w:r>
      <w:bookmarkEnd w:id="38"/>
    </w:p>
    <w:p w14:paraId="5CEC66C9" w14:textId="77777777" w:rsidR="007A3D20" w:rsidRDefault="00000000">
      <w:pPr>
        <w:pStyle w:val="FirstParagraph"/>
      </w:pPr>
      <w:r>
        <w:t>Degradation considers changes in the capacity of environmental assets to deliver a broad range of contributions known as ecosystem services (e.g., air filtration services from forests) and the extent to which this capacity may be reduced through the action of economic units, including households.</w:t>
      </w:r>
    </w:p>
    <w:p w14:paraId="7430025C" w14:textId="77777777" w:rsidR="007A3D20" w:rsidRDefault="00000000">
      <w:pPr>
        <w:pStyle w:val="BodyText"/>
      </w:pPr>
      <w:r>
        <w:t>The measurement of degradation is complicated because the capacity of environmental assets to deliver ecosystem services is not attributable solely to individual assets, and because individual assets may deliver a number of different ecosystem services. To assess whether a body of water has been degraded, assessments might be made of the various pollutants in the water as part of a broader assessment of the overall change in condition.</w:t>
      </w:r>
    </w:p>
    <w:p w14:paraId="70D77F5A" w14:textId="77777777" w:rsidR="007A3D20" w:rsidRDefault="00000000">
      <w:pPr>
        <w:pStyle w:val="Heading2"/>
      </w:pPr>
      <w:bookmarkStart w:id="39" w:name="X5d3c730257e612cc53351e0bd239b5c8ab14c67"/>
      <w:bookmarkStart w:id="40" w:name="_Toc204881146"/>
      <w:bookmarkEnd w:id="30"/>
      <w:bookmarkEnd w:id="37"/>
      <w:r>
        <w:t>Physical asset accounts for mineral and energy resources</w:t>
      </w:r>
      <w:bookmarkEnd w:id="40"/>
    </w:p>
    <w:p w14:paraId="163D8A52" w14:textId="77777777" w:rsidR="007A3D20" w:rsidRDefault="00000000">
      <w:pPr>
        <w:pStyle w:val="FirstParagraph"/>
      </w:pPr>
      <w:r>
        <w:t>Things get a bit murky here because there are three types of mineral deposit classification:</w:t>
      </w:r>
    </w:p>
    <w:p w14:paraId="51F0318C" w14:textId="77777777" w:rsidR="007A3D20" w:rsidRDefault="00000000">
      <w:pPr>
        <w:numPr>
          <w:ilvl w:val="0"/>
          <w:numId w:val="14"/>
        </w:numPr>
      </w:pPr>
      <w:r>
        <w:t>Class A: Commercially recoverable resources. This class includes deposits for projects that fall in categories E1 and F1 and where the level of confidence in the geologic knowledge is high (G1), moderate (G2) or low (G3);</w:t>
      </w:r>
    </w:p>
    <w:p w14:paraId="06A9A5D3" w14:textId="77777777" w:rsidR="007A3D20" w:rsidRDefault="00000000">
      <w:pPr>
        <w:numPr>
          <w:ilvl w:val="0"/>
          <w:numId w:val="14"/>
        </w:numPr>
      </w:pPr>
      <w:r>
        <w:t>Class B: Potentially commercially recoverable resources. This class includes deposits for those projects that fall in the category E2 (or eventually E1) and at the same time in F2.1 or F2.2 and where the level of confidence in the geologic knowledge is high (G1), moderate (G2) or low (G3);</w:t>
      </w:r>
    </w:p>
    <w:p w14:paraId="354B3A96" w14:textId="77777777" w:rsidR="007A3D20" w:rsidRDefault="00000000">
      <w:pPr>
        <w:numPr>
          <w:ilvl w:val="0"/>
          <w:numId w:val="14"/>
        </w:numPr>
      </w:pPr>
      <w:r>
        <w:t>Class C: Non-commercial and other known deposits. These are resources for those projects that fall into category E3 and for which the feasibility is categorized as F2.2, F2.3 or F4 and where the level of confidence in the geologic knowledge is high (G1), moderate (G2) or low (G3)</w:t>
      </w:r>
    </w:p>
    <w:p w14:paraId="22136968" w14:textId="77777777" w:rsidR="007A3D20" w:rsidRDefault="00000000">
      <w:pPr>
        <w:pStyle w:val="FirstParagraph"/>
      </w:pPr>
      <w:r>
        <w:t>Lets park mineral and energy resources for a little bit.</w:t>
      </w:r>
    </w:p>
    <w:p w14:paraId="5DBF773F" w14:textId="77777777" w:rsidR="007A3D20" w:rsidRDefault="00000000">
      <w:r>
        <w:br w:type="page"/>
      </w:r>
    </w:p>
    <w:p w14:paraId="154E9C22" w14:textId="77777777" w:rsidR="007A3D20" w:rsidRDefault="00000000">
      <w:pPr>
        <w:pStyle w:val="Heading2"/>
      </w:pPr>
      <w:bookmarkStart w:id="41" w:name="asset-accounts-for-land"/>
      <w:bookmarkStart w:id="42" w:name="_Toc204881147"/>
      <w:bookmarkEnd w:id="39"/>
      <w:r>
        <w:lastRenderedPageBreak/>
        <w:t>Asset accounts for land</w:t>
      </w:r>
      <w:bookmarkEnd w:id="42"/>
    </w:p>
    <w:p w14:paraId="03C87B94" w14:textId="77777777" w:rsidR="007A3D20" w:rsidRDefault="00000000">
      <w:pPr>
        <w:pStyle w:val="FirstParagraph"/>
      </w:pPr>
      <w:r>
        <w:t>There are two primary aspects of land for environmental accounting purposes: land use and land cover. A particular focus is placed on physical land accounts for forest and other wooded land.</w:t>
      </w:r>
    </w:p>
    <w:p w14:paraId="3D398B39" w14:textId="77777777" w:rsidR="007A3D20" w:rsidRDefault="00000000">
      <w:pPr>
        <w:pStyle w:val="BodyText"/>
      </w:pPr>
      <w:r>
        <w:t>Land is a unique environmental asset that delineates the space in which economic activities and environmental processes take place and within which environmental assets and economic assets are located. While the term “land” is commonly meant to refer only to terrestrial areas, in the SEEA, the term may also apply to areas covered by water.</w:t>
      </w:r>
    </w:p>
    <w:p w14:paraId="639ED4DC" w14:textId="77777777" w:rsidR="007A3D20" w:rsidRDefault="00000000">
      <w:pPr>
        <w:pStyle w:val="BodyText"/>
      </w:pPr>
      <w:r>
        <w:t>Of particular interest in respect of statistics on land use and land cover is the means by which data are collected. Broadly, two methods are used; field surveys and satellite images. Land use consists of seven main categories: agriculture, forestry, land used for aquaculture, use of built-up and related areas, land used for maintenance and restoration of environmental functions, other uses of land n.e.c. (not elsewhere classified), and land not in use.</w:t>
      </w:r>
    </w:p>
    <w:p w14:paraId="5F58DCE1" w14:textId="77777777" w:rsidR="007A3D20" w:rsidRDefault="00000000">
      <w:pPr>
        <w:pStyle w:val="BodyText"/>
      </w:pPr>
      <w:r>
        <w:t>For inland waters, there are four main categories: inland waters used for aquaculture or holding facilities; inland waters used for maintenance and restoration of environmental functions; other uses of inland waters n.e.c.; and inland waters not in use.</w:t>
      </w:r>
    </w:p>
    <w:p w14:paraId="6F1E7F39" w14:textId="77777777" w:rsidR="007A3D20" w:rsidRDefault="00000000">
      <w:pPr>
        <w:pStyle w:val="CaptionedFigure"/>
      </w:pPr>
      <w:r>
        <w:rPr>
          <w:noProof/>
        </w:rPr>
        <w:drawing>
          <wp:inline distT="0" distB="0" distL="0" distR="0" wp14:anchorId="7CD24672" wp14:editId="29E59168">
            <wp:extent cx="5270500" cy="2606913"/>
            <wp:effectExtent l="0" t="0" r="0" b="0"/>
            <wp:docPr id="74" name="Picture" descr="Figure 5: Land use classification"/>
            <wp:cNvGraphicFramePr/>
            <a:graphic xmlns:a="http://schemas.openxmlformats.org/drawingml/2006/main">
              <a:graphicData uri="http://schemas.openxmlformats.org/drawingml/2006/picture">
                <pic:pic xmlns:pic="http://schemas.openxmlformats.org/drawingml/2006/picture">
                  <pic:nvPicPr>
                    <pic:cNvPr id="75" name="Picture" descr="Graphical_Output/LandUse.png"/>
                    <pic:cNvPicPr>
                      <a:picLocks noChangeAspect="1" noChangeArrowheads="1"/>
                    </pic:cNvPicPr>
                  </pic:nvPicPr>
                  <pic:blipFill>
                    <a:blip r:embed="rId12"/>
                    <a:stretch>
                      <a:fillRect/>
                    </a:stretch>
                  </pic:blipFill>
                  <pic:spPr bwMode="auto">
                    <a:xfrm>
                      <a:off x="0" y="0"/>
                      <a:ext cx="5270500" cy="2606913"/>
                    </a:xfrm>
                    <a:prstGeom prst="rect">
                      <a:avLst/>
                    </a:prstGeom>
                    <a:noFill/>
                    <a:ln w="9525">
                      <a:noFill/>
                      <a:headEnd/>
                      <a:tailEnd/>
                    </a:ln>
                  </pic:spPr>
                </pic:pic>
              </a:graphicData>
            </a:graphic>
          </wp:inline>
        </w:drawing>
      </w:r>
    </w:p>
    <w:p w14:paraId="0003A599" w14:textId="77777777" w:rsidR="007A3D20" w:rsidRDefault="00000000">
      <w:pPr>
        <w:pStyle w:val="ImageCaption"/>
      </w:pPr>
      <w:bookmarkStart w:id="43" w:name="fig:unnamed-chunk-4"/>
      <w:bookmarkEnd w:id="43"/>
      <w:r>
        <w:t>Figure 5: Land use classification</w:t>
      </w:r>
    </w:p>
    <w:p w14:paraId="26F483AC" w14:textId="77777777" w:rsidR="007A3D20" w:rsidRDefault="00000000">
      <w:pPr>
        <w:pStyle w:val="BodyText"/>
      </w:pPr>
      <w:r>
        <w:t>Land cover refers to the observed physical and biological cover of the Earth’s surface and includes natural vegetation and abiotic (non-living) surface. The Food and Agriculture Organization of the United Nations (FAO) has developed an international standard classification system, the Land Cover Classification System, version 3 (LCCS 3) which can be used to systematically record the biophysical characteristics of all areas of land within any territory.</w:t>
      </w:r>
    </w:p>
    <w:p w14:paraId="0D6C33F5" w14:textId="77777777" w:rsidR="007A3D20" w:rsidRDefault="00000000">
      <w:pPr>
        <w:pStyle w:val="CaptionedFigure"/>
      </w:pPr>
      <w:r>
        <w:rPr>
          <w:noProof/>
        </w:rPr>
        <w:lastRenderedPageBreak/>
        <w:drawing>
          <wp:inline distT="0" distB="0" distL="0" distR="0" wp14:anchorId="6707FE59" wp14:editId="38B585AF">
            <wp:extent cx="3869355" cy="3445844"/>
            <wp:effectExtent l="0" t="0" r="0" b="0"/>
            <wp:docPr id="78" name="Picture" descr="Figure 6: Land cover classification"/>
            <wp:cNvGraphicFramePr/>
            <a:graphic xmlns:a="http://schemas.openxmlformats.org/drawingml/2006/main">
              <a:graphicData uri="http://schemas.openxmlformats.org/drawingml/2006/picture">
                <pic:pic xmlns:pic="http://schemas.openxmlformats.org/drawingml/2006/picture">
                  <pic:nvPicPr>
                    <pic:cNvPr id="79" name="Picture" descr="Graphical_Output/LandcoverClassification.png"/>
                    <pic:cNvPicPr>
                      <a:picLocks noChangeAspect="1" noChangeArrowheads="1"/>
                    </pic:cNvPicPr>
                  </pic:nvPicPr>
                  <pic:blipFill>
                    <a:blip r:embed="rId13"/>
                    <a:stretch>
                      <a:fillRect/>
                    </a:stretch>
                  </pic:blipFill>
                  <pic:spPr bwMode="auto">
                    <a:xfrm>
                      <a:off x="0" y="0"/>
                      <a:ext cx="3869355" cy="3445844"/>
                    </a:xfrm>
                    <a:prstGeom prst="rect">
                      <a:avLst/>
                    </a:prstGeom>
                    <a:noFill/>
                    <a:ln w="9525">
                      <a:noFill/>
                      <a:headEnd/>
                      <a:tailEnd/>
                    </a:ln>
                  </pic:spPr>
                </pic:pic>
              </a:graphicData>
            </a:graphic>
          </wp:inline>
        </w:drawing>
      </w:r>
    </w:p>
    <w:p w14:paraId="0B11F079" w14:textId="77777777" w:rsidR="007A3D20" w:rsidRDefault="00000000">
      <w:pPr>
        <w:pStyle w:val="ImageCaption"/>
      </w:pPr>
      <w:bookmarkStart w:id="44" w:name="fig:unnamed-chunk-5"/>
      <w:bookmarkEnd w:id="44"/>
      <w:r>
        <w:t>Figure 6: Land cover classification</w:t>
      </w:r>
    </w:p>
    <w:p w14:paraId="4A42FF1A" w14:textId="77777777" w:rsidR="007A3D20" w:rsidRDefault="00000000">
      <w:pPr>
        <w:pStyle w:val="CaptionedFigure"/>
      </w:pPr>
      <w:r>
        <w:rPr>
          <w:noProof/>
        </w:rPr>
        <w:drawing>
          <wp:inline distT="0" distB="0" distL="0" distR="0" wp14:anchorId="26D64CE3" wp14:editId="065070CB">
            <wp:extent cx="5270500" cy="2552611"/>
            <wp:effectExtent l="0" t="0" r="0" b="0"/>
            <wp:docPr id="82" name="Picture" descr="Figure 7: Physical account for land cover (hectares)"/>
            <wp:cNvGraphicFramePr/>
            <a:graphic xmlns:a="http://schemas.openxmlformats.org/drawingml/2006/main">
              <a:graphicData uri="http://schemas.openxmlformats.org/drawingml/2006/picture">
                <pic:pic xmlns:pic="http://schemas.openxmlformats.org/drawingml/2006/picture">
                  <pic:nvPicPr>
                    <pic:cNvPr id="83" name="Picture" descr="Graphical_Output/Physical_Account_for_Land.png"/>
                    <pic:cNvPicPr>
                      <a:picLocks noChangeAspect="1" noChangeArrowheads="1"/>
                    </pic:cNvPicPr>
                  </pic:nvPicPr>
                  <pic:blipFill>
                    <a:blip r:embed="rId14"/>
                    <a:stretch>
                      <a:fillRect/>
                    </a:stretch>
                  </pic:blipFill>
                  <pic:spPr bwMode="auto">
                    <a:xfrm>
                      <a:off x="0" y="0"/>
                      <a:ext cx="5270500" cy="2552611"/>
                    </a:xfrm>
                    <a:prstGeom prst="rect">
                      <a:avLst/>
                    </a:prstGeom>
                    <a:noFill/>
                    <a:ln w="9525">
                      <a:noFill/>
                      <a:headEnd/>
                      <a:tailEnd/>
                    </a:ln>
                  </pic:spPr>
                </pic:pic>
              </a:graphicData>
            </a:graphic>
          </wp:inline>
        </w:drawing>
      </w:r>
    </w:p>
    <w:p w14:paraId="07415FEE" w14:textId="77777777" w:rsidR="007A3D20" w:rsidRDefault="00000000">
      <w:pPr>
        <w:pStyle w:val="ImageCaption"/>
      </w:pPr>
      <w:bookmarkStart w:id="45" w:name="fig:unnamed-chunk-6"/>
      <w:bookmarkEnd w:id="45"/>
      <w:r>
        <w:t>Figure 7: Physical account for land cover (hectares)</w:t>
      </w:r>
    </w:p>
    <w:p w14:paraId="7209D03A" w14:textId="77777777" w:rsidR="007A3D20" w:rsidRDefault="00000000">
      <w:pPr>
        <w:pStyle w:val="Heading2"/>
      </w:pPr>
      <w:bookmarkStart w:id="46" w:name="asset-accounts-for-aquatic-resources"/>
      <w:bookmarkStart w:id="47" w:name="_Toc204881148"/>
      <w:bookmarkEnd w:id="41"/>
      <w:r>
        <w:t>Asset accounts for aquatic resources</w:t>
      </w:r>
      <w:bookmarkEnd w:id="47"/>
    </w:p>
    <w:p w14:paraId="7D8625B2" w14:textId="77777777" w:rsidR="007A3D20" w:rsidRDefault="00000000">
      <w:pPr>
        <w:pStyle w:val="FirstParagraph"/>
      </w:pPr>
      <w:r>
        <w:t>Asset accounts for aquatic resources organize information on the stocks and changes in stocks of the quantity and value of aquatic resources within a country’s economic territory, including stocks within a country’s EEZ or on the high seas over which the country holds ownership rights.</w:t>
      </w:r>
    </w:p>
    <w:p w14:paraId="1E611BC5" w14:textId="77777777" w:rsidR="007A3D20" w:rsidRDefault="00000000">
      <w:pPr>
        <w:pStyle w:val="BodyText"/>
      </w:pPr>
      <w:r>
        <w:t>In principle, all aquatic resources are in scope of the asset accounts in the Central Framework; but in practice, the scope is limited to those aquatic resources that are subject to commercial activity. Asset accounts cover both cultivated aquatic resources and natural aquatic resources, thus enabling a comparison of trends in both resources.</w:t>
      </w:r>
    </w:p>
    <w:p w14:paraId="0E732305" w14:textId="77777777" w:rsidR="007A3D20" w:rsidRDefault="00000000">
      <w:pPr>
        <w:pStyle w:val="BodyText"/>
      </w:pPr>
      <w:r>
        <w:lastRenderedPageBreak/>
        <w:t xml:space="preserve">The asset accounts presented in the present section do not cover the assessment of general aquatic ecosystems that support the various resources and provide a wide range of ecosystem services. The measurement of ecosystems is described in </w:t>
      </w:r>
      <w:r>
        <w:rPr>
          <w:b/>
          <w:bCs/>
        </w:rPr>
        <w:t>SEEA Experimental Ecosystem Accounting.</w:t>
      </w:r>
    </w:p>
    <w:p w14:paraId="7213311C" w14:textId="77777777" w:rsidR="007A3D20" w:rsidRDefault="00000000">
      <w:pPr>
        <w:pStyle w:val="Heading3"/>
      </w:pPr>
      <w:bookmarkStart w:id="48" w:name="X7d6e72dbcc4820d54ad093de1df6d244a495fdf"/>
      <w:bookmarkStart w:id="49" w:name="_Toc204881149"/>
      <w:r>
        <w:t>Definition and classification of aquatic resources</w:t>
      </w:r>
      <w:bookmarkEnd w:id="49"/>
    </w:p>
    <w:p w14:paraId="654FE526" w14:textId="77777777" w:rsidR="007A3D20" w:rsidRDefault="00000000">
      <w:pPr>
        <w:pStyle w:val="FirstParagraph"/>
      </w:pPr>
      <w:r>
        <w:t xml:space="preserve">The aquatic resources for a given country comprise those resources that are considered to live within the exclusive economic zone (EEZ) of a country throughout their life cycles, in both coastal and inland fisheries. </w:t>
      </w:r>
      <w:r>
        <w:rPr>
          <w:b/>
          <w:bCs/>
        </w:rPr>
        <w:t>Migrating and straddling fish stocks are considered to belong to a country during the period when those stocks inhabit its EEZ</w:t>
      </w:r>
    </w:p>
    <w:p w14:paraId="4516C4E3" w14:textId="77777777" w:rsidR="007A3D20" w:rsidRDefault="00000000">
      <w:pPr>
        <w:pStyle w:val="BodyText"/>
      </w:pPr>
      <w:r>
        <w:t>The Aquatic Sciences and Fisheries Information System (ASFIS) list of species contains over 11,500 species, and is commonly used as the standard reference for fisheries production. It is linked to the FAO International Standard Classification for Aquatic Animals and Plants (ISCAAP) which divides commercial species into 50 groups on the basis of their taxonomic, ecological and economic characteristics.</w:t>
      </w:r>
    </w:p>
    <w:p w14:paraId="158C0964" w14:textId="77777777" w:rsidR="007A3D20" w:rsidRDefault="00000000">
      <w:pPr>
        <w:pStyle w:val="BodyText"/>
      </w:pPr>
      <w:r>
        <w:t>All aquatic resources produced within aquaculture facilities are considered cultivated biological resources. All other aquatic resources harvested as part of capture production processes are considered natural biological resources.</w:t>
      </w:r>
    </w:p>
    <w:p w14:paraId="3850FB66" w14:textId="77777777" w:rsidR="007A3D20" w:rsidRDefault="00000000">
      <w:pPr>
        <w:pStyle w:val="Heading3"/>
      </w:pPr>
      <w:bookmarkStart w:id="50" w:name="Xaf1ff2c297b0c8e7630c2185e7b257b013812d5"/>
      <w:bookmarkStart w:id="51" w:name="_Toc204881150"/>
      <w:bookmarkEnd w:id="48"/>
      <w:r>
        <w:t>Physical asset accounts for aquatic resources</w:t>
      </w:r>
      <w:bookmarkEnd w:id="51"/>
    </w:p>
    <w:p w14:paraId="15C94921" w14:textId="77777777" w:rsidR="007A3D20" w:rsidRDefault="00000000">
      <w:pPr>
        <w:pStyle w:val="FirstParagraph"/>
      </w:pPr>
      <w:r>
        <w:t>A physical asset account for aquatic resources shows the total biomass of all species that are subject to harvesting activity or cultivated within the national boundary, including within the country’s EEZ, and a portion of shared resources biomass to which a country has access rights either through traditional practice, international agreement or provision of part of the distribution areas.</w:t>
      </w:r>
    </w:p>
    <w:p w14:paraId="66073EFE" w14:textId="77777777" w:rsidR="007A3D20" w:rsidRDefault="00000000">
      <w:pPr>
        <w:pStyle w:val="BodyText"/>
      </w:pPr>
      <w:r>
        <w:t>The scope of harvesting includes commercial sea- and freshwater operations, aquaculture, and subsistence and recreational harvesting of aquatic resources. Aquatic resources that exist within other countries’ EEZ but are harvested by operators that are resident in the reference country should not be included in the asset accounts. The physical asset account also shows the changes due to harvest, normal loss, growth (in size and in number) and other changes.</w:t>
      </w:r>
    </w:p>
    <w:p w14:paraId="3F088578" w14:textId="77777777" w:rsidR="007A3D20" w:rsidRDefault="00000000">
      <w:pPr>
        <w:pStyle w:val="CaptionedFigure"/>
      </w:pPr>
      <w:r>
        <w:rPr>
          <w:noProof/>
        </w:rPr>
        <w:lastRenderedPageBreak/>
        <w:drawing>
          <wp:inline distT="0" distB="0" distL="0" distR="0" wp14:anchorId="5703C46E" wp14:editId="4693A200">
            <wp:extent cx="5270500" cy="3592372"/>
            <wp:effectExtent l="0" t="0" r="0" b="0"/>
            <wp:docPr id="88" name="Picture" descr="Figure 8: Physical asset account for aquatic resources (tonnes)"/>
            <wp:cNvGraphicFramePr/>
            <a:graphic xmlns:a="http://schemas.openxmlformats.org/drawingml/2006/main">
              <a:graphicData uri="http://schemas.openxmlformats.org/drawingml/2006/picture">
                <pic:pic xmlns:pic="http://schemas.openxmlformats.org/drawingml/2006/picture">
                  <pic:nvPicPr>
                    <pic:cNvPr id="89" name="Picture" descr="Graphical_Output/Aquatic_Physical_Asset_Accounts.png"/>
                    <pic:cNvPicPr>
                      <a:picLocks noChangeAspect="1" noChangeArrowheads="1"/>
                    </pic:cNvPicPr>
                  </pic:nvPicPr>
                  <pic:blipFill>
                    <a:blip r:embed="rId15"/>
                    <a:stretch>
                      <a:fillRect/>
                    </a:stretch>
                  </pic:blipFill>
                  <pic:spPr bwMode="auto">
                    <a:xfrm>
                      <a:off x="0" y="0"/>
                      <a:ext cx="5270500" cy="3592372"/>
                    </a:xfrm>
                    <a:prstGeom prst="rect">
                      <a:avLst/>
                    </a:prstGeom>
                    <a:noFill/>
                    <a:ln w="9525">
                      <a:noFill/>
                      <a:headEnd/>
                      <a:tailEnd/>
                    </a:ln>
                  </pic:spPr>
                </pic:pic>
              </a:graphicData>
            </a:graphic>
          </wp:inline>
        </w:drawing>
      </w:r>
    </w:p>
    <w:p w14:paraId="44F51559" w14:textId="77777777" w:rsidR="007A3D20" w:rsidRDefault="00000000">
      <w:pPr>
        <w:pStyle w:val="ImageCaption"/>
      </w:pPr>
      <w:bookmarkStart w:id="52" w:name="fig:unnamed-chunk-7"/>
      <w:bookmarkEnd w:id="52"/>
      <w:r>
        <w:t>Figure 8: Physical asset account for aquatic resources (tonnes)</w:t>
      </w:r>
    </w:p>
    <w:p w14:paraId="0940DF7C" w14:textId="77777777" w:rsidR="007A3D20" w:rsidRDefault="00000000">
      <w:pPr>
        <w:pStyle w:val="Heading3"/>
      </w:pPr>
      <w:bookmarkStart w:id="53" w:name="Xd07d3e42ff71bf8706eaaf6dcaaacc7c0c9ec6e"/>
      <w:bookmarkStart w:id="54" w:name="_Toc204881151"/>
      <w:bookmarkEnd w:id="50"/>
      <w:r>
        <w:t>Measuring stocks and changes in stocks of natural aquatic resources</w:t>
      </w:r>
      <w:bookmarkEnd w:id="54"/>
    </w:p>
    <w:p w14:paraId="18CA5DF5" w14:textId="77777777" w:rsidR="007A3D20" w:rsidRDefault="00000000">
      <w:pPr>
        <w:pStyle w:val="FirstParagraph"/>
      </w:pPr>
      <w:r>
        <w:t>Asset accounts for natural aquatic resources should be compiled separately for freshwater aquatic resources, and marine aquatic resources within a country’s EEZ or that over which the country has ownership rights.</w:t>
      </w:r>
    </w:p>
    <w:p w14:paraId="2683458A" w14:textId="77777777" w:rsidR="007A3D20" w:rsidRDefault="00000000">
      <w:pPr>
        <w:pStyle w:val="BodyText"/>
      </w:pPr>
      <w:r>
        <w:t>Fishery biologists define a “stock” as a group of individuals from the same species that constitute a unit in breeding new offspring. If mating between members of different groups occurs to the level required to modify their gene pools in the long term, those groups should be regarded as belonging to one stock. The resource management should be based on this concept of stock. The boundary of a stock in this sense does not correspond to national boundaries and when aquatic resources belonging to a stock move around multiple countries’ boundaries, international collaboration in management is needed and the national asset account of such stock can be defined based on the share of access to the stock.</w:t>
      </w:r>
    </w:p>
    <w:p w14:paraId="150F8831" w14:textId="77777777" w:rsidR="007A3D20" w:rsidRDefault="00000000">
      <w:pPr>
        <w:pStyle w:val="BodyText"/>
      </w:pPr>
      <w:r>
        <w:t>There are several dimensions that should be considered in measuring the size of the resources. An important one is the measurement of the sexually mature part of the stock (i.e., the spawning stock or parental biomass). Another relevant measurement dimension is the exploitable stock size. This corresponds to the proportion of the stock that is subject to harvesting activity, which ignores the cohorts that are younger than those being harvested about which little is known.</w:t>
      </w:r>
    </w:p>
    <w:p w14:paraId="0FE8771A" w14:textId="77777777" w:rsidR="007A3D20" w:rsidRDefault="00000000">
      <w:pPr>
        <w:pStyle w:val="BodyText"/>
      </w:pPr>
      <w:r>
        <w:t xml:space="preserve">Various methods can be used by fishery biologists to estimate the absolute size of natural aquatic stocks, including virtual population analysis (VPA), tag-recapture analysis, and direct and indirect measurement with line-transect surveys or at randomly sampled areas (e.g., </w:t>
      </w:r>
      <w:r>
        <w:lastRenderedPageBreak/>
        <w:t>echo-sounders, trawl surveys and sighting surveys), according to the behaviour and distribution of the target species, the harvesting patterns, and available data.</w:t>
      </w:r>
    </w:p>
    <w:p w14:paraId="642DD5DE" w14:textId="77777777" w:rsidR="007A3D20" w:rsidRDefault="00000000">
      <w:pPr>
        <w:pStyle w:val="BodyText"/>
      </w:pPr>
      <w:r>
        <w:t>When scientific assessment of the absolute stock size is not available, an alternative approach is to measure the gross catch for a certain harvesting operation in relation to the amount of effort required to obtain the catch for a given species (e.g., days at sea, number and type of fishing gear, size and power of vessel, and expenditure on catch effort, including wages and fuel). The ratio of catch per unit effort (CPUE) may provide a good indicator of the relative change in stock size, assuming that population density and population size are closely correlated and that CPUE is higher at higher population densities. Importantly, not all species have the same ratios between population structure and the associated CPUE and this needs to be taken into account in using this technique. Further, CPUE measures may be affected by changes in quota and other administrative arrangements, and changes in technology.</w:t>
      </w:r>
    </w:p>
    <w:p w14:paraId="4D72930B" w14:textId="77777777" w:rsidR="007A3D20" w:rsidRDefault="00000000">
      <w:pPr>
        <w:pStyle w:val="BodyText"/>
      </w:pPr>
      <w:r>
        <w:t>The Central Framework comprises the following types of tables and accounts:</w:t>
      </w:r>
    </w:p>
    <w:p w14:paraId="3F7FEE54" w14:textId="77777777" w:rsidR="007A3D20" w:rsidRDefault="00000000">
      <w:pPr>
        <w:numPr>
          <w:ilvl w:val="0"/>
          <w:numId w:val="15"/>
        </w:numPr>
      </w:pPr>
      <w:r>
        <w:t>Supply and use tables in physical (PSUT) and monetary terms (MSUT) showing flows of natural inputs, products and residuals;</w:t>
      </w:r>
    </w:p>
    <w:p w14:paraId="29E6E47C" w14:textId="77777777" w:rsidR="007A3D20" w:rsidRDefault="00000000">
      <w:pPr>
        <w:numPr>
          <w:ilvl w:val="0"/>
          <w:numId w:val="10"/>
        </w:numPr>
      </w:pPr>
      <w:r>
        <w:t>Physical flows are recorded by compiling supply and use tables in physical units of measurement. These tables are used to assess how an economy supplies and uses energy, water and materials</w:t>
      </w:r>
      <w:r>
        <w:rPr>
          <w:rStyle w:val="FootnoteReference"/>
        </w:rPr>
        <w:footnoteReference w:id="12"/>
      </w:r>
      <w:r>
        <w:t>, as well as to examine changes in production and consumption patterns over time.</w:t>
      </w:r>
    </w:p>
    <w:p w14:paraId="19D825F7" w14:textId="77777777" w:rsidR="007A3D20" w:rsidRDefault="00000000">
      <w:pPr>
        <w:numPr>
          <w:ilvl w:val="0"/>
          <w:numId w:val="10"/>
        </w:numPr>
      </w:pPr>
      <w:r>
        <w:t>In combination with data from monetary supply and use tables, changes in productivity and intensity in the use of natural inputs and the release of residuals can be examined.</w:t>
      </w:r>
    </w:p>
    <w:p w14:paraId="1435420F" w14:textId="77777777" w:rsidR="007A3D20" w:rsidRDefault="00000000">
      <w:pPr>
        <w:pStyle w:val="CaptionedFigure"/>
      </w:pPr>
      <w:r>
        <w:rPr>
          <w:noProof/>
        </w:rPr>
        <w:lastRenderedPageBreak/>
        <w:drawing>
          <wp:inline distT="0" distB="0" distL="0" distR="0" wp14:anchorId="28BAC560" wp14:editId="2032B284">
            <wp:extent cx="5270500" cy="4351324"/>
            <wp:effectExtent l="0" t="0" r="0" b="0"/>
            <wp:docPr id="94" name="Picture" descr="Figure 9: Physical Supply and Use Table"/>
            <wp:cNvGraphicFramePr/>
            <a:graphic xmlns:a="http://schemas.openxmlformats.org/drawingml/2006/main">
              <a:graphicData uri="http://schemas.openxmlformats.org/drawingml/2006/picture">
                <pic:pic xmlns:pic="http://schemas.openxmlformats.org/drawingml/2006/picture">
                  <pic:nvPicPr>
                    <pic:cNvPr id="95" name="Picture" descr="Graphical_Output/Physical_SUT.png"/>
                    <pic:cNvPicPr>
                      <a:picLocks noChangeAspect="1" noChangeArrowheads="1"/>
                    </pic:cNvPicPr>
                  </pic:nvPicPr>
                  <pic:blipFill>
                    <a:blip r:embed="rId16"/>
                    <a:stretch>
                      <a:fillRect/>
                    </a:stretch>
                  </pic:blipFill>
                  <pic:spPr bwMode="auto">
                    <a:xfrm>
                      <a:off x="0" y="0"/>
                      <a:ext cx="5270500" cy="4351324"/>
                    </a:xfrm>
                    <a:prstGeom prst="rect">
                      <a:avLst/>
                    </a:prstGeom>
                    <a:noFill/>
                    <a:ln w="9525">
                      <a:noFill/>
                      <a:headEnd/>
                      <a:tailEnd/>
                    </a:ln>
                  </pic:spPr>
                </pic:pic>
              </a:graphicData>
            </a:graphic>
          </wp:inline>
        </w:drawing>
      </w:r>
    </w:p>
    <w:p w14:paraId="5A33FE4F" w14:textId="77777777" w:rsidR="007A3D20" w:rsidRDefault="00000000">
      <w:pPr>
        <w:pStyle w:val="ImageCaption"/>
      </w:pPr>
      <w:bookmarkStart w:id="55" w:name="fig:unnamed-chunk-8"/>
      <w:bookmarkEnd w:id="55"/>
      <w:r>
        <w:t>Figure 9: Physical Supply and Use Table</w:t>
      </w:r>
    </w:p>
    <w:p w14:paraId="17AFF3C5" w14:textId="77777777" w:rsidR="007A3D20" w:rsidRDefault="00000000">
      <w:pPr>
        <w:pStyle w:val="Heading3"/>
      </w:pPr>
      <w:bookmarkStart w:id="56" w:name="Xfb27eea967097a00f7a88cd2ffcc392f7b9a638"/>
      <w:bookmarkStart w:id="57" w:name="_Toc204881152"/>
      <w:bookmarkEnd w:id="53"/>
      <w:r>
        <w:t>Accounting for the harvest of natural aquatic resources</w:t>
      </w:r>
      <w:bookmarkEnd w:id="57"/>
    </w:p>
    <w:p w14:paraId="54278297" w14:textId="77777777" w:rsidR="007A3D20" w:rsidRDefault="00000000">
      <w:pPr>
        <w:pStyle w:val="FirstParagraph"/>
      </w:pPr>
      <w:r>
        <w:t>In physical terms, all aquatic resources harvested and all efforts used to realize the harvest (e.g., in terms of fishing days multiplied by vessel power) should be recorded. Records should differentiate between species and the type of fishing/harvesting fleet (i.e., vessels operating in a similar way with similar gear). Further, the aquatic resources harvested in the open seas, coastal waters or inland waters by commercial, subsistence or recreational fishing should be counted as production at the time they are harvested, regardless of whether they are sold in the market or used for own consumption.</w:t>
      </w:r>
    </w:p>
    <w:p w14:paraId="0AC9B346" w14:textId="77777777" w:rsidR="007A3D20" w:rsidRDefault="00000000">
      <w:pPr>
        <w:pStyle w:val="CaptionedFigure"/>
      </w:pPr>
      <w:r>
        <w:rPr>
          <w:noProof/>
        </w:rPr>
        <w:lastRenderedPageBreak/>
        <w:drawing>
          <wp:inline distT="0" distB="0" distL="0" distR="0" wp14:anchorId="53F74619" wp14:editId="5049063F">
            <wp:extent cx="5270500" cy="3417513"/>
            <wp:effectExtent l="0" t="0" r="0" b="0"/>
            <wp:docPr id="99" name="Picture" descr="Figure 10: Catch concepts: a diagrammatic presentation"/>
            <wp:cNvGraphicFramePr/>
            <a:graphic xmlns:a="http://schemas.openxmlformats.org/drawingml/2006/main">
              <a:graphicData uri="http://schemas.openxmlformats.org/drawingml/2006/picture">
                <pic:pic xmlns:pic="http://schemas.openxmlformats.org/drawingml/2006/picture">
                  <pic:nvPicPr>
                    <pic:cNvPr id="100" name="Picture" descr="Graphical_Output/SEEA_AnnexA5_4.png"/>
                    <pic:cNvPicPr>
                      <a:picLocks noChangeAspect="1" noChangeArrowheads="1"/>
                    </pic:cNvPicPr>
                  </pic:nvPicPr>
                  <pic:blipFill>
                    <a:blip r:embed="rId17"/>
                    <a:stretch>
                      <a:fillRect/>
                    </a:stretch>
                  </pic:blipFill>
                  <pic:spPr bwMode="auto">
                    <a:xfrm>
                      <a:off x="0" y="0"/>
                      <a:ext cx="5270500" cy="3417513"/>
                    </a:xfrm>
                    <a:prstGeom prst="rect">
                      <a:avLst/>
                    </a:prstGeom>
                    <a:noFill/>
                    <a:ln w="9525">
                      <a:noFill/>
                      <a:headEnd/>
                      <a:tailEnd/>
                    </a:ln>
                  </pic:spPr>
                </pic:pic>
              </a:graphicData>
            </a:graphic>
          </wp:inline>
        </w:drawing>
      </w:r>
    </w:p>
    <w:p w14:paraId="76EF44CA" w14:textId="77777777" w:rsidR="007A3D20" w:rsidRDefault="00000000">
      <w:pPr>
        <w:pStyle w:val="ImageCaption"/>
      </w:pPr>
      <w:bookmarkStart w:id="58" w:name="fig:SEEAAnnexA54"/>
      <w:bookmarkEnd w:id="58"/>
      <w:r>
        <w:t>Figure 10: Catch concepts: a diagrammatic presentation</w:t>
      </w:r>
    </w:p>
    <w:p w14:paraId="542EFAB5" w14:textId="77777777" w:rsidR="007A3D20" w:rsidRDefault="00000000">
      <w:pPr>
        <w:pStyle w:val="BodyText"/>
      </w:pPr>
      <w:r>
        <w:t>FAO has defined the different stages of the catch, extending from when fish encounter fishing gear to when they are landed. They are summarized here, with a complete depiction of the relationships presented in a diagram in Figures 10.</w:t>
      </w:r>
    </w:p>
    <w:p w14:paraId="2954DF60" w14:textId="77777777" w:rsidR="007A3D20" w:rsidRDefault="00000000">
      <w:pPr>
        <w:numPr>
          <w:ilvl w:val="0"/>
          <w:numId w:val="16"/>
        </w:numPr>
      </w:pPr>
      <w:r>
        <w:t>Gross removal: the total live weight of fish caught or killed during fishing operations;</w:t>
      </w:r>
    </w:p>
    <w:p w14:paraId="380A35C0" w14:textId="77777777" w:rsidR="007A3D20" w:rsidRDefault="00000000">
      <w:pPr>
        <w:numPr>
          <w:ilvl w:val="0"/>
          <w:numId w:val="16"/>
        </w:numPr>
      </w:pPr>
      <w:r>
        <w:t>Gross catch: the total live weight of fish caught (gross removal less pre-catch losses);</w:t>
      </w:r>
    </w:p>
    <w:p w14:paraId="7ABCD259" w14:textId="77777777" w:rsidR="007A3D20" w:rsidRDefault="00000000">
      <w:pPr>
        <w:numPr>
          <w:ilvl w:val="0"/>
          <w:numId w:val="16"/>
        </w:numPr>
      </w:pPr>
      <w:r>
        <w:t>Retained catch: the total live weight of fish retained (gross catch less discarded catch);</w:t>
      </w:r>
    </w:p>
    <w:p w14:paraId="38DEAB1A" w14:textId="77777777" w:rsidR="007A3D20" w:rsidRDefault="00000000">
      <w:pPr>
        <w:numPr>
          <w:ilvl w:val="0"/>
          <w:numId w:val="16"/>
        </w:numPr>
      </w:pPr>
      <w:r>
        <w:t>Landings: the net weight of the quantities landed as recorded at the time of landing;</w:t>
      </w:r>
    </w:p>
    <w:p w14:paraId="5156C735" w14:textId="77777777" w:rsidR="007A3D20" w:rsidRDefault="00000000">
      <w:pPr>
        <w:numPr>
          <w:ilvl w:val="0"/>
          <w:numId w:val="16"/>
        </w:numPr>
      </w:pPr>
      <w:r>
        <w:t>Nominal catch: the live weight equivalent of the landings.</w:t>
      </w:r>
    </w:p>
    <w:p w14:paraId="09251007" w14:textId="77777777" w:rsidR="007A3D20" w:rsidRDefault="00000000">
      <w:pPr>
        <w:pStyle w:val="FirstParagraph"/>
      </w:pPr>
      <w:r>
        <w:t>For the SEEA, the measurement of discarded catch is an important contributory factor to a full understanding of the linkages between economic activity and the impact on aquatic resources. For this reason, it is recommended that the concept of “gross catch” be used to measure the extraction of fish resources. Conceptually, “gross removal” is the most appropriate concept for measuring the impact on aquatic resources and the damage to aquatic ecosystems, e.g., to coral reefs, as a result of fishing activity. However, the measurement of gross removal is not possible in practice.</w:t>
      </w:r>
    </w:p>
    <w:p w14:paraId="6DE492DD" w14:textId="77777777" w:rsidR="007A3D20" w:rsidRDefault="00000000">
      <w:pPr>
        <w:pStyle w:val="Heading3"/>
      </w:pPr>
      <w:bookmarkStart w:id="59" w:name="depletion-of-natural-aquatic-resources"/>
      <w:bookmarkStart w:id="60" w:name="_Toc204881153"/>
      <w:bookmarkEnd w:id="56"/>
      <w:r>
        <w:t>Depletion of natural aquatic resources</w:t>
      </w:r>
      <w:bookmarkEnd w:id="60"/>
    </w:p>
    <w:p w14:paraId="74E31C92" w14:textId="77777777" w:rsidR="007A3D20" w:rsidRDefault="00000000">
      <w:pPr>
        <w:pStyle w:val="FirstParagraph"/>
      </w:pPr>
      <w:r>
        <w:t xml:space="preserve">Depletion for renewable resources is shown to be equal to gross catch less sustainable yield. It is recommended that estimates from biological models be compared with indicators of stock size, such as CPUE, and also that estimation be carried out on an ongoing basis so that </w:t>
      </w:r>
      <w:r>
        <w:lastRenderedPageBreak/>
        <w:t>the dynamics of the various populations (natural growth, natural losses, etc.) can be better understood.</w:t>
      </w:r>
    </w:p>
    <w:p w14:paraId="47CC09A5" w14:textId="77777777" w:rsidR="007A3D20" w:rsidRDefault="00000000">
      <w:pPr>
        <w:pStyle w:val="Heading3"/>
      </w:pPr>
      <w:bookmarkStart w:id="61" w:name="capture-fishing-by-non-residents"/>
      <w:bookmarkStart w:id="62" w:name="_Toc204881154"/>
      <w:bookmarkEnd w:id="59"/>
      <w:r>
        <w:t>Capture fishing by non-residents</w:t>
      </w:r>
      <w:bookmarkEnd w:id="62"/>
    </w:p>
    <w:p w14:paraId="799ADB7A" w14:textId="77777777" w:rsidR="007A3D20" w:rsidRDefault="00000000">
      <w:pPr>
        <w:pStyle w:val="FirstParagraph"/>
      </w:pPr>
      <w:r>
        <w:t>Given the nature of aquatic resources and harvesting activity, there will be capture fishing undertaken by non-residents within another country’s EEZ. Following the principles of the SNA, the location of the aquatic resource is not the key determinant of the attribution of economic production. Production is allocated instead to the country of residence of the harvesting operation.</w:t>
      </w:r>
    </w:p>
    <w:p w14:paraId="44E2BDAC" w14:textId="77777777" w:rsidR="007A3D20" w:rsidRDefault="00000000">
      <w:pPr>
        <w:pStyle w:val="BodyText"/>
      </w:pPr>
      <w:r>
        <w:t xml:space="preserve">In the assessment of the change in the aquatic resources belonging to a country over an accounting period, </w:t>
      </w:r>
      <w:r>
        <w:rPr>
          <w:b/>
          <w:bCs/>
        </w:rPr>
        <w:t>it is not sufficient or accurate to focus only on the catch by operations of residents of that country.</w:t>
      </w:r>
      <w:r>
        <w:t xml:space="preserve"> This estimate will exclude changes in the national aquatic resource due to catch by non-residents and will include catch by residents in other countries.</w:t>
      </w:r>
    </w:p>
    <w:p w14:paraId="49934E1E" w14:textId="77777777" w:rsidR="007A3D20" w:rsidRDefault="00000000">
      <w:pPr>
        <w:pStyle w:val="BodyText"/>
      </w:pPr>
      <w:r>
        <w:t>For the purposes of accounting for the national aquatic resource, the focus must be on the total catch from the country’s aquatic resources, including any resources on the high seas over which ownership rights exist, regardless of the residency of the harvesting operation.</w:t>
      </w:r>
    </w:p>
    <w:p w14:paraId="3328BE8C" w14:textId="77777777" w:rsidR="007A3D20" w:rsidRDefault="00000000">
      <w:pPr>
        <w:pStyle w:val="Heading2"/>
      </w:pPr>
      <w:bookmarkStart w:id="63" w:name="illegal-fishing"/>
      <w:bookmarkStart w:id="64" w:name="_Toc204881155"/>
      <w:bookmarkEnd w:id="46"/>
      <w:bookmarkEnd w:id="61"/>
      <w:r>
        <w:t>Illegal fishing</w:t>
      </w:r>
      <w:bookmarkEnd w:id="64"/>
    </w:p>
    <w:p w14:paraId="3D22DF0B" w14:textId="77777777" w:rsidR="007A3D20" w:rsidRDefault="00000000">
      <w:pPr>
        <w:pStyle w:val="FirstParagraph"/>
      </w:pPr>
      <w:r>
        <w:t>Illegal harvest should still be recorded as production with an income accruing to the fisherman. Where non-residents harvest aquatic resources illegally, either without a licence or by taking catch in excess of their allocated quota, the physical removals should be recorded. These flows should be recorded as uncompensated seizures. In recording such flows, care must be taken to exclude them from estimates of gross catch of the country in whose EEZ the fish were caught.</w:t>
      </w:r>
    </w:p>
    <w:p w14:paraId="7DD38F32" w14:textId="77777777" w:rsidR="007A3D20" w:rsidRDefault="00000000">
      <w:pPr>
        <w:pStyle w:val="Heading3"/>
      </w:pPr>
      <w:bookmarkStart w:id="65" w:name="valuation-of-natural-aquatic-resources"/>
      <w:bookmarkStart w:id="66" w:name="_Toc204881156"/>
      <w:r>
        <w:t>Valuation of natural aquatic resources</w:t>
      </w:r>
      <w:bookmarkEnd w:id="66"/>
    </w:p>
    <w:p w14:paraId="38296813" w14:textId="77777777" w:rsidR="007A3D20" w:rsidRDefault="00000000">
      <w:pPr>
        <w:pStyle w:val="FirstParagraph"/>
      </w:pPr>
      <w:r>
        <w:t>There are two main options. One is to value the aquatic resource using the value of long-term fishing licences and quotas where realistic market values are available. The other is to base the value on the net present value of the resource rent of the aquatic resources.</w:t>
      </w:r>
    </w:p>
    <w:p w14:paraId="278A84EF" w14:textId="77777777" w:rsidR="007A3D20" w:rsidRDefault="00000000">
      <w:pPr>
        <w:pStyle w:val="Heading2"/>
      </w:pPr>
      <w:bookmarkStart w:id="67" w:name="exosystems"/>
      <w:bookmarkStart w:id="68" w:name="_Toc204881157"/>
      <w:bookmarkEnd w:id="63"/>
      <w:bookmarkEnd w:id="65"/>
      <w:r>
        <w:t>Exosystems</w:t>
      </w:r>
      <w:bookmarkEnd w:id="68"/>
    </w:p>
    <w:p w14:paraId="081A8B1C" w14:textId="77777777" w:rsidR="007A3D20" w:rsidRDefault="00000000">
      <w:pPr>
        <w:pStyle w:val="FirstParagraph"/>
      </w:pPr>
      <w:r>
        <w:t>SEEA-EA extends the environmental measurement framework by considering clusters of environmental assets grouped together as “ecosystems” which are collectively important and collectively supply enviromental services to the economy. Ecosystems are the dynamic complex of plant, animal and micro-organism communities and their non-living environment interacting as a functional unit.</w:t>
      </w:r>
      <w:r>
        <w:rPr>
          <w:rStyle w:val="FootnoteReference"/>
        </w:rPr>
        <w:footnoteReference w:id="13"/>
      </w:r>
      <w:r>
        <w:t xml:space="preserve"> Ecosystems make three types of contributions to economic and other human activity:</w:t>
      </w:r>
    </w:p>
    <w:p w14:paraId="7D57732E" w14:textId="77777777" w:rsidR="007A3D20" w:rsidRDefault="00000000">
      <w:pPr>
        <w:numPr>
          <w:ilvl w:val="0"/>
          <w:numId w:val="17"/>
        </w:numPr>
      </w:pPr>
      <w:r>
        <w:rPr>
          <w:i/>
          <w:iCs/>
        </w:rPr>
        <w:t>Provisioning services</w:t>
      </w:r>
      <w:r>
        <w:t xml:space="preserve"> (such as the provision of timber from forests);</w:t>
      </w:r>
    </w:p>
    <w:p w14:paraId="1EEAACE4" w14:textId="77777777" w:rsidR="007A3D20" w:rsidRDefault="00000000">
      <w:pPr>
        <w:numPr>
          <w:ilvl w:val="0"/>
          <w:numId w:val="10"/>
        </w:numPr>
      </w:pPr>
      <w:r>
        <w:lastRenderedPageBreak/>
        <w:t>Provisioning services are related to the material benefits of environmental assets, whereas the other types of ecosystem services are related to the non-material benefits of environmental assets.</w:t>
      </w:r>
    </w:p>
    <w:p w14:paraId="2BF76000" w14:textId="77777777" w:rsidR="007A3D20" w:rsidRDefault="00000000">
      <w:pPr>
        <w:numPr>
          <w:ilvl w:val="0"/>
          <w:numId w:val="17"/>
        </w:numPr>
      </w:pPr>
      <w:r>
        <w:rPr>
          <w:i/>
          <w:iCs/>
        </w:rPr>
        <w:t>Regulating services</w:t>
      </w:r>
      <w:r>
        <w:t xml:space="preserve"> (provided, for example, by forests when they act as a sink for carbon); and</w:t>
      </w:r>
    </w:p>
    <w:p w14:paraId="4C2AAA2E" w14:textId="77777777" w:rsidR="007A3D20" w:rsidRDefault="00000000">
      <w:pPr>
        <w:numPr>
          <w:ilvl w:val="0"/>
          <w:numId w:val="17"/>
        </w:numPr>
      </w:pPr>
      <w:r>
        <w:rPr>
          <w:i/>
          <w:iCs/>
        </w:rPr>
        <w:t>Cultural services</w:t>
      </w:r>
      <w:r>
        <w:t xml:space="preserve"> (such as the enjoyment provided to visitors to a national park).</w:t>
      </w:r>
    </w:p>
    <w:p w14:paraId="1BCF79CF" w14:textId="77777777" w:rsidR="007A3D20" w:rsidRDefault="00000000">
      <w:pPr>
        <w:pStyle w:val="FirstParagraph"/>
      </w:pPr>
      <w:r>
        <w:t>For example, mangroves area are considered collective environments that support fisheries, filter pollutants from waterways and provide erosion protection to onshore areas.</w:t>
      </w:r>
    </w:p>
    <w:p w14:paraId="0180BE8A" w14:textId="77777777" w:rsidR="007A3D20" w:rsidRDefault="00000000">
      <w:pPr>
        <w:pStyle w:val="Heading2"/>
      </w:pPr>
      <w:bookmarkStart w:id="69" w:name="other-technical-bits"/>
      <w:bookmarkStart w:id="70" w:name="_Toc204881158"/>
      <w:bookmarkEnd w:id="67"/>
      <w:r>
        <w:t>Other technical bits</w:t>
      </w:r>
      <w:bookmarkEnd w:id="70"/>
    </w:p>
    <w:p w14:paraId="431A5A6C" w14:textId="77777777" w:rsidR="007A3D20" w:rsidRDefault="00000000">
      <w:pPr>
        <w:pStyle w:val="Heading3"/>
      </w:pPr>
      <w:bookmarkStart w:id="71" w:name="Xbb2c4b96dea24fa4f80815829416eba5ddaba18"/>
      <w:bookmarkStart w:id="72" w:name="_Toc204881159"/>
      <w:r>
        <w:t>Subsistance and own-production consumption</w:t>
      </w:r>
      <w:bookmarkEnd w:id="72"/>
    </w:p>
    <w:p w14:paraId="650BB41B" w14:textId="77777777" w:rsidR="007A3D20" w:rsidRDefault="00000000">
      <w:pPr>
        <w:pStyle w:val="FirstParagraph"/>
      </w:pPr>
      <w:r>
        <w:t>The column for households in the PSUT relates solely to the consumption activity of households.</w:t>
      </w:r>
    </w:p>
    <w:p w14:paraId="0D095112" w14:textId="77777777" w:rsidR="007A3D20" w:rsidRDefault="00000000">
      <w:pPr>
        <w:pStyle w:val="BodyText"/>
      </w:pPr>
      <w:r>
        <w:t>Many PICT households undertake a range of activity for their own consumption, including subsistance fishing or other forms of agricultural. In the SEEA, all products that are consumed must first be recorded as being produced, including own-production or subsistance fishing. Hence, all of this production activity and the associated flows of natural inputs and products should be recorded in the first column, industries.</w:t>
      </w:r>
    </w:p>
    <w:p w14:paraId="3977CA2D" w14:textId="77777777" w:rsidR="007A3D20" w:rsidRDefault="00000000">
      <w:pPr>
        <w:pStyle w:val="BodyText"/>
      </w:pPr>
      <w:r>
        <w:t>The consumption activity of households recorded in the PSUT extends to the generation of solid waste and other residuals as a consequence of consumption. In practical terms, the limits of the data measures will dictate the limits of activities collected.</w:t>
      </w:r>
    </w:p>
    <w:p w14:paraId="4393E163" w14:textId="77777777" w:rsidR="007A3D20" w:rsidRDefault="00000000">
      <w:pPr>
        <w:pStyle w:val="Heading3"/>
      </w:pPr>
      <w:bookmarkStart w:id="73" w:name="Xba7bea4e64f02992df7bde36d92f21dd90169a9"/>
      <w:bookmarkStart w:id="74" w:name="_Toc204881160"/>
      <w:bookmarkEnd w:id="71"/>
      <w:r>
        <w:t>Employment, demographic and social information</w:t>
      </w:r>
      <w:bookmarkEnd w:id="74"/>
    </w:p>
    <w:p w14:paraId="1B3A5FEB" w14:textId="77777777" w:rsidR="007A3D20" w:rsidRDefault="00000000">
      <w:pPr>
        <w:pStyle w:val="FirstParagraph"/>
      </w:pPr>
      <w:r>
        <w:t>The usefulness of the information in the various tables and accounts can be enhanced by relating different environmental and economic data to estimates of employment, estimates of population, various demographic breakdowns (such as age, household income levels and household characteristics related to material well-being) and measures of societal interest such as health and education.</w:t>
      </w:r>
    </w:p>
    <w:p w14:paraId="297E82C1" w14:textId="77777777" w:rsidR="007A3D20" w:rsidRDefault="00000000">
      <w:pPr>
        <w:pStyle w:val="Heading3"/>
      </w:pPr>
      <w:bookmarkStart w:id="75" w:name="X15249a7bfc0eff46260a4bf04d5017d7457388c"/>
      <w:bookmarkStart w:id="76" w:name="_Toc204881161"/>
      <w:bookmarkEnd w:id="73"/>
      <w:r>
        <w:t>Geographical boundaries for economic units</w:t>
      </w:r>
      <w:bookmarkEnd w:id="76"/>
    </w:p>
    <w:p w14:paraId="756AEB6B" w14:textId="77777777" w:rsidR="007A3D20" w:rsidRDefault="00000000">
      <w:pPr>
        <w:pStyle w:val="FirstParagraph"/>
      </w:pPr>
      <w:r>
        <w:t>The geographical boundary that defines the scope of an economy is based on the concept of economic territory, which is the area under effective control of a single government. It includes the land area of a country, including islands, airspace, territorial waters and territorial enclaves7 in the rest of the world. Economic territory excludes territorial enclaves of other countries and international organizations located in the reference country.</w:t>
      </w:r>
    </w:p>
    <w:p w14:paraId="21D668C0" w14:textId="77777777" w:rsidR="007A3D20" w:rsidRDefault="00000000">
      <w:pPr>
        <w:pStyle w:val="BodyText"/>
      </w:pPr>
      <w:r>
        <w:t>A national economy comprises the set of all institutional units that are resident in an economic territory, i.e., the unit has its centre of predominant economic interest in a particular economic territory. In general, there will be a large overlap between those units that are resident and those units located within the geographically defined boundaries of a country.</w:t>
      </w:r>
    </w:p>
    <w:p w14:paraId="397D5169" w14:textId="77777777" w:rsidR="007A3D20" w:rsidRDefault="00000000">
      <w:pPr>
        <w:pStyle w:val="BodyText"/>
      </w:pPr>
      <w:r>
        <w:t>There are three primary exceptions:</w:t>
      </w:r>
    </w:p>
    <w:p w14:paraId="17A903D0" w14:textId="77777777" w:rsidR="007A3D20" w:rsidRDefault="00000000">
      <w:pPr>
        <w:numPr>
          <w:ilvl w:val="0"/>
          <w:numId w:val="18"/>
        </w:numPr>
      </w:pPr>
      <w:r>
        <w:lastRenderedPageBreak/>
        <w:t>Units intending to operate in a country for less than a year, for example, specialized construction firms or aid and relief agencies. These are considered residents of their home country;</w:t>
      </w:r>
    </w:p>
    <w:p w14:paraId="4A03EDCC" w14:textId="77777777" w:rsidR="007A3D20" w:rsidRDefault="00000000">
      <w:pPr>
        <w:numPr>
          <w:ilvl w:val="0"/>
          <w:numId w:val="18"/>
        </w:numPr>
      </w:pPr>
      <w:r>
        <w:t xml:space="preserve">Resident producing units that may operate outside of the national territory, for example, ships and aircraft, and </w:t>
      </w:r>
      <w:r>
        <w:rPr>
          <w:b/>
          <w:bCs/>
        </w:rPr>
        <w:t>fishing operations in international and other nations’ waters</w:t>
      </w:r>
      <w:r>
        <w:t>. In these cases, they are regarded as remaining residents of their national economy regardless of their location of operation;</w:t>
      </w:r>
    </w:p>
    <w:p w14:paraId="13C67D89" w14:textId="77777777" w:rsidR="007A3D20" w:rsidRDefault="00000000">
      <w:pPr>
        <w:numPr>
          <w:ilvl w:val="0"/>
          <w:numId w:val="18"/>
        </w:numPr>
      </w:pPr>
      <w:r>
        <w:t>Residents of a national territory that may stay temporarily in other countries for work or leisure. The consumption undertaken by such residents in other countries is considered to be resident consumption abroad, which is recorded as an import of the country in which the person is resident and an export of the country visited.</w:t>
      </w:r>
    </w:p>
    <w:p w14:paraId="40CA9CC1" w14:textId="77777777" w:rsidR="007A3D20" w:rsidRDefault="00000000">
      <w:pPr>
        <w:pStyle w:val="Heading1"/>
      </w:pPr>
      <w:bookmarkStart w:id="77" w:name="physical-flow-metrics"/>
      <w:bookmarkStart w:id="78" w:name="_Toc204881162"/>
      <w:bookmarkEnd w:id="20"/>
      <w:bookmarkEnd w:id="69"/>
      <w:bookmarkEnd w:id="75"/>
      <w:r>
        <w:rPr>
          <w:rStyle w:val="SectionNumber"/>
        </w:rPr>
        <w:t>4</w:t>
      </w:r>
      <w:r>
        <w:tab/>
        <w:t>Physical flow metrics</w:t>
      </w:r>
      <w:bookmarkEnd w:id="78"/>
    </w:p>
    <w:p w14:paraId="37EC637E" w14:textId="77777777" w:rsidR="007A3D20" w:rsidRDefault="00000000">
      <w:pPr>
        <w:pStyle w:val="FirstParagraph"/>
      </w:pPr>
      <w:r>
        <w:t>Related to the three metrics of energy, water and product. I’m just focusing on the ocean related dimensions.</w:t>
      </w:r>
    </w:p>
    <w:p w14:paraId="02B1A847" w14:textId="77777777" w:rsidR="007A3D20" w:rsidRDefault="00000000">
      <w:pPr>
        <w:pStyle w:val="Heading2"/>
      </w:pPr>
      <w:bookmarkStart w:id="79" w:name="physical-flow-accounts-for-energy"/>
      <w:bookmarkStart w:id="80" w:name="_Toc204881163"/>
      <w:r>
        <w:t>Physical flow accounts for energy</w:t>
      </w:r>
      <w:bookmarkEnd w:id="80"/>
    </w:p>
    <w:p w14:paraId="7491548D" w14:textId="77777777" w:rsidR="007A3D20" w:rsidRDefault="00000000">
      <w:pPr>
        <w:pStyle w:val="Heading3"/>
      </w:pPr>
      <w:bookmarkStart w:id="81" w:name="Xebb460e92213afb186c8ff8d50a40711354bcfd"/>
      <w:bookmarkStart w:id="82" w:name="_Toc204881164"/>
      <w:r>
        <w:t>Treatment of international flows - Transport related fuel and pollution</w:t>
      </w:r>
      <w:bookmarkEnd w:id="82"/>
    </w:p>
    <w:p w14:paraId="06659E3D" w14:textId="77777777" w:rsidR="007A3D20" w:rsidRDefault="00000000">
      <w:pPr>
        <w:pStyle w:val="FirstParagraph"/>
      </w:pPr>
      <w:r>
        <w:t>The treatment of physical flows to and from the rest of the world needs a careful articulation. An underlying principle applied in the SEEA is that relevant flows are attributed to the country of residence of the producing or consuming unit. This differs from the territory principle of recording, which is applied in a number of statistical frameworks. The territory principle attributes the relevant flows to the country in which the producing or consuming unit is located at the time of the flow.</w:t>
      </w:r>
    </w:p>
    <w:p w14:paraId="03743BB1" w14:textId="77777777" w:rsidR="007A3D20" w:rsidRDefault="00000000">
      <w:pPr>
        <w:pStyle w:val="BodyText"/>
      </w:pPr>
      <w:r>
        <w:t>In accordance with both the SNA and the Balance of Payments and International Investment Position Manual, 6th ed. (BPM6) (International Monetary Fund, 2009), the residence of an institutional unit is determined by the economic territory with which it has the strongest connection.18 In the majority of situations, the concepts of territory and residence are closely aligned; but there are important activities, in particular international transport, that need to be considered individually so that the appropriate treatment can be decided. This subsection discusses international transport, tourist activity and natural resource inputs.</w:t>
      </w:r>
    </w:p>
    <w:p w14:paraId="1D22AB40" w14:textId="77777777" w:rsidR="007A3D20" w:rsidRDefault="00000000">
      <w:pPr>
        <w:pStyle w:val="BodyText"/>
      </w:pPr>
      <w:r>
        <w:t>The appropriate recording of international transport activity is important, particularly for information concerning the use of energy and the associated release of emissions. The appropriate and consistent attribution of physical flows relating to international transport to individual countries is an important component of the SEEA.</w:t>
      </w:r>
    </w:p>
    <w:p w14:paraId="561087B2" w14:textId="77777777" w:rsidR="007A3D20" w:rsidRDefault="00000000">
      <w:pPr>
        <w:pStyle w:val="BodyText"/>
      </w:pPr>
      <w:r>
        <w:rPr>
          <w:b/>
          <w:bCs/>
        </w:rPr>
        <w:t>Does this mean I should think about estimating transport and fishing-related pollution in the Ocean Accounts? - Probably yes!</w:t>
      </w:r>
    </w:p>
    <w:p w14:paraId="5332A283" w14:textId="77777777" w:rsidR="007A3D20" w:rsidRDefault="00000000">
      <w:pPr>
        <w:pStyle w:val="BodyText"/>
      </w:pPr>
      <w:r>
        <w:t>To ensure consistency with other parts of the accounts, the treatment is centred on the residence of the operator of the transport equipment. Usually, this will be the location of the headquarters of the transport operator.</w:t>
      </w:r>
    </w:p>
    <w:p w14:paraId="5891562D" w14:textId="77777777" w:rsidR="007A3D20" w:rsidRDefault="00000000">
      <w:pPr>
        <w:numPr>
          <w:ilvl w:val="0"/>
          <w:numId w:val="19"/>
        </w:numPr>
      </w:pPr>
      <w:r>
        <w:lastRenderedPageBreak/>
        <w:t>A ship, whose operator is a resident of country A, transports goods from country B to country C, and refuels in country C before returning home. In this case, purchases of fuel are attributed to country A (being exports of fuel from country C and imports of fuel by country A). Payments for transport service by country C are exports of services by country A. All emissions by the ship are attributed to country A;</w:t>
      </w:r>
    </w:p>
    <w:p w14:paraId="5AA3ED57" w14:textId="77777777" w:rsidR="007A3D20" w:rsidRDefault="00000000">
      <w:pPr>
        <w:numPr>
          <w:ilvl w:val="0"/>
          <w:numId w:val="19"/>
        </w:numPr>
      </w:pPr>
      <w:r>
        <w:t>A passenger aircraft, whose operator is a resident of country X, transports people from country X to country Y and returns to country X. The passengers are from countries X, Y and Z. In this case, any purchases of fuel are attributed to country X and are recorded as imports if purchased in country Y. Payments by the passengers are recorded as exports of services by country X if the passengers are resident in country Y or Z. All emissions by the aircraft are attributed to country X.</w:t>
      </w:r>
    </w:p>
    <w:p w14:paraId="5DD4F925" w14:textId="77777777" w:rsidR="007A3D20" w:rsidRDefault="00000000">
      <w:pPr>
        <w:pStyle w:val="FirstParagraph"/>
      </w:pPr>
      <w:r>
        <w:t>Special attention must be paid to the bunkering of fuel, primarily for ships and aircraft. Special arrangements may be entered into whereby a unit resident in a country stores fuel in another country while still retaining ownership of the fuel itself. Following the principles of the SNA and the BPM, the location of the fuel is not the primary consideration. Instead, the focus must be on the ownership of the fuel. Thus, if country A establishes a bunker in country B and transports fuel to that country in order to refuel a ship that it operates, then the fuel is considered to have remained in the ownership of country A and no export of fuel to country B is recorded. Thus, the fuel stored in country B is not necessarily all attributable to country B. This treatment is likely to differ from the recording utilized in international trade statistics; and adjustments to source data may therefore be needed to align recording to this treatment.</w:t>
      </w:r>
    </w:p>
    <w:p w14:paraId="4E66F8C7" w14:textId="77777777" w:rsidR="007A3D20" w:rsidRDefault="00000000">
      <w:pPr>
        <w:pStyle w:val="Heading3"/>
      </w:pPr>
      <w:bookmarkStart w:id="83" w:name="tourist-activity"/>
      <w:bookmarkStart w:id="84" w:name="_Toc204881165"/>
      <w:bookmarkEnd w:id="81"/>
      <w:r>
        <w:t>Tourist activity</w:t>
      </w:r>
      <w:bookmarkEnd w:id="84"/>
    </w:p>
    <w:p w14:paraId="5F62B931" w14:textId="77777777" w:rsidR="007A3D20" w:rsidRDefault="00000000">
      <w:pPr>
        <w:pStyle w:val="FirstParagraph"/>
      </w:pPr>
      <w:r>
        <w:t>The recording of tourist activity is consistent with the recording of international transport activity in that the concept of residence is central. Tourists include all those travelling outside their country of residence, including short-term students (i.e., those studying abroad for less than 12 months), people travelling for medical reasons and those travelling for business or pleasure. The consumption activity of a tourist travelling abroad is attributed to the tourist’s country of residence and not to the location of the tourist when the consumption is undertaken. Thus, purchases by the tourist in other countries are recorded as an export by the country visited and as an import of the country of residence of the tourist.</w:t>
      </w:r>
    </w:p>
    <w:p w14:paraId="696770E7" w14:textId="77777777" w:rsidR="007A3D20" w:rsidRDefault="00000000">
      <w:pPr>
        <w:pStyle w:val="BodyText"/>
      </w:pPr>
      <w:r>
        <w:t>Solid waste generated by tourists will generally be attributed to local enterprises (e.g., hotels and restaurants). Emissions from local transport used by tourists in a foreign country (e.g., taxis and minibuses) are attributed to the local transport company and, as noted in regard to international transport, emissions from aircraft and other long-distance transport equipment are attributed to the country of residence of the operator. In neither case are the emissions attributed to the tourist.</w:t>
      </w:r>
    </w:p>
    <w:p w14:paraId="40634188" w14:textId="77777777" w:rsidR="007A3D20" w:rsidRDefault="00000000">
      <w:pPr>
        <w:pStyle w:val="BodyText"/>
      </w:pPr>
      <w:r>
        <w:t>Emissions from cars are also attributed to the country of residence of the operator (in this case, the driver of the car), whether the car is owned by the driver or hired from a car rental firm.</w:t>
      </w:r>
    </w:p>
    <w:p w14:paraId="3AD5E2A9" w14:textId="77777777" w:rsidR="007A3D20" w:rsidRDefault="00000000">
      <w:pPr>
        <w:pStyle w:val="Heading3"/>
      </w:pPr>
      <w:bookmarkStart w:id="85" w:name="illegal-harvesting"/>
      <w:bookmarkStart w:id="86" w:name="_Toc204881166"/>
      <w:bookmarkEnd w:id="83"/>
      <w:r>
        <w:lastRenderedPageBreak/>
        <w:t>Illegal Harvesting</w:t>
      </w:r>
      <w:bookmarkEnd w:id="86"/>
    </w:p>
    <w:p w14:paraId="3A654895" w14:textId="77777777" w:rsidR="007A3D20" w:rsidRDefault="00000000">
      <w:pPr>
        <w:pStyle w:val="FirstParagraph"/>
      </w:pPr>
      <w:r>
        <w:t>Where illegal extraction takes place — for example, when non-residents illegally harvest timber resources — the reduction in the country’s resources should be recorded in the asset account (see chap. V) as part of extractions of natural resources. However, the associated natural resource input in the PSUT should be shown only in the accounts of the country in which the illegal extractor is resident. No exports should be recorded.</w:t>
      </w:r>
    </w:p>
    <w:p w14:paraId="5A9E5824" w14:textId="77777777" w:rsidR="007A3D20" w:rsidRDefault="00000000">
      <w:pPr>
        <w:pStyle w:val="BodyText"/>
      </w:pPr>
      <w:r>
        <w:rPr>
          <w:b/>
          <w:bCs/>
        </w:rPr>
        <w:t>The major exception to this kind of treatment occurs with respect to natural aquatic resources.</w:t>
      </w:r>
    </w:p>
    <w:p w14:paraId="07A83905" w14:textId="77777777" w:rsidR="007A3D20" w:rsidRDefault="00000000">
      <w:pPr>
        <w:pStyle w:val="BodyText"/>
      </w:pPr>
      <w:r>
        <w:t>Following accounting conventions, the harvest of aquatic resources is allocated to the residence of the operator of the vessel undertaking the harvesting rather than to the location of the resources. Thus, the amount of natural resource input that should be recorded for a country is equal to the quantity of aquatic resources caught by vessels whose operator is resident in that country, regardless of where the resources are caught. Natural resource inputs are not recorded for the harvest of aquatic resources by vessels operated by non-residents in national waters and neither are exports recorded in this situation. In the accounts of the country to which the non-resident operator is connected, there should be entries for natural resource inputs for aquatic resources caught in non-national waters but no reduction in national aquatic resources in the asset accounts for this harvest.</w:t>
      </w:r>
    </w:p>
    <w:p w14:paraId="5BA0236C" w14:textId="77777777" w:rsidR="007A3D20" w:rsidRDefault="00000000">
      <w:pPr>
        <w:pStyle w:val="Heading3"/>
      </w:pPr>
      <w:bookmarkStart w:id="87" w:name="X6604d7e576535eae4018b1c6bb60377755daba9"/>
      <w:bookmarkStart w:id="88" w:name="_Toc204881167"/>
      <w:bookmarkEnd w:id="85"/>
      <w:r>
        <w:t>Treatment of goods for processing (Transshipment activity)</w:t>
      </w:r>
      <w:bookmarkEnd w:id="88"/>
    </w:p>
    <w:p w14:paraId="297BBF53" w14:textId="77777777" w:rsidR="007A3D20" w:rsidRDefault="00000000">
      <w:pPr>
        <w:pStyle w:val="FirstParagraph"/>
      </w:pPr>
      <w:r>
        <w:t>It is increasingly common for goods from one country to be sent to another country for further processing before being:</w:t>
      </w:r>
    </w:p>
    <w:p w14:paraId="0B67ABDF" w14:textId="77777777" w:rsidR="007A3D20" w:rsidRDefault="00000000">
      <w:pPr>
        <w:numPr>
          <w:ilvl w:val="0"/>
          <w:numId w:val="20"/>
        </w:numPr>
      </w:pPr>
      <w:r>
        <w:t>returned to the original country,</w:t>
      </w:r>
    </w:p>
    <w:p w14:paraId="23393FE3" w14:textId="77777777" w:rsidR="007A3D20" w:rsidRDefault="00000000">
      <w:pPr>
        <w:numPr>
          <w:ilvl w:val="0"/>
          <w:numId w:val="20"/>
        </w:numPr>
      </w:pPr>
      <w:r>
        <w:t>sold in the processing country or</w:t>
      </w:r>
    </w:p>
    <w:p w14:paraId="6654B1F1" w14:textId="77777777" w:rsidR="007A3D20" w:rsidRDefault="00000000">
      <w:pPr>
        <w:numPr>
          <w:ilvl w:val="0"/>
          <w:numId w:val="20"/>
        </w:numPr>
      </w:pPr>
      <w:r>
        <w:t>sent to other countries.</w:t>
      </w:r>
    </w:p>
    <w:p w14:paraId="5A3B5985" w14:textId="77777777" w:rsidR="007A3D20" w:rsidRDefault="00000000">
      <w:pPr>
        <w:pStyle w:val="FirstParagraph"/>
      </w:pPr>
      <w:r>
        <w:t>In situations where the unprocessed goods are sold to a processor in a second country, there are no particular recording issues. However, in situations where the processing is undertaken on a fee-for-service basis and there is no change of ownership of the goods (i.e., the ownership remains with the original country), the financial flows are unlikely to relate directly to the physical flows of goods being processed.</w:t>
      </w:r>
    </w:p>
    <w:p w14:paraId="31E61D88" w14:textId="77777777" w:rsidR="007A3D20" w:rsidRDefault="00000000">
      <w:pPr>
        <w:pStyle w:val="Heading2"/>
      </w:pPr>
      <w:bookmarkStart w:id="89" w:name="physical-flow-accounts-for-water"/>
      <w:bookmarkStart w:id="90" w:name="_Toc204881168"/>
      <w:bookmarkEnd w:id="79"/>
      <w:bookmarkEnd w:id="87"/>
      <w:r>
        <w:t>Physical flow accounts for water</w:t>
      </w:r>
      <w:bookmarkEnd w:id="90"/>
    </w:p>
    <w:p w14:paraId="6407B88E" w14:textId="77777777" w:rsidR="007A3D20" w:rsidRDefault="00000000">
      <w:pPr>
        <w:pStyle w:val="FirstParagraph"/>
      </w:pPr>
      <w:r>
        <w:t xml:space="preserve">The focus of the SEEA is the inland water system, with provision for the inclusion of sea or </w:t>
      </w:r>
      <w:r>
        <w:rPr>
          <w:b/>
          <w:bCs/>
        </w:rPr>
        <w:t>ocean water abstracted for production and consumption</w:t>
      </w:r>
      <w:r>
        <w:t xml:space="preserve"> (e.g., saline water for desalinization or cooling).</w:t>
      </w:r>
    </w:p>
    <w:p w14:paraId="17400ABC" w14:textId="77777777" w:rsidR="007A3D20" w:rsidRDefault="00000000">
      <w:pPr>
        <w:pStyle w:val="BodyText"/>
      </w:pPr>
      <w:r>
        <w:t>Physical supply and use tables can be compiled at various levels of detail, depending on the required policy and analytical focus and data availability. A basic PSUT for water contains information on the supply and use of water and provides an overview of water flows.</w:t>
      </w:r>
    </w:p>
    <w:p w14:paraId="0EE89E66" w14:textId="77777777" w:rsidR="007A3D20" w:rsidRDefault="00000000">
      <w:pPr>
        <w:pStyle w:val="BodyText"/>
      </w:pPr>
      <w:r>
        <w:t>The PSUT is divided into five sections which organize information on:</w:t>
      </w:r>
    </w:p>
    <w:p w14:paraId="0D116934" w14:textId="77777777" w:rsidR="007A3D20" w:rsidRDefault="00000000">
      <w:pPr>
        <w:numPr>
          <w:ilvl w:val="0"/>
          <w:numId w:val="21"/>
        </w:numPr>
      </w:pPr>
      <w:r>
        <w:lastRenderedPageBreak/>
        <w:t>abstraction of water from the environment;</w:t>
      </w:r>
    </w:p>
    <w:p w14:paraId="6FFDA191" w14:textId="77777777" w:rsidR="007A3D20" w:rsidRDefault="00000000">
      <w:pPr>
        <w:numPr>
          <w:ilvl w:val="0"/>
          <w:numId w:val="21"/>
        </w:numPr>
      </w:pPr>
      <w:r>
        <w:t>distribution and use of abstracted water across enterprises and households;</w:t>
      </w:r>
    </w:p>
    <w:p w14:paraId="702C21EC" w14:textId="77777777" w:rsidR="007A3D20" w:rsidRDefault="00000000">
      <w:pPr>
        <w:numPr>
          <w:ilvl w:val="0"/>
          <w:numId w:val="21"/>
        </w:numPr>
      </w:pPr>
      <w:r>
        <w:t>flows of wastewater and reused water (between households and enterprises);</w:t>
      </w:r>
    </w:p>
    <w:p w14:paraId="681E4A73" w14:textId="77777777" w:rsidR="007A3D20" w:rsidRDefault="00000000">
      <w:pPr>
        <w:numPr>
          <w:ilvl w:val="0"/>
          <w:numId w:val="21"/>
        </w:numPr>
      </w:pPr>
      <w:r>
        <w:t>return flows of water to the environment; and</w:t>
      </w:r>
    </w:p>
    <w:p w14:paraId="6D1B1762" w14:textId="77777777" w:rsidR="007A3D20" w:rsidRDefault="00000000">
      <w:pPr>
        <w:numPr>
          <w:ilvl w:val="0"/>
          <w:numId w:val="21"/>
        </w:numPr>
      </w:pPr>
      <w:r>
        <w:t>evaporation, transpiration and water incorporated into products.</w:t>
      </w:r>
    </w:p>
    <w:p w14:paraId="435D033C" w14:textId="77777777" w:rsidR="007A3D20" w:rsidRDefault="00000000">
      <w:pPr>
        <w:pStyle w:val="FirstParagraph"/>
      </w:pPr>
      <w:r>
        <w:t>The breakdown of the economic activities, classified according to the ISIC, distinguishes the following groups:</w:t>
      </w:r>
    </w:p>
    <w:p w14:paraId="6251FFB8" w14:textId="77777777" w:rsidR="007A3D20" w:rsidRDefault="00000000">
      <w:pPr>
        <w:numPr>
          <w:ilvl w:val="0"/>
          <w:numId w:val="22"/>
        </w:numPr>
      </w:pPr>
      <w:r>
        <w:t>ISIC divisions 01-03: Agriculture, forestry and fishing (it may be relevant to distinguish among the uses of water by these different industries)</w:t>
      </w:r>
    </w:p>
    <w:p w14:paraId="7ECC1766" w14:textId="77777777" w:rsidR="007A3D20" w:rsidRDefault="00000000">
      <w:pPr>
        <w:numPr>
          <w:ilvl w:val="0"/>
          <w:numId w:val="22"/>
        </w:numPr>
      </w:pPr>
      <w:r>
        <w:t>ISIC divisions 05-33 and 41: Mining and quarrying; manufacturing; and construction, respectively</w:t>
      </w:r>
    </w:p>
    <w:p w14:paraId="76AA90EC" w14:textId="77777777" w:rsidR="007A3D20" w:rsidRDefault="00000000">
      <w:pPr>
        <w:numPr>
          <w:ilvl w:val="0"/>
          <w:numId w:val="22"/>
        </w:numPr>
      </w:pPr>
      <w:r>
        <w:t>ISIC division 35: Electricity, gas, steam and air conditioning supply</w:t>
      </w:r>
    </w:p>
    <w:p w14:paraId="0886AB18" w14:textId="77777777" w:rsidR="007A3D20" w:rsidRDefault="00000000">
      <w:pPr>
        <w:numPr>
          <w:ilvl w:val="0"/>
          <w:numId w:val="22"/>
        </w:numPr>
      </w:pPr>
      <w:r>
        <w:t>ISIC division 36: Water collection, treatment and supply; sewerage, waste management and remediation activities</w:t>
      </w:r>
    </w:p>
    <w:p w14:paraId="315E66DA" w14:textId="77777777" w:rsidR="007A3D20" w:rsidRDefault="00000000">
      <w:pPr>
        <w:numPr>
          <w:ilvl w:val="0"/>
          <w:numId w:val="22"/>
        </w:numPr>
      </w:pPr>
      <w:r>
        <w:t>ISIC division 37: Sewerage</w:t>
      </w:r>
    </w:p>
    <w:p w14:paraId="0D9C7657" w14:textId="77777777" w:rsidR="007A3D20" w:rsidRDefault="00000000">
      <w:pPr>
        <w:numPr>
          <w:ilvl w:val="0"/>
          <w:numId w:val="22"/>
        </w:numPr>
      </w:pPr>
      <w:r>
        <w:t>ISIC divisions: 38, 39 and 45-99: Other industries</w:t>
      </w:r>
    </w:p>
    <w:p w14:paraId="4674A379" w14:textId="77777777" w:rsidR="007A3D20" w:rsidRDefault="00000000">
      <w:pPr>
        <w:pStyle w:val="Heading2"/>
      </w:pPr>
      <w:bookmarkStart w:id="91" w:name="physical-flow-accounts-of-materials"/>
      <w:bookmarkStart w:id="92" w:name="_Toc204881169"/>
      <w:bookmarkEnd w:id="89"/>
      <w:r>
        <w:t>Physical flow accounts of materials</w:t>
      </w:r>
      <w:bookmarkEnd w:id="92"/>
    </w:p>
    <w:p w14:paraId="03B037D2" w14:textId="77777777" w:rsidR="007A3D20" w:rsidRDefault="00000000">
      <w:pPr>
        <w:pStyle w:val="FirstParagraph"/>
      </w:pPr>
      <w:r>
        <w:t>The third subsystem of physical flow accounting encompasses flows of materials. In contrast to energy and water, materials are a far more diverse set of natural inputs, products and residuals.</w:t>
      </w:r>
    </w:p>
    <w:p w14:paraId="1A5A251E" w14:textId="77777777" w:rsidR="007A3D20" w:rsidRDefault="00000000">
      <w:pPr>
        <w:pStyle w:val="BodyText"/>
      </w:pPr>
      <w:r>
        <w:t>The present section discusses the main areas in which development of physical flow accounting for materials has taken place:</w:t>
      </w:r>
    </w:p>
    <w:p w14:paraId="0F4EC1B9" w14:textId="77777777" w:rsidR="007A3D20" w:rsidRDefault="00000000">
      <w:pPr>
        <w:numPr>
          <w:ilvl w:val="0"/>
          <w:numId w:val="23"/>
        </w:numPr>
      </w:pPr>
      <w:r>
        <w:t>product flow accounting,</w:t>
      </w:r>
    </w:p>
    <w:p w14:paraId="5B6A972B" w14:textId="77777777" w:rsidR="007A3D20" w:rsidRDefault="00000000">
      <w:pPr>
        <w:numPr>
          <w:ilvl w:val="0"/>
          <w:numId w:val="23"/>
        </w:numPr>
      </w:pPr>
      <w:r>
        <w:t>accounting for air emissions,</w:t>
      </w:r>
    </w:p>
    <w:p w14:paraId="233638F8" w14:textId="77777777" w:rsidR="007A3D20" w:rsidRDefault="00000000">
      <w:pPr>
        <w:numPr>
          <w:ilvl w:val="0"/>
          <w:numId w:val="23"/>
        </w:numPr>
      </w:pPr>
      <w:r>
        <w:t>accounting for emissions to water and associated releases to economic units,</w:t>
      </w:r>
    </w:p>
    <w:p w14:paraId="72344E98" w14:textId="77777777" w:rsidR="007A3D20" w:rsidRDefault="00000000">
      <w:pPr>
        <w:numPr>
          <w:ilvl w:val="0"/>
          <w:numId w:val="23"/>
        </w:numPr>
      </w:pPr>
      <w:r>
        <w:t>accounting for solid waste and</w:t>
      </w:r>
    </w:p>
    <w:p w14:paraId="5BB80884" w14:textId="77777777" w:rsidR="007A3D20" w:rsidRDefault="00000000">
      <w:pPr>
        <w:numPr>
          <w:ilvl w:val="0"/>
          <w:numId w:val="23"/>
        </w:numPr>
      </w:pPr>
      <w:r>
        <w:t>economy-wide material flow accounting (EW-MFA)</w:t>
      </w:r>
    </w:p>
    <w:p w14:paraId="3E2B8DFD" w14:textId="77777777" w:rsidR="007A3D20" w:rsidRDefault="00000000">
      <w:pPr>
        <w:pStyle w:val="FirstParagraph"/>
      </w:pPr>
      <w:r>
        <w:t>Lots of blah blah in this section. An interesting dimension would be to include a species split into the extracted fish.</w:t>
      </w:r>
    </w:p>
    <w:p w14:paraId="27F2FB2D" w14:textId="77777777" w:rsidR="007A3D20" w:rsidRDefault="00000000">
      <w:r>
        <w:br w:type="page"/>
      </w:r>
    </w:p>
    <w:p w14:paraId="2F9AC624" w14:textId="77777777" w:rsidR="007A3D20" w:rsidRDefault="00000000">
      <w:pPr>
        <w:pStyle w:val="Heading3"/>
      </w:pPr>
      <w:bookmarkStart w:id="93" w:name="X4e0facde1e4e948d30deb04223309b6f1553da4"/>
      <w:bookmarkStart w:id="94" w:name="_Toc204881170"/>
      <w:r>
        <w:lastRenderedPageBreak/>
        <w:t>The environmental protection expenditure account (EPEA)</w:t>
      </w:r>
      <w:bookmarkEnd w:id="94"/>
    </w:p>
    <w:p w14:paraId="5FB00FEB" w14:textId="77777777" w:rsidR="007A3D20" w:rsidRDefault="00000000">
      <w:pPr>
        <w:pStyle w:val="FirstParagraph"/>
      </w:pPr>
      <w:r>
        <w:t>Environmental protection activities are those activities whose primary purpose is the prevention, reduction and elimination of pollution and other forms of degradation of the environment. Activities undertaken specifically for biodiversity or landscape protection (e.g., management of protected forests) and activities aimed at preserving certain functions or the quality of the natural environment should be treated as environmental protection. These activities include, but are not limited to:</w:t>
      </w:r>
    </w:p>
    <w:p w14:paraId="005F9719" w14:textId="77777777" w:rsidR="007A3D20" w:rsidRDefault="00000000">
      <w:pPr>
        <w:numPr>
          <w:ilvl w:val="0"/>
          <w:numId w:val="24"/>
        </w:numPr>
      </w:pPr>
      <w:r>
        <w:t>The prevention, reduction or treatment of waste and wastewater;</w:t>
      </w:r>
    </w:p>
    <w:p w14:paraId="6E343CB2" w14:textId="77777777" w:rsidR="007A3D20" w:rsidRDefault="00000000">
      <w:pPr>
        <w:numPr>
          <w:ilvl w:val="0"/>
          <w:numId w:val="24"/>
        </w:numPr>
      </w:pPr>
      <w:r>
        <w:t>The prevention, reduction or elimination of air emissions;</w:t>
      </w:r>
    </w:p>
    <w:p w14:paraId="650975B8" w14:textId="77777777" w:rsidR="007A3D20" w:rsidRDefault="00000000">
      <w:pPr>
        <w:numPr>
          <w:ilvl w:val="0"/>
          <w:numId w:val="24"/>
        </w:numPr>
      </w:pPr>
      <w:r>
        <w:t>The treatment and disposal of contaminated soil and groundwater;</w:t>
      </w:r>
    </w:p>
    <w:p w14:paraId="36F60237" w14:textId="77777777" w:rsidR="007A3D20" w:rsidRDefault="00000000">
      <w:pPr>
        <w:numPr>
          <w:ilvl w:val="0"/>
          <w:numId w:val="24"/>
        </w:numPr>
      </w:pPr>
      <w:r>
        <w:t>The prevention or reduction of noise and vibration levels;</w:t>
      </w:r>
    </w:p>
    <w:p w14:paraId="16BFC0D0" w14:textId="77777777" w:rsidR="007A3D20" w:rsidRDefault="00000000">
      <w:pPr>
        <w:numPr>
          <w:ilvl w:val="0"/>
          <w:numId w:val="24"/>
        </w:numPr>
      </w:pPr>
      <w:r>
        <w:t>The protection of biodiversity and landscapes, including of their ecological functions;</w:t>
      </w:r>
    </w:p>
    <w:p w14:paraId="5554B451" w14:textId="77777777" w:rsidR="007A3D20" w:rsidRDefault="00000000">
      <w:pPr>
        <w:numPr>
          <w:ilvl w:val="0"/>
          <w:numId w:val="24"/>
        </w:numPr>
      </w:pPr>
      <w:r>
        <w:t>Monitoring of the quality of the natural environment (air, water, soil and groundwater);</w:t>
      </w:r>
    </w:p>
    <w:p w14:paraId="2D966F94" w14:textId="77777777" w:rsidR="007A3D20" w:rsidRDefault="00000000">
      <w:pPr>
        <w:numPr>
          <w:ilvl w:val="0"/>
          <w:numId w:val="24"/>
        </w:numPr>
      </w:pPr>
      <w:r>
        <w:t>Research and development on environmental protection; and</w:t>
      </w:r>
    </w:p>
    <w:p w14:paraId="7F4346AC" w14:textId="77777777" w:rsidR="007A3D20" w:rsidRDefault="00000000">
      <w:pPr>
        <w:numPr>
          <w:ilvl w:val="0"/>
          <w:numId w:val="24"/>
        </w:numPr>
      </w:pPr>
      <w:r>
        <w:t>The general administration, training and teaching activities oriented towards environmental protection.</w:t>
      </w:r>
    </w:p>
    <w:p w14:paraId="52FB2061" w14:textId="77777777" w:rsidR="007A3D20" w:rsidRDefault="00000000">
      <w:pPr>
        <w:pStyle w:val="FirstParagraph"/>
      </w:pPr>
      <w:r>
        <w:t xml:space="preserve">Resource management activities are those activities whose primary purpose is preserving and maintaining the stock of natural resources and hence safeguarding against depletion. These activities include, but are not limited to, reducing the withdrawals of natural resources (including through the recovery, reuse, recycling and substitution of natural resources); restoring natural resource stocks (increases or recharges of natural resource stocks); </w:t>
      </w:r>
      <w:r>
        <w:rPr>
          <w:b/>
          <w:bCs/>
        </w:rPr>
        <w:t>the general management of natural resources (including monitoring, control, surveillance and data collection)</w:t>
      </w:r>
      <w:r>
        <w:t>; and the production of goods and services used to manage or conserve natural resources.</w:t>
      </w:r>
    </w:p>
    <w:p w14:paraId="071618A9" w14:textId="77777777" w:rsidR="007A3D20" w:rsidRDefault="00000000">
      <w:pPr>
        <w:pStyle w:val="BodyText"/>
      </w:pPr>
      <w:r>
        <w:t>(The cost of the FFA allocated to countries?)</w:t>
      </w:r>
    </w:p>
    <w:p w14:paraId="75BCC2B0" w14:textId="77777777" w:rsidR="007A3D20" w:rsidRDefault="00000000">
      <w:pPr>
        <w:pStyle w:val="Heading4"/>
      </w:pPr>
      <w:bookmarkStart w:id="95" w:name="Xa03c15cce38eecbf40a7051de1f41061780082f"/>
      <w:r>
        <w:lastRenderedPageBreak/>
        <w:t>Classification of environmental activities</w:t>
      </w:r>
    </w:p>
    <w:p w14:paraId="6585DC16" w14:textId="77777777" w:rsidR="007A3D20" w:rsidRDefault="00000000">
      <w:pPr>
        <w:pStyle w:val="CaptionedFigure"/>
      </w:pPr>
      <w:r>
        <w:rPr>
          <w:noProof/>
        </w:rPr>
        <w:drawing>
          <wp:inline distT="0" distB="0" distL="0" distR="0" wp14:anchorId="1C817E93" wp14:editId="2EE17F28">
            <wp:extent cx="5270500" cy="3395758"/>
            <wp:effectExtent l="0" t="0" r="0" b="0"/>
            <wp:docPr id="122" name="Picture" descr="Figure 11: Classification of Environmental Activities: overview of groups and classes"/>
            <wp:cNvGraphicFramePr/>
            <a:graphic xmlns:a="http://schemas.openxmlformats.org/drawingml/2006/main">
              <a:graphicData uri="http://schemas.openxmlformats.org/drawingml/2006/picture">
                <pic:pic xmlns:pic="http://schemas.openxmlformats.org/drawingml/2006/picture">
                  <pic:nvPicPr>
                    <pic:cNvPr id="123" name="Picture" descr="Graphical_Output/ClassificationEnvironmentActivities.png"/>
                    <pic:cNvPicPr>
                      <a:picLocks noChangeAspect="1" noChangeArrowheads="1"/>
                    </pic:cNvPicPr>
                  </pic:nvPicPr>
                  <pic:blipFill>
                    <a:blip r:embed="rId18"/>
                    <a:stretch>
                      <a:fillRect/>
                    </a:stretch>
                  </pic:blipFill>
                  <pic:spPr bwMode="auto">
                    <a:xfrm>
                      <a:off x="0" y="0"/>
                      <a:ext cx="5270500" cy="3395758"/>
                    </a:xfrm>
                    <a:prstGeom prst="rect">
                      <a:avLst/>
                    </a:prstGeom>
                    <a:noFill/>
                    <a:ln w="9525">
                      <a:noFill/>
                      <a:headEnd/>
                      <a:tailEnd/>
                    </a:ln>
                  </pic:spPr>
                </pic:pic>
              </a:graphicData>
            </a:graphic>
          </wp:inline>
        </w:drawing>
      </w:r>
    </w:p>
    <w:p w14:paraId="5B592576" w14:textId="77777777" w:rsidR="007A3D20" w:rsidRDefault="00000000">
      <w:pPr>
        <w:pStyle w:val="ImageCaption"/>
      </w:pPr>
      <w:bookmarkStart w:id="96" w:name="fig:unnamed-chunk-9"/>
      <w:bookmarkEnd w:id="96"/>
      <w:r>
        <w:t>Figure 11: Classification of Environmental Activities: overview of groups and classes</w:t>
      </w:r>
    </w:p>
    <w:p w14:paraId="05FF082C" w14:textId="77777777" w:rsidR="007A3D20" w:rsidRDefault="00000000">
      <w:pPr>
        <w:pStyle w:val="BodyText"/>
      </w:pPr>
      <w:r>
        <w:t>I think the big thing to get out of this section if the concept that fisheries protection and enforcement costs are ocean accounts information. Things like environmental sole-purpose products are goods (durable or non-durable) or services whose use directly serves an environmental protection or resource management purpose and that have no use except for environmental protection or resource management.</w:t>
      </w:r>
    </w:p>
    <w:p w14:paraId="23E92D78" w14:textId="77777777" w:rsidR="007A3D20" w:rsidRDefault="00000000">
      <w:pPr>
        <w:pStyle w:val="Heading3"/>
      </w:pPr>
      <w:bookmarkStart w:id="97" w:name="X59b034f7219e003291e06f16908e2db4078ae2f"/>
      <w:bookmarkStart w:id="98" w:name="_Toc204881171"/>
      <w:bookmarkEnd w:id="93"/>
      <w:bookmarkEnd w:id="95"/>
      <w:r>
        <w:t>Fixed assets used in economic activities related to the environment</w:t>
      </w:r>
      <w:bookmarkEnd w:id="98"/>
    </w:p>
    <w:p w14:paraId="438211E3" w14:textId="77777777" w:rsidR="007A3D20" w:rsidRDefault="00000000">
      <w:pPr>
        <w:pStyle w:val="FirstParagraph"/>
      </w:pPr>
      <w:r>
        <w:t>Fixed assets cover the range of produced assets that contribute to production processes over a number of accounting periods. They include buildings, machines, various types of equipment—including transportation equipment—land improvements, and intellectual property products such as software and research and development expenditure. Different economic activities will entail the use of different types of fixed assets. Often, there is interest in the fixed assets used to extract and harvest natural resources as well as in the amount of investment that takes place in fixed assets for environmental protection or resource management purposes. For example, information on the amount of investment in equipment to capture energy from renewable energy sources may be of interest.</w:t>
      </w:r>
    </w:p>
    <w:p w14:paraId="6FF4FB44" w14:textId="77777777" w:rsidR="007A3D20" w:rsidRDefault="00000000">
      <w:pPr>
        <w:pStyle w:val="BodyText"/>
      </w:pPr>
      <w:r>
        <w:t>Probably definitely includes things like port infrastructure.</w:t>
      </w:r>
    </w:p>
    <w:p w14:paraId="24585CAF" w14:textId="77777777" w:rsidR="007A3D20" w:rsidRDefault="00000000">
      <w:pPr>
        <w:pStyle w:val="Heading1"/>
      </w:pPr>
      <w:bookmarkStart w:id="99" w:name="Xcc3d56b8d706303a3e4abf83fef536e4b916a5a"/>
      <w:bookmarkStart w:id="100" w:name="_Toc204881172"/>
      <w:bookmarkEnd w:id="77"/>
      <w:bookmarkEnd w:id="91"/>
      <w:bookmarkEnd w:id="97"/>
      <w:r>
        <w:rPr>
          <w:rStyle w:val="SectionNumber"/>
        </w:rPr>
        <w:lastRenderedPageBreak/>
        <w:t>5</w:t>
      </w:r>
      <w:r>
        <w:tab/>
        <w:t>Digital Earth Pacific and FAME / GEM data sources</w:t>
      </w:r>
      <w:bookmarkEnd w:id="100"/>
    </w:p>
    <w:p w14:paraId="6CE87E83" w14:textId="77777777" w:rsidR="007A3D20" w:rsidRDefault="00000000">
      <w:pPr>
        <w:pStyle w:val="Heading1"/>
      </w:pPr>
      <w:bookmarkStart w:id="101" w:name="references"/>
      <w:bookmarkStart w:id="102" w:name="_Toc204881173"/>
      <w:bookmarkEnd w:id="99"/>
      <w:r>
        <w:rPr>
          <w:rStyle w:val="SectionNumber"/>
        </w:rPr>
        <w:t>6</w:t>
      </w:r>
      <w:r>
        <w:tab/>
        <w:t>References</w:t>
      </w:r>
      <w:bookmarkEnd w:id="102"/>
    </w:p>
    <w:p w14:paraId="2E4A58BC" w14:textId="77777777" w:rsidR="007A3D20" w:rsidRDefault="00000000">
      <w:pPr>
        <w:pStyle w:val="FirstParagraph"/>
      </w:pPr>
      <w:hyperlink w:anchor="cite-united_nations_system_2014">
        <w:r>
          <w:rPr>
            <w:rStyle w:val="Hyperlink"/>
          </w:rPr>
          <w:t>[1]</w:t>
        </w:r>
      </w:hyperlink>
      <w:r>
        <w:t xml:space="preserve"> United Nations, European Union, Food, et al. </w:t>
      </w:r>
      <w:r>
        <w:rPr>
          <w:i/>
          <w:iCs/>
        </w:rPr>
        <w:t>System of Environmental-Economic Accounting 2012 Central Framework</w:t>
      </w:r>
      <w:r>
        <w:t xml:space="preserve">. New York: United Nations, 2014. ISBN: 978-92-1-055926-3. URL: </w:t>
      </w:r>
      <w:hyperlink r:id="rId19">
        <w:r>
          <w:rPr>
            <w:rStyle w:val="Hyperlink"/>
          </w:rPr>
          <w:t>https://seea.un.org/sites/seea.un.org/files/seea_cf_final_en.pdf</w:t>
        </w:r>
      </w:hyperlink>
      <w:r>
        <w:t>.</w:t>
      </w:r>
    </w:p>
    <w:p w14:paraId="753AE28F" w14:textId="77777777" w:rsidR="007A3D20" w:rsidRDefault="00000000">
      <w:pPr>
        <w:pStyle w:val="BodyText"/>
      </w:pPr>
      <w:hyperlink w:anchor="cite-villasenor-derbez_market_2024">
        <w:r>
          <w:rPr>
            <w:rStyle w:val="Hyperlink"/>
          </w:rPr>
          <w:t>[2]</w:t>
        </w:r>
      </w:hyperlink>
      <w:r>
        <w:t xml:space="preserve"> J. C. Villasenor-Derbez, C. Costello, and A. J. Plantinga. “A market for 30x30 in the ocean”. EN. In: </w:t>
      </w:r>
      <w:r>
        <w:rPr>
          <w:i/>
          <w:iCs/>
        </w:rPr>
        <w:t>Science</w:t>
      </w:r>
      <w:r>
        <w:t xml:space="preserve"> (Jun. 2024). Publisher: American Association for the Advancement of Science. DOI: </w:t>
      </w:r>
      <w:hyperlink r:id="rId20">
        <w:r>
          <w:rPr>
            <w:rStyle w:val="Hyperlink"/>
          </w:rPr>
          <w:t>10.1126/science.adl4019</w:t>
        </w:r>
      </w:hyperlink>
      <w:r>
        <w:t xml:space="preserve">. URL: </w:t>
      </w:r>
      <w:hyperlink r:id="rId21">
        <w:r>
          <w:rPr>
            <w:rStyle w:val="Hyperlink"/>
          </w:rPr>
          <w:t>https://www.science.org/doi/10.1126/science.adl4019</w:t>
        </w:r>
      </w:hyperlink>
      <w:r>
        <w:t xml:space="preserve"> (visited on 07/17/2025).</w:t>
      </w:r>
    </w:p>
    <w:p w14:paraId="6F1285FA" w14:textId="77777777" w:rsidR="007A3D20" w:rsidRDefault="00000000">
      <w:pPr>
        <w:pStyle w:val="BodyText"/>
      </w:pPr>
      <w:hyperlink w:anchor="X5007387318eee89cad05af1f915294e6bec10e0">
        <w:r>
          <w:rPr>
            <w:rStyle w:val="Hyperlink"/>
          </w:rPr>
          <w:t>[3]</w:t>
        </w:r>
      </w:hyperlink>
      <w:r>
        <w:t xml:space="preserve"> Kiribati National Statistics Office and The Pacific Community. </w:t>
      </w:r>
      <w:r>
        <w:rPr>
          <w:i/>
          <w:iCs/>
        </w:rPr>
        <w:t>Kiribati Natural Disasters and Climate Change Survey Report 2023–2024</w:t>
      </w:r>
      <w:r>
        <w:t xml:space="preserve">. Tech. rep. Kiribati National Statistics Office, Jun. 2025. URL: </w:t>
      </w:r>
      <w:hyperlink r:id="rId22">
        <w:r>
          <w:rPr>
            <w:rStyle w:val="Hyperlink"/>
          </w:rPr>
          <w:t>https://nso.gov.ki/download/151/2023-24-hies-reports/2167/kiribati-natural-disasters-and-climate-change-report-2023-2024</w:t>
        </w:r>
      </w:hyperlink>
      <w:r>
        <w:t>.</w:t>
      </w:r>
      <w:bookmarkEnd w:id="101"/>
    </w:p>
    <w:sectPr w:rsidR="007A3D20" w:rsidSect="00302AD9">
      <w:headerReference w:type="even" r:id="rId23"/>
      <w:headerReference w:type="default" r:id="rId24"/>
      <w:footerReference w:type="even" r:id="rId25"/>
      <w:footerReference w:type="default" r:id="rId26"/>
      <w:headerReference w:type="first" r:id="rId27"/>
      <w:footerReference w:type="first" r:id="rId28"/>
      <w:pgSz w:w="11906" w:h="16838" w:code="9"/>
      <w:pgMar w:top="1440" w:right="1800" w:bottom="1440" w:left="1800" w:header="720" w:footer="720" w:gutter="0"/>
      <w:pgBorders w:offsetFrom="page">
        <w:bottom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2015C2" w14:textId="77777777" w:rsidR="00DF7DDB" w:rsidRDefault="00DF7DDB">
      <w:pPr>
        <w:spacing w:after="0"/>
      </w:pPr>
      <w:r>
        <w:separator/>
      </w:r>
    </w:p>
  </w:endnote>
  <w:endnote w:type="continuationSeparator" w:id="0">
    <w:p w14:paraId="501064FD" w14:textId="77777777" w:rsidR="00DF7DDB" w:rsidRDefault="00DF7D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Kalinga">
    <w:charset w:val="00"/>
    <w:family w:val="swiss"/>
    <w:pitch w:val="variable"/>
    <w:sig w:usb0="0008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3708663"/>
      <w:docPartObj>
        <w:docPartGallery w:val="Page Numbers (Bottom of Page)"/>
        <w:docPartUnique/>
      </w:docPartObj>
    </w:sdtPr>
    <w:sdtEndPr>
      <w:rPr>
        <w:noProof/>
      </w:rPr>
    </w:sdtEndPr>
    <w:sdtContent>
      <w:p w14:paraId="2A935A96" w14:textId="77777777" w:rsidR="004E7FA2" w:rsidRPr="00BC6450" w:rsidRDefault="004E7FA2">
        <w:pPr>
          <w:pStyle w:val="Footer"/>
          <w:jc w:val="center"/>
          <w:rPr>
            <w:sz w:val="28"/>
            <w:szCs w:val="32"/>
          </w:rPr>
        </w:pPr>
        <w:r w:rsidRPr="00BC6450">
          <w:fldChar w:fldCharType="begin"/>
        </w:r>
        <w:r w:rsidRPr="00BC6450">
          <w:instrText xml:space="preserve"> PAGE   \* MERGEFORMAT </w:instrText>
        </w:r>
        <w:r w:rsidRPr="00BC6450">
          <w:fldChar w:fldCharType="separate"/>
        </w:r>
        <w:r w:rsidRPr="00BC6450">
          <w:rPr>
            <w:noProof/>
          </w:rPr>
          <w:t>2</w:t>
        </w:r>
        <w:r w:rsidRPr="00BC6450">
          <w:rPr>
            <w:noProof/>
          </w:rPr>
          <w:fldChar w:fldCharType="end"/>
        </w:r>
      </w:p>
    </w:sdtContent>
  </w:sdt>
  <w:p w14:paraId="7206FD7D" w14:textId="77777777" w:rsidR="00FE0BE0" w:rsidRDefault="00FE0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8"/>
      </w:rPr>
      <w:id w:val="-1177891461"/>
      <w:docPartObj>
        <w:docPartGallery w:val="Page Numbers (Bottom of Page)"/>
        <w:docPartUnique/>
      </w:docPartObj>
    </w:sdtPr>
    <w:sdtEndPr>
      <w:rPr>
        <w:noProof/>
        <w:sz w:val="22"/>
        <w:szCs w:val="24"/>
      </w:rPr>
    </w:sdtEndPr>
    <w:sdtContent>
      <w:p w14:paraId="1AFB7784" w14:textId="77777777" w:rsidR="00BC6450" w:rsidRDefault="00BC64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24CB56" w14:textId="77777777" w:rsidR="00FE0BE0" w:rsidRPr="00BC6450" w:rsidRDefault="00FE0BE0" w:rsidP="00BC64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BE3875" w14:textId="77777777" w:rsidR="003836D8" w:rsidRDefault="003836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21289C" w14:textId="77777777" w:rsidR="00DF7DDB" w:rsidRDefault="00DF7DDB">
      <w:pPr>
        <w:spacing w:after="0"/>
      </w:pPr>
      <w:r>
        <w:separator/>
      </w:r>
    </w:p>
  </w:footnote>
  <w:footnote w:type="continuationSeparator" w:id="0">
    <w:p w14:paraId="3F7F666D" w14:textId="77777777" w:rsidR="00DF7DDB" w:rsidRDefault="00DF7DDB">
      <w:pPr>
        <w:spacing w:after="0"/>
      </w:pPr>
      <w:r>
        <w:continuationSeparator/>
      </w:r>
    </w:p>
  </w:footnote>
  <w:footnote w:id="1">
    <w:p w14:paraId="6A2F704E" w14:textId="77777777" w:rsidR="007A3D20" w:rsidRDefault="00000000">
      <w:pPr>
        <w:pStyle w:val="FootnoteText"/>
      </w:pPr>
      <w:r>
        <w:rPr>
          <w:rStyle w:val="FootnoteReference"/>
        </w:rPr>
        <w:footnoteRef/>
      </w:r>
      <w:r>
        <w:t xml:space="preserve"> </w:t>
      </w:r>
      <w:hyperlink r:id="rId1">
        <w:r>
          <w:rPr>
            <w:rStyle w:val="Hyperlink"/>
          </w:rPr>
          <w:t>https://www.spc.int/updates/news/2023/09/the-existential-threat-climate-change-poses-to-pacific-nations-presented-at</w:t>
        </w:r>
      </w:hyperlink>
    </w:p>
  </w:footnote>
  <w:footnote w:id="2">
    <w:p w14:paraId="38F45753" w14:textId="77777777" w:rsidR="007A3D20" w:rsidRDefault="00000000">
      <w:pPr>
        <w:pStyle w:val="FootnoteText"/>
      </w:pPr>
      <w:r>
        <w:rPr>
          <w:rStyle w:val="FootnoteReference"/>
        </w:rPr>
        <w:footnoteRef/>
      </w:r>
      <w:r>
        <w:t xml:space="preserve"> </w:t>
      </w:r>
      <w:hyperlink r:id="rId2">
        <w:r>
          <w:rPr>
            <w:rStyle w:val="Hyperlink"/>
          </w:rPr>
          <w:t>https://www.are.admin.ch/are/en/home/media/publications/sustainable-development/brundtland-report.html</w:t>
        </w:r>
      </w:hyperlink>
    </w:p>
  </w:footnote>
  <w:footnote w:id="3">
    <w:p w14:paraId="10C6CFB7" w14:textId="77777777" w:rsidR="007A3D20" w:rsidRDefault="00000000">
      <w:pPr>
        <w:pStyle w:val="FootnoteText"/>
      </w:pPr>
      <w:r>
        <w:rPr>
          <w:rStyle w:val="FootnoteReference"/>
        </w:rPr>
        <w:footnoteRef/>
      </w:r>
      <w:r>
        <w:t xml:space="preserve"> (</w:t>
      </w:r>
      <w:hyperlink r:id="rId3">
        <w:r>
          <w:rPr>
            <w:rStyle w:val="Hyperlink"/>
          </w:rPr>
          <w:t>United Nations, European Union, Food et al., 2014</w:t>
        </w:r>
      </w:hyperlink>
      <w:r>
        <w:t>)</w:t>
      </w:r>
    </w:p>
  </w:footnote>
  <w:footnote w:id="4">
    <w:p w14:paraId="361B5AAD" w14:textId="77777777" w:rsidR="007A3D20" w:rsidRDefault="00000000">
      <w:pPr>
        <w:pStyle w:val="FootnoteText"/>
      </w:pPr>
      <w:r>
        <w:rPr>
          <w:rStyle w:val="FootnoteReference"/>
        </w:rPr>
        <w:footnoteRef/>
      </w:r>
      <w:r>
        <w:t xml:space="preserve"> </w:t>
      </w:r>
      <w:hyperlink r:id="rId4">
        <w:r>
          <w:rPr>
            <w:rStyle w:val="Hyperlink"/>
          </w:rPr>
          <w:t>https://unstats.un.org/unsd/nationalaccount/sna.asp</w:t>
        </w:r>
      </w:hyperlink>
    </w:p>
  </w:footnote>
  <w:footnote w:id="5">
    <w:p w14:paraId="5272655B" w14:textId="77777777" w:rsidR="007A3D20" w:rsidRDefault="00000000">
      <w:pPr>
        <w:pStyle w:val="FootnoteText"/>
      </w:pPr>
      <w:r>
        <w:rPr>
          <w:rStyle w:val="FootnoteReference"/>
        </w:rPr>
        <w:footnoteRef/>
      </w:r>
      <w:r>
        <w:t xml:space="preserve"> (</w:t>
      </w:r>
      <w:hyperlink r:id="rId5">
        <w:r>
          <w:rPr>
            <w:rStyle w:val="Hyperlink"/>
          </w:rPr>
          <w:t>Kiribati National Statistics Office and The Pacific Community, 2025</w:t>
        </w:r>
      </w:hyperlink>
      <w:r>
        <w:t>)</w:t>
      </w:r>
    </w:p>
  </w:footnote>
  <w:footnote w:id="6">
    <w:p w14:paraId="09A72AFB" w14:textId="77777777" w:rsidR="007A3D20" w:rsidRDefault="00000000">
      <w:pPr>
        <w:pStyle w:val="FootnoteText"/>
      </w:pPr>
      <w:r>
        <w:rPr>
          <w:rStyle w:val="FootnoteReference"/>
        </w:rPr>
        <w:footnoteRef/>
      </w:r>
      <w:r>
        <w:t xml:space="preserve"> </w:t>
      </w:r>
      <w:hyperlink r:id="rId6">
        <w:r>
          <w:rPr>
            <w:rStyle w:val="Hyperlink"/>
          </w:rPr>
          <w:t>https://unstats.un.org/unsd/nationalaccount/sna.asp</w:t>
        </w:r>
      </w:hyperlink>
    </w:p>
  </w:footnote>
  <w:footnote w:id="7">
    <w:p w14:paraId="6D288745" w14:textId="77777777" w:rsidR="007A3D20" w:rsidRDefault="00000000">
      <w:pPr>
        <w:pStyle w:val="FootnoteText"/>
      </w:pPr>
      <w:r>
        <w:rPr>
          <w:rStyle w:val="FootnoteReference"/>
        </w:rPr>
        <w:footnoteRef/>
      </w:r>
      <w:r>
        <w:t xml:space="preserve"> </w:t>
      </w:r>
      <w:hyperlink r:id="rId7">
        <w:r>
          <w:rPr>
            <w:rStyle w:val="Hyperlink"/>
          </w:rPr>
          <w:t>https://unstats.un.org/unsd/nationalaccount/docs/2025_SNA_Pre-edit.pdf</w:t>
        </w:r>
      </w:hyperlink>
      <w:r>
        <w:t xml:space="preserve"> Chapter 2, section 5 “Measures concerning the environment”</w:t>
      </w:r>
    </w:p>
  </w:footnote>
  <w:footnote w:id="8">
    <w:p w14:paraId="46DA42B9" w14:textId="77777777" w:rsidR="007A3D20" w:rsidRDefault="00000000">
      <w:pPr>
        <w:pStyle w:val="FootnoteText"/>
      </w:pPr>
      <w:r>
        <w:rPr>
          <w:rStyle w:val="FootnoteReference"/>
        </w:rPr>
        <w:footnoteRef/>
      </w:r>
      <w:r>
        <w:t xml:space="preserve"> </w:t>
      </w:r>
      <w:hyperlink r:id="rId8">
        <w:r>
          <w:rPr>
            <w:rStyle w:val="Hyperlink"/>
          </w:rPr>
          <w:t>https://unstats.un.org/unsd/nationalaccount/sna.asp</w:t>
        </w:r>
      </w:hyperlink>
    </w:p>
  </w:footnote>
  <w:footnote w:id="9">
    <w:p w14:paraId="3E3E9956" w14:textId="77777777" w:rsidR="007A3D20" w:rsidRDefault="00000000">
      <w:pPr>
        <w:pStyle w:val="FootnoteText"/>
      </w:pPr>
      <w:r>
        <w:rPr>
          <w:rStyle w:val="FootnoteReference"/>
        </w:rPr>
        <w:footnoteRef/>
      </w:r>
      <w:r>
        <w:t xml:space="preserve"> </w:t>
      </w:r>
      <w:hyperlink r:id="rId9">
        <w:r>
          <w:rPr>
            <w:rStyle w:val="Hyperlink"/>
          </w:rPr>
          <w:t>https://unstats.un.org/unsd/nationalaccount/docs/1993sna.pdf</w:t>
        </w:r>
      </w:hyperlink>
    </w:p>
  </w:footnote>
  <w:footnote w:id="10">
    <w:p w14:paraId="028D41D3" w14:textId="77777777" w:rsidR="007A3D20" w:rsidRDefault="00000000">
      <w:pPr>
        <w:pStyle w:val="FootnoteText"/>
      </w:pPr>
      <w:r>
        <w:rPr>
          <w:rStyle w:val="FootnoteReference"/>
        </w:rPr>
        <w:footnoteRef/>
      </w:r>
      <w:r>
        <w:t xml:space="preserve"> </w:t>
      </w:r>
      <w:hyperlink r:id="rId10">
        <w:r>
          <w:rPr>
            <w:rStyle w:val="Hyperlink"/>
          </w:rPr>
          <w:t>https://unstats.un.org/unsd/nationalaccount/docs/2025_SNA_Pre-edit.pdf</w:t>
        </w:r>
      </w:hyperlink>
      <w:r>
        <w:t xml:space="preserve"> Chapter 2, section 5 “Measures concerning the environment”</w:t>
      </w:r>
    </w:p>
  </w:footnote>
  <w:footnote w:id="11">
    <w:p w14:paraId="0022FD5E" w14:textId="77777777" w:rsidR="007A3D20" w:rsidRDefault="00000000">
      <w:pPr>
        <w:pStyle w:val="FootnoteText"/>
      </w:pPr>
      <w:r>
        <w:rPr>
          <w:rStyle w:val="FootnoteReference"/>
        </w:rPr>
        <w:footnoteRef/>
      </w:r>
      <w:r>
        <w:t xml:space="preserve"> (</w:t>
      </w:r>
      <w:hyperlink r:id="rId11">
        <w:r>
          <w:rPr>
            <w:rStyle w:val="Hyperlink"/>
          </w:rPr>
          <w:t>United Nations, European Union, Food et al., 2014</w:t>
        </w:r>
      </w:hyperlink>
      <w:r>
        <w:t>) section 2.17, page 13</w:t>
      </w:r>
    </w:p>
  </w:footnote>
  <w:footnote w:id="12">
    <w:p w14:paraId="595EBE17" w14:textId="77777777" w:rsidR="007A3D20" w:rsidRDefault="00000000">
      <w:pPr>
        <w:pStyle w:val="FootnoteText"/>
      </w:pPr>
      <w:r>
        <w:rPr>
          <w:rStyle w:val="FootnoteReference"/>
        </w:rPr>
        <w:footnoteRef/>
      </w:r>
      <w:r>
        <w:t xml:space="preserve"> The three flow measures captured through the SEEA-CF.</w:t>
      </w:r>
    </w:p>
  </w:footnote>
  <w:footnote w:id="13">
    <w:p w14:paraId="22AF5902" w14:textId="77777777" w:rsidR="007A3D20" w:rsidRDefault="00000000">
      <w:pPr>
        <w:pStyle w:val="FootnoteText"/>
      </w:pPr>
      <w:r>
        <w:rPr>
          <w:rStyle w:val="FootnoteReference"/>
        </w:rPr>
        <w:footnoteRef/>
      </w:r>
      <w:r>
        <w:t xml:space="preserve"> (</w:t>
      </w:r>
      <w:hyperlink r:id="rId12">
        <w:r>
          <w:rPr>
            <w:rStyle w:val="Hyperlink"/>
          </w:rPr>
          <w:t>United Nations, European Union, Food et al., 2014</w:t>
        </w:r>
      </w:hyperlink>
      <w:r>
        <w:t>) section 2.21, page 14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71BAFA" w14:textId="77777777" w:rsidR="000625BA" w:rsidRPr="000625BA" w:rsidRDefault="00000000" w:rsidP="000625BA">
    <w:pPr>
      <w:pStyle w:val="Header"/>
      <w:jc w:val="right"/>
      <w:rPr>
        <w:color w:val="A6A6A6" w:themeColor="background1" w:themeShade="A6"/>
      </w:rPr>
    </w:pPr>
    <w:r>
      <w:rPr>
        <w:noProof/>
      </w:rPr>
      <w:pict w14:anchorId="40548BF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0108766" o:spid="_x0000_s1026" type="#_x0000_t136" style="position:absolute;left:0;text-align:left;margin-left:0;margin-top:0;width:560.25pt;height:25.05pt;rotation:315;z-index:-251652608;mso-position-horizontal:center;mso-position-horizontal-relative:margin;mso-position-vertical:center;mso-position-vertical-relative:margin" o:allowincell="f" fillcolor="#7f7f7f [1612]" stroked="f">
          <v:fill opacity=".5"/>
          <v:textpath style="font-family:&quot;Calibri&quot;;font-size:1pt" string="Exceedingly Draft! No where near complete! Don't quote. Probably don't even read :-)"/>
          <w10:wrap anchorx="margin" anchory="margin"/>
        </v:shape>
      </w:pict>
    </w:r>
    <w:r w:rsidR="00EC55E3">
      <w:rPr>
        <w:noProof/>
      </w:rPr>
      <w:drawing>
        <wp:anchor distT="0" distB="0" distL="114300" distR="114300" simplePos="0" relativeHeight="251660288" behindDoc="0" locked="0" layoutInCell="1" allowOverlap="1" wp14:anchorId="068AC147" wp14:editId="142570E6">
          <wp:simplePos x="0" y="0"/>
          <wp:positionH relativeFrom="column">
            <wp:posOffset>-1371600</wp:posOffset>
          </wp:positionH>
          <wp:positionV relativeFrom="paragraph">
            <wp:posOffset>-451116</wp:posOffset>
          </wp:positionV>
          <wp:extent cx="7788275" cy="266700"/>
          <wp:effectExtent l="0" t="0" r="0" b="0"/>
          <wp:wrapNone/>
          <wp:docPr id="1569086092" name="Picture 156908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rot="10800000">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454683203"/>
        <w:dataBinding w:prefixMappings="xmlns:ns0='http://purl.org/dc/elements/1.1/' xmlns:ns1='http://schemas.openxmlformats.org/package/2006/metadata/core-properties' " w:xpath="/ns1:coreProperties[1]/ns0:title[1]" w:storeItemID="{6C3C8BC8-F283-45AE-878A-BAB7291924A1}"/>
        <w:text/>
      </w:sdtPr>
      <w:sdtContent>
        <w:r w:rsidR="00C836D3">
          <w:rPr>
            <w:color w:val="A6A6A6" w:themeColor="background1" w:themeShade="A6"/>
          </w:rPr>
          <w:t>Pacific Regional Environmental Accounts Incorporating Ocean Accounts</w:t>
        </w:r>
      </w:sdtContent>
    </w:sdt>
  </w:p>
  <w:p w14:paraId="551F0892" w14:textId="77777777" w:rsidR="00FE0BE0" w:rsidRDefault="00FE0BE0" w:rsidP="000625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2751C" w14:textId="77777777" w:rsidR="00FE0BE0" w:rsidRPr="000625BA" w:rsidRDefault="00000000">
    <w:pPr>
      <w:pStyle w:val="Header"/>
      <w:rPr>
        <w:color w:val="A6A6A6" w:themeColor="background1" w:themeShade="A6"/>
      </w:rPr>
    </w:pPr>
    <w:r>
      <w:rPr>
        <w:noProof/>
      </w:rPr>
      <w:pict w14:anchorId="7B68F28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0108767" o:spid="_x0000_s1027" type="#_x0000_t136" style="position:absolute;margin-left:0;margin-top:0;width:560.25pt;height:25.05pt;rotation:315;z-index:-251650560;mso-position-horizontal:center;mso-position-horizontal-relative:margin;mso-position-vertical:center;mso-position-vertical-relative:margin" o:allowincell="f" fillcolor="#7f7f7f [1612]" stroked="f">
          <v:fill opacity=".5"/>
          <v:textpath style="font-family:&quot;Calibri&quot;;font-size:1pt" string="Exceedingly Draft! No where near complete! Don't quote. Probably don't even read :-)"/>
          <w10:wrap anchorx="margin" anchory="margin"/>
        </v:shape>
      </w:pict>
    </w:r>
    <w:r w:rsidR="00EC55E3">
      <w:rPr>
        <w:noProof/>
      </w:rPr>
      <w:drawing>
        <wp:anchor distT="0" distB="0" distL="114300" distR="114300" simplePos="0" relativeHeight="251656192" behindDoc="0" locked="0" layoutInCell="1" allowOverlap="1" wp14:anchorId="042E2AF9" wp14:editId="7A334FD2">
          <wp:simplePos x="0" y="0"/>
          <wp:positionH relativeFrom="column">
            <wp:posOffset>-1144270</wp:posOffset>
          </wp:positionH>
          <wp:positionV relativeFrom="paragraph">
            <wp:posOffset>-456713</wp:posOffset>
          </wp:positionV>
          <wp:extent cx="7788275" cy="266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333375313"/>
        <w:dataBinding w:prefixMappings="xmlns:ns0='http://purl.org/dc/elements/1.1/' xmlns:ns1='http://schemas.openxmlformats.org/package/2006/metadata/core-properties' " w:xpath="/ns1:coreProperties[1]/ns0:title[1]" w:storeItemID="{6C3C8BC8-F283-45AE-878A-BAB7291924A1}"/>
        <w:text/>
      </w:sdtPr>
      <w:sdtContent>
        <w:r w:rsidR="00C836D3">
          <w:rPr>
            <w:color w:val="A6A6A6" w:themeColor="background1" w:themeShade="A6"/>
          </w:rPr>
          <w:t>Pacific Regional Environmental Accounts Incorporating Ocean Accounts</w:t>
        </w:r>
      </w:sdtContent>
    </w:sdt>
    <w:r w:rsidR="00BC6450">
      <w:rPr>
        <w:noProof/>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666BD" w14:textId="77777777" w:rsidR="00302AD9" w:rsidRDefault="00000000">
    <w:pPr>
      <w:pStyle w:val="Header"/>
    </w:pPr>
    <w:r>
      <w:rPr>
        <w:noProof/>
      </w:rPr>
      <w:pict w14:anchorId="1D8A226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0108765" o:spid="_x0000_s1025" type="#_x0000_t136" style="position:absolute;margin-left:0;margin-top:0;width:560.25pt;height:25.05pt;rotation:315;z-index:-251654656;mso-position-horizontal:center;mso-position-horizontal-relative:margin;mso-position-vertical:center;mso-position-vertical-relative:margin" o:allowincell="f" fillcolor="#7f7f7f [1612]" stroked="f">
          <v:fill opacity=".5"/>
          <v:textpath style="font-family:&quot;Calibri&quot;;font-size:1pt" string="Exceedingly Draft! No where near complete! Don't quote. Probably don't even read :-)"/>
          <w10:wrap anchorx="margin" anchory="margin"/>
        </v:shape>
      </w:pict>
    </w:r>
    <w:r w:rsidR="004E7FA2">
      <w:rPr>
        <w:noProof/>
      </w:rPr>
      <w:drawing>
        <wp:anchor distT="0" distB="0" distL="114300" distR="114300" simplePos="0" relativeHeight="251657728" behindDoc="1" locked="0" layoutInCell="1" allowOverlap="1" wp14:anchorId="5757823E" wp14:editId="532C6BC6">
          <wp:simplePos x="0" y="0"/>
          <wp:positionH relativeFrom="margin">
            <wp:posOffset>-1130877</wp:posOffset>
          </wp:positionH>
          <wp:positionV relativeFrom="paragraph">
            <wp:posOffset>-433078</wp:posOffset>
          </wp:positionV>
          <wp:extent cx="7541927" cy="1314450"/>
          <wp:effectExtent l="0" t="0" r="0" b="0"/>
          <wp:wrapNone/>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41927" cy="1314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8D5431C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EA78B9D8"/>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731"/>
    <w:multiLevelType w:val="multilevel"/>
    <w:tmpl w:val="99B42AE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3" w15:restartNumberingAfterBreak="0">
    <w:nsid w:val="108F69E8"/>
    <w:multiLevelType w:val="hybridMultilevel"/>
    <w:tmpl w:val="7AE8775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4BD5A3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365741"/>
    <w:multiLevelType w:val="hybridMultilevel"/>
    <w:tmpl w:val="36E45372"/>
    <w:lvl w:ilvl="0" w:tplc="31169C08">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C1AE401"/>
    <w:multiLevelType w:val="multilevel"/>
    <w:tmpl w:val="A8E29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39890DBA"/>
    <w:multiLevelType w:val="hybridMultilevel"/>
    <w:tmpl w:val="9C68E5B2"/>
    <w:lvl w:ilvl="0" w:tplc="A9E2BE02">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A2C77C6"/>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8E300DB"/>
    <w:multiLevelType w:val="hybridMultilevel"/>
    <w:tmpl w:val="DF0C931C"/>
    <w:lvl w:ilvl="0" w:tplc="7D386C76">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56983B8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B9B348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50667902">
    <w:abstractNumId w:val="6"/>
  </w:num>
  <w:num w:numId="2" w16cid:durableId="212280475">
    <w:abstractNumId w:val="3"/>
  </w:num>
  <w:num w:numId="3" w16cid:durableId="963316209">
    <w:abstractNumId w:val="4"/>
  </w:num>
  <w:num w:numId="4" w16cid:durableId="1063527880">
    <w:abstractNumId w:val="5"/>
  </w:num>
  <w:num w:numId="5" w16cid:durableId="1328440301">
    <w:abstractNumId w:val="10"/>
  </w:num>
  <w:num w:numId="6" w16cid:durableId="352875897">
    <w:abstractNumId w:val="11"/>
  </w:num>
  <w:num w:numId="7" w16cid:durableId="2064401553">
    <w:abstractNumId w:val="8"/>
  </w:num>
  <w:num w:numId="8" w16cid:durableId="770591970">
    <w:abstractNumId w:val="9"/>
  </w:num>
  <w:num w:numId="9" w16cid:durableId="117267032">
    <w:abstractNumId w:val="7"/>
  </w:num>
  <w:num w:numId="10" w16cid:durableId="753018004">
    <w:abstractNumId w:val="0"/>
  </w:num>
  <w:num w:numId="11" w16cid:durableId="388304138">
    <w:abstractNumId w:val="1"/>
  </w:num>
  <w:num w:numId="12" w16cid:durableId="1291590213">
    <w:abstractNumId w:val="1"/>
  </w:num>
  <w:num w:numId="13" w16cid:durableId="4179907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157938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674355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864007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124747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792775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9432233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864426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714545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89403014">
    <w:abstractNumId w:val="1"/>
  </w:num>
  <w:num w:numId="23" w16cid:durableId="14377944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295196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evenAndOddHeaders/>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2BC3"/>
    <w:rsid w:val="0004295B"/>
    <w:rsid w:val="000625BA"/>
    <w:rsid w:val="0008430B"/>
    <w:rsid w:val="000C5060"/>
    <w:rsid w:val="000F3A6D"/>
    <w:rsid w:val="0010049E"/>
    <w:rsid w:val="001D3C2B"/>
    <w:rsid w:val="00256D65"/>
    <w:rsid w:val="0029224F"/>
    <w:rsid w:val="002A7B38"/>
    <w:rsid w:val="002B42A8"/>
    <w:rsid w:val="002C3724"/>
    <w:rsid w:val="002C6215"/>
    <w:rsid w:val="002D77EB"/>
    <w:rsid w:val="00302AD9"/>
    <w:rsid w:val="00307DAA"/>
    <w:rsid w:val="0031123D"/>
    <w:rsid w:val="003346AA"/>
    <w:rsid w:val="003811D7"/>
    <w:rsid w:val="003836D8"/>
    <w:rsid w:val="003D4EC7"/>
    <w:rsid w:val="00427B3A"/>
    <w:rsid w:val="0047794B"/>
    <w:rsid w:val="004909C1"/>
    <w:rsid w:val="00492A21"/>
    <w:rsid w:val="004E29B3"/>
    <w:rsid w:val="004E7FA2"/>
    <w:rsid w:val="0054487E"/>
    <w:rsid w:val="00550F77"/>
    <w:rsid w:val="0058551E"/>
    <w:rsid w:val="00590D07"/>
    <w:rsid w:val="005C6347"/>
    <w:rsid w:val="005E4326"/>
    <w:rsid w:val="00600F57"/>
    <w:rsid w:val="00602EF4"/>
    <w:rsid w:val="0061100D"/>
    <w:rsid w:val="00631E9C"/>
    <w:rsid w:val="0064758A"/>
    <w:rsid w:val="00680D48"/>
    <w:rsid w:val="006951B6"/>
    <w:rsid w:val="006A4213"/>
    <w:rsid w:val="006A6D0D"/>
    <w:rsid w:val="006C3442"/>
    <w:rsid w:val="007174DA"/>
    <w:rsid w:val="00742E6D"/>
    <w:rsid w:val="00784D58"/>
    <w:rsid w:val="00792C66"/>
    <w:rsid w:val="007A1FC3"/>
    <w:rsid w:val="007A25E4"/>
    <w:rsid w:val="007A3D20"/>
    <w:rsid w:val="007F6E58"/>
    <w:rsid w:val="008408D6"/>
    <w:rsid w:val="008D4397"/>
    <w:rsid w:val="008D6863"/>
    <w:rsid w:val="008F27FB"/>
    <w:rsid w:val="00901A09"/>
    <w:rsid w:val="009116AE"/>
    <w:rsid w:val="00920695"/>
    <w:rsid w:val="0092379D"/>
    <w:rsid w:val="009A1802"/>
    <w:rsid w:val="009C3922"/>
    <w:rsid w:val="009C3C6C"/>
    <w:rsid w:val="009E6AEC"/>
    <w:rsid w:val="009F287E"/>
    <w:rsid w:val="00A2743B"/>
    <w:rsid w:val="00A4768A"/>
    <w:rsid w:val="00A517C0"/>
    <w:rsid w:val="00A66767"/>
    <w:rsid w:val="00A917BB"/>
    <w:rsid w:val="00A91C46"/>
    <w:rsid w:val="00A923A1"/>
    <w:rsid w:val="00AA4664"/>
    <w:rsid w:val="00AB2CAF"/>
    <w:rsid w:val="00AD57C0"/>
    <w:rsid w:val="00B34274"/>
    <w:rsid w:val="00B45535"/>
    <w:rsid w:val="00B504C0"/>
    <w:rsid w:val="00B86B75"/>
    <w:rsid w:val="00BC48D5"/>
    <w:rsid w:val="00BC6450"/>
    <w:rsid w:val="00BE06AD"/>
    <w:rsid w:val="00C1614F"/>
    <w:rsid w:val="00C36279"/>
    <w:rsid w:val="00C37EC8"/>
    <w:rsid w:val="00C608F5"/>
    <w:rsid w:val="00C62593"/>
    <w:rsid w:val="00C71DE2"/>
    <w:rsid w:val="00C836D3"/>
    <w:rsid w:val="00CF3583"/>
    <w:rsid w:val="00CF3F35"/>
    <w:rsid w:val="00D14FEA"/>
    <w:rsid w:val="00D265AF"/>
    <w:rsid w:val="00D6748A"/>
    <w:rsid w:val="00DD5733"/>
    <w:rsid w:val="00DE466A"/>
    <w:rsid w:val="00DF7DDB"/>
    <w:rsid w:val="00E25AF1"/>
    <w:rsid w:val="00E315A3"/>
    <w:rsid w:val="00E3354D"/>
    <w:rsid w:val="00E46F2B"/>
    <w:rsid w:val="00E719EA"/>
    <w:rsid w:val="00EC55E3"/>
    <w:rsid w:val="00ED2818"/>
    <w:rsid w:val="00F0766D"/>
    <w:rsid w:val="00F541A0"/>
    <w:rsid w:val="00F5717D"/>
    <w:rsid w:val="00F62245"/>
    <w:rsid w:val="00F85740"/>
    <w:rsid w:val="00FE0BE0"/>
    <w:rsid w:val="00FF1A42"/>
    <w:rsid w:val="00FF4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A3DEBC"/>
  <w15:docId w15:val="{67C71618-5ADF-4F8F-AC8B-75B0BDD69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C5060"/>
    <w:rPr>
      <w:rFonts w:ascii="Calibri" w:hAnsi="Calibri"/>
      <w:sz w:val="22"/>
    </w:rPr>
  </w:style>
  <w:style w:type="paragraph" w:styleId="Heading1">
    <w:name w:val="heading 1"/>
    <w:basedOn w:val="Normal"/>
    <w:next w:val="BodyText"/>
    <w:uiPriority w:val="9"/>
    <w:qFormat/>
    <w:rsid w:val="006951B6"/>
    <w:pPr>
      <w:keepNext/>
      <w:keepLines/>
      <w:spacing w:before="240" w:after="0"/>
      <w:outlineLvl w:val="0"/>
    </w:pPr>
    <w:rPr>
      <w:rFonts w:eastAsiaTheme="majorEastAsia" w:cstheme="majorBidi"/>
      <w:b/>
      <w:bCs/>
      <w:sz w:val="36"/>
      <w:szCs w:val="32"/>
    </w:rPr>
  </w:style>
  <w:style w:type="paragraph" w:styleId="Heading2">
    <w:name w:val="heading 2"/>
    <w:basedOn w:val="Heading1"/>
    <w:next w:val="BodyText"/>
    <w:uiPriority w:val="9"/>
    <w:unhideWhenUsed/>
    <w:qFormat/>
    <w:rsid w:val="006951B6"/>
    <w:pPr>
      <w:spacing w:before="200"/>
      <w:outlineLvl w:val="1"/>
    </w:pPr>
    <w:rPr>
      <w:b w:val="0"/>
      <w:bCs w:val="0"/>
      <w:i/>
      <w:sz w:val="28"/>
      <w:szCs w:val="28"/>
    </w:rPr>
  </w:style>
  <w:style w:type="paragraph" w:styleId="Heading3">
    <w:name w:val="heading 3"/>
    <w:basedOn w:val="Heading1"/>
    <w:next w:val="BodyText"/>
    <w:uiPriority w:val="9"/>
    <w:unhideWhenUsed/>
    <w:qFormat/>
    <w:rsid w:val="006951B6"/>
    <w:pPr>
      <w:spacing w:before="200"/>
      <w:outlineLvl w:val="2"/>
    </w:pPr>
    <w:rPr>
      <w:b w:val="0"/>
      <w:bCs w:val="0"/>
      <w:i/>
      <w:sz w:val="24"/>
    </w:rPr>
  </w:style>
  <w:style w:type="paragraph" w:styleId="Heading4">
    <w:name w:val="heading 4"/>
    <w:basedOn w:val="Normal"/>
    <w:next w:val="BodyText"/>
    <w:uiPriority w:val="9"/>
    <w:unhideWhenUsed/>
    <w:qFormat/>
    <w:rsid w:val="006951B6"/>
    <w:pPr>
      <w:keepNext/>
      <w:keepLines/>
      <w:spacing w:before="200" w:after="0"/>
      <w:outlineLvl w:val="3"/>
    </w:pPr>
    <w:rPr>
      <w:rFonts w:asciiTheme="majorHAnsi" w:eastAsiaTheme="majorEastAsia" w:hAnsiTheme="majorHAnsi"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4E7FA2"/>
    <w:pPr>
      <w:spacing w:after="180" w:line="288" w:lineRule="auto"/>
      <w:jc w:val="both"/>
    </w:pPr>
    <w:rPr>
      <w:rFonts w:cs="Kalinga"/>
    </w:rPr>
  </w:style>
  <w:style w:type="paragraph" w:customStyle="1" w:styleId="FirstParagraph">
    <w:name w:val="First Paragraph"/>
    <w:basedOn w:val="BodyText"/>
    <w:next w:val="BodyText"/>
    <w:qFormat/>
  </w:style>
  <w:style w:type="paragraph" w:customStyle="1" w:styleId="Compact">
    <w:name w:val="Compact"/>
    <w:basedOn w:val="BodyText"/>
    <w:qFormat/>
    <w:rsid w:val="0058551E"/>
    <w:pPr>
      <w:spacing w:after="0" w:line="240" w:lineRule="auto"/>
    </w:pPr>
    <w:rPr>
      <w:sz w:val="18"/>
    </w:rPr>
  </w:style>
  <w:style w:type="paragraph" w:styleId="Title">
    <w:name w:val="Title"/>
    <w:basedOn w:val="Normal"/>
    <w:next w:val="BodyText"/>
    <w:qFormat/>
    <w:rsid w:val="00F541A0"/>
    <w:pPr>
      <w:keepNext/>
      <w:keepLines/>
      <w:spacing w:before="2280" w:after="600"/>
      <w:jc w:val="center"/>
    </w:pPr>
    <w:rPr>
      <w:rFonts w:eastAsiaTheme="majorEastAsia" w:cstheme="majorBidi"/>
      <w:bCs/>
      <w:sz w:val="5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D265AF"/>
    <w:pPr>
      <w:keepNext/>
      <w:keepLines/>
      <w:jc w:val="center"/>
    </w:pPr>
    <w:rPr>
      <w:rFonts w:ascii="Calibri" w:hAnsi="Calibri"/>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CF3583"/>
    <w:pPr>
      <w:spacing w:after="0"/>
    </w:pPr>
    <w:rPr>
      <w:sz w:val="18"/>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8408D6"/>
    <w:pPr>
      <w:spacing w:line="259" w:lineRule="auto"/>
      <w:outlineLvl w:val="9"/>
    </w:pPr>
    <w:rPr>
      <w:rFonts w:asciiTheme="majorHAnsi" w:hAnsiTheme="majorHAnsi"/>
      <w:bCs w:val="0"/>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iPriority w:val="99"/>
    <w:unhideWhenUsed/>
    <w:rsid w:val="00FE0BE0"/>
    <w:pPr>
      <w:tabs>
        <w:tab w:val="center" w:pos="4513"/>
        <w:tab w:val="right" w:pos="9026"/>
      </w:tabs>
      <w:spacing w:after="0"/>
    </w:pPr>
  </w:style>
  <w:style w:type="character" w:customStyle="1" w:styleId="HeaderChar">
    <w:name w:val="Header Char"/>
    <w:basedOn w:val="DefaultParagraphFont"/>
    <w:link w:val="Header"/>
    <w:uiPriority w:val="99"/>
    <w:rsid w:val="00FE0BE0"/>
  </w:style>
  <w:style w:type="paragraph" w:styleId="Footer">
    <w:name w:val="footer"/>
    <w:basedOn w:val="Normal"/>
    <w:link w:val="FooterChar"/>
    <w:uiPriority w:val="99"/>
    <w:unhideWhenUsed/>
    <w:rsid w:val="00FE0BE0"/>
    <w:pPr>
      <w:tabs>
        <w:tab w:val="center" w:pos="4513"/>
        <w:tab w:val="right" w:pos="9026"/>
      </w:tabs>
      <w:spacing w:after="0"/>
    </w:pPr>
  </w:style>
  <w:style w:type="character" w:customStyle="1" w:styleId="FooterChar">
    <w:name w:val="Footer Char"/>
    <w:basedOn w:val="DefaultParagraphFont"/>
    <w:link w:val="Footer"/>
    <w:uiPriority w:val="99"/>
    <w:rsid w:val="00FE0BE0"/>
  </w:style>
  <w:style w:type="character" w:styleId="PlaceholderText">
    <w:name w:val="Placeholder Text"/>
    <w:basedOn w:val="DefaultParagraphFont"/>
    <w:semiHidden/>
    <w:rsid w:val="00FE0BE0"/>
    <w:rPr>
      <w:color w:val="808080"/>
    </w:rPr>
  </w:style>
  <w:style w:type="paragraph" w:styleId="TOC1">
    <w:name w:val="toc 1"/>
    <w:basedOn w:val="Normal"/>
    <w:next w:val="Normal"/>
    <w:autoRedefine/>
    <w:uiPriority w:val="39"/>
    <w:unhideWhenUsed/>
    <w:rsid w:val="00ED2818"/>
    <w:pPr>
      <w:spacing w:before="360" w:after="0"/>
    </w:pPr>
    <w:rPr>
      <w:rFonts w:asciiTheme="majorHAnsi" w:hAnsiTheme="majorHAnsi" w:cstheme="majorHAnsi"/>
      <w:b/>
      <w:bCs/>
      <w:caps/>
      <w:sz w:val="24"/>
    </w:rPr>
  </w:style>
  <w:style w:type="paragraph" w:styleId="TOC2">
    <w:name w:val="toc 2"/>
    <w:basedOn w:val="Normal"/>
    <w:next w:val="Normal"/>
    <w:autoRedefine/>
    <w:uiPriority w:val="39"/>
    <w:unhideWhenUsed/>
    <w:rsid w:val="00ED2818"/>
    <w:pPr>
      <w:spacing w:before="240" w:after="0"/>
    </w:pPr>
    <w:rPr>
      <w:rFonts w:asciiTheme="minorHAnsi" w:hAnsiTheme="minorHAnsi"/>
      <w:b/>
      <w:bCs/>
      <w:sz w:val="20"/>
      <w:szCs w:val="20"/>
    </w:rPr>
  </w:style>
  <w:style w:type="paragraph" w:styleId="TOC3">
    <w:name w:val="toc 3"/>
    <w:basedOn w:val="Normal"/>
    <w:next w:val="Normal"/>
    <w:autoRedefine/>
    <w:uiPriority w:val="39"/>
    <w:unhideWhenUsed/>
    <w:rsid w:val="00ED2818"/>
    <w:pPr>
      <w:spacing w:after="0"/>
      <w:ind w:left="220"/>
    </w:pPr>
    <w:rPr>
      <w:rFonts w:asciiTheme="minorHAnsi" w:hAnsiTheme="minorHAnsi"/>
      <w:sz w:val="20"/>
      <w:szCs w:val="20"/>
    </w:rPr>
  </w:style>
  <w:style w:type="paragraph" w:styleId="TOC4">
    <w:name w:val="toc 4"/>
    <w:basedOn w:val="Normal"/>
    <w:next w:val="Normal"/>
    <w:autoRedefine/>
    <w:unhideWhenUsed/>
    <w:rsid w:val="00ED2818"/>
    <w:pPr>
      <w:spacing w:after="0"/>
      <w:ind w:left="440"/>
    </w:pPr>
    <w:rPr>
      <w:rFonts w:asciiTheme="minorHAnsi" w:hAnsiTheme="minorHAnsi"/>
      <w:sz w:val="20"/>
      <w:szCs w:val="20"/>
    </w:rPr>
  </w:style>
  <w:style w:type="paragraph" w:styleId="TOC5">
    <w:name w:val="toc 5"/>
    <w:basedOn w:val="Normal"/>
    <w:next w:val="Normal"/>
    <w:autoRedefine/>
    <w:unhideWhenUsed/>
    <w:rsid w:val="00ED2818"/>
    <w:pPr>
      <w:spacing w:after="0"/>
      <w:ind w:left="660"/>
    </w:pPr>
    <w:rPr>
      <w:rFonts w:asciiTheme="minorHAnsi" w:hAnsiTheme="minorHAnsi"/>
      <w:sz w:val="20"/>
      <w:szCs w:val="20"/>
    </w:rPr>
  </w:style>
  <w:style w:type="paragraph" w:styleId="TOC6">
    <w:name w:val="toc 6"/>
    <w:basedOn w:val="Normal"/>
    <w:next w:val="Normal"/>
    <w:autoRedefine/>
    <w:unhideWhenUsed/>
    <w:rsid w:val="00ED2818"/>
    <w:pPr>
      <w:spacing w:after="0"/>
      <w:ind w:left="880"/>
    </w:pPr>
    <w:rPr>
      <w:rFonts w:asciiTheme="minorHAnsi" w:hAnsiTheme="minorHAnsi"/>
      <w:sz w:val="20"/>
      <w:szCs w:val="20"/>
    </w:rPr>
  </w:style>
  <w:style w:type="paragraph" w:styleId="TOC7">
    <w:name w:val="toc 7"/>
    <w:basedOn w:val="Normal"/>
    <w:next w:val="Normal"/>
    <w:autoRedefine/>
    <w:unhideWhenUsed/>
    <w:rsid w:val="00ED2818"/>
    <w:pPr>
      <w:spacing w:after="0"/>
      <w:ind w:left="1100"/>
    </w:pPr>
    <w:rPr>
      <w:rFonts w:asciiTheme="minorHAnsi" w:hAnsiTheme="minorHAnsi"/>
      <w:sz w:val="20"/>
      <w:szCs w:val="20"/>
    </w:rPr>
  </w:style>
  <w:style w:type="paragraph" w:styleId="TOC8">
    <w:name w:val="toc 8"/>
    <w:basedOn w:val="Normal"/>
    <w:next w:val="Normal"/>
    <w:autoRedefine/>
    <w:unhideWhenUsed/>
    <w:rsid w:val="00ED2818"/>
    <w:pPr>
      <w:spacing w:after="0"/>
      <w:ind w:left="1320"/>
    </w:pPr>
    <w:rPr>
      <w:rFonts w:asciiTheme="minorHAnsi" w:hAnsiTheme="minorHAnsi"/>
      <w:sz w:val="20"/>
      <w:szCs w:val="20"/>
    </w:rPr>
  </w:style>
  <w:style w:type="paragraph" w:styleId="TOC9">
    <w:name w:val="toc 9"/>
    <w:basedOn w:val="Normal"/>
    <w:next w:val="Normal"/>
    <w:autoRedefine/>
    <w:unhideWhenUsed/>
    <w:rsid w:val="00ED2818"/>
    <w:pPr>
      <w:spacing w:after="0"/>
      <w:ind w:left="154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org/doi/10.1126/science.adl4019"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www.science.org/doi/10.1126/science.adl4019"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i.org/10.1126%2Fscience.adl4019"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yperlink" Target="https://seea.un.org/sites/seea.un.org/files/seea_cf_final_en.pd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nso.gov.ki/download/151/2023-24-hies-reports/2167/kiribati-natural-disasters-and-climate-change-report-2023-2024" TargetMode="External"/><Relationship Id="rId27" Type="http://schemas.openxmlformats.org/officeDocument/2006/relationships/header" Target="header3.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unstats.un.org/unsd/nationalaccount/sna.asp" TargetMode="External"/><Relationship Id="rId3" Type="http://schemas.openxmlformats.org/officeDocument/2006/relationships/hyperlink" Target="https://seea.un.org/sites/seea.un.org/files/seea_cf_final_en.pdf" TargetMode="External"/><Relationship Id="rId7" Type="http://schemas.openxmlformats.org/officeDocument/2006/relationships/hyperlink" Target="https://unstats.un.org/unsd/nationalaccount/docs/2025_SNA_Pre-edit.pdf" TargetMode="External"/><Relationship Id="rId12" Type="http://schemas.openxmlformats.org/officeDocument/2006/relationships/hyperlink" Target="https://seea.un.org/sites/seea.un.org/files/seea_cf_final_en.pdf" TargetMode="External"/><Relationship Id="rId2" Type="http://schemas.openxmlformats.org/officeDocument/2006/relationships/hyperlink" Target="https://www.are.admin.ch/are/en/home/media/publications/sustainable-development/brundtland-report.html" TargetMode="External"/><Relationship Id="rId1" Type="http://schemas.openxmlformats.org/officeDocument/2006/relationships/hyperlink" Target="https://www.spc.int/updates/news/2023/09/the-existential-threat-climate-change-poses-to-pacific-nations-presented-at" TargetMode="External"/><Relationship Id="rId6" Type="http://schemas.openxmlformats.org/officeDocument/2006/relationships/hyperlink" Target="https://unstats.un.org/unsd/nationalaccount/sna.asp" TargetMode="External"/><Relationship Id="rId11" Type="http://schemas.openxmlformats.org/officeDocument/2006/relationships/hyperlink" Target="https://seea.un.org/sites/seea.un.org/files/seea_cf_final_en.pdf" TargetMode="External"/><Relationship Id="rId5" Type="http://schemas.openxmlformats.org/officeDocument/2006/relationships/hyperlink" Target="https://nso.gov.ki/download/151/2023-24-hies-reports/2167/kiribati-natural-disasters-and-climate-change-report-2023-2024" TargetMode="External"/><Relationship Id="rId10" Type="http://schemas.openxmlformats.org/officeDocument/2006/relationships/hyperlink" Target="https://unstats.un.org/unsd/nationalaccount/docs/2025_SNA_Pre-edit.pdf" TargetMode="External"/><Relationship Id="rId4" Type="http://schemas.openxmlformats.org/officeDocument/2006/relationships/hyperlink" Target="https://unstats.un.org/unsd/nationalaccount/sna.asp" TargetMode="External"/><Relationship Id="rId9" Type="http://schemas.openxmlformats.org/officeDocument/2006/relationships/hyperlink" Target="https://unstats.un.org/unsd/nationalaccount/docs/1993sna.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_rels/header2.xml.rels><?xml version="1.0" encoding="UTF-8" standalone="yes"?>
<Relationships xmlns="http://schemas.openxmlformats.org/package/2006/relationships"><Relationship Id="rId1" Type="http://schemas.openxmlformats.org/officeDocument/2006/relationships/image" Target="media/image12.jpg"/></Relationships>
</file>

<file path=word/_rels/header3.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32</Pages>
  <Words>8737</Words>
  <Characters>49802</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Pacific Regional Environmental Accounts Incorporating Ocean Accounts</dc:title>
  <dc:creator>FAME Economics</dc:creator>
  <cp:keywords/>
  <cp:lastModifiedBy>James Hogan</cp:lastModifiedBy>
  <cp:revision>2</cp:revision>
  <dcterms:created xsi:type="dcterms:W3CDTF">2025-07-31T04:42:00Z</dcterms:created>
  <dcterms:modified xsi:type="dcterms:W3CDTF">2025-07-31T08:05:00Z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31 July 2025</vt:lpwstr>
  </property>
  <property fmtid="{D5CDD505-2E9C-101B-9397-08002B2CF9AE}" pid="3" name="output">
    <vt:lpwstr/>
  </property>
  <property fmtid="{D5CDD505-2E9C-101B-9397-08002B2CF9AE}" pid="4" name="subtitle">
    <vt:lpwstr>An SPC Digital Earth Pacific Data Source and Foundation Augmented with FAME and GEM Data</vt:lpwstr>
  </property>
</Properties>
</file>