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0D24A3" w14:textId="77777777" w:rsidR="00F903CE" w:rsidRDefault="00FB0299">
      <w:pPr>
        <w:pStyle w:val="Title"/>
      </w:pPr>
      <w:r>
        <w:t>Pacific Regional Environmental Accounts Incorporating Ocean Accounts</w:t>
      </w:r>
    </w:p>
    <w:p w14:paraId="534364A5" w14:textId="77777777" w:rsidR="00F903CE" w:rsidRDefault="00FB0299">
      <w:pPr>
        <w:pStyle w:val="Subtitle"/>
      </w:pPr>
      <w:r>
        <w:t>An SPC Digital Earth Pacific Data Source and Foundation Augmented with FAME and GEM Data</w:t>
      </w:r>
    </w:p>
    <w:p w14:paraId="5B78E934" w14:textId="77777777" w:rsidR="00F903CE" w:rsidRDefault="00FB0299">
      <w:pPr>
        <w:pStyle w:val="Author"/>
      </w:pPr>
      <w:r>
        <w:t>FAME Economics</w:t>
      </w:r>
    </w:p>
    <w:p w14:paraId="489752DF" w14:textId="77777777" w:rsidR="00F903CE" w:rsidRDefault="00FB0299">
      <w:pPr>
        <w:pStyle w:val="Date"/>
      </w:pPr>
      <w:r>
        <w:t>30 July 2025</w:t>
      </w:r>
    </w:p>
    <w:p w14:paraId="70530CD3" w14:textId="77777777" w:rsidR="00F903CE" w:rsidRDefault="00FB0299">
      <w:r>
        <w:br w:type="page"/>
      </w:r>
    </w:p>
    <w:p w14:paraId="3D1FF65C" w14:textId="77777777" w:rsidR="00F903CE" w:rsidRDefault="00FB0299">
      <w:pPr>
        <w:pStyle w:val="Heading1"/>
      </w:pPr>
      <w:bookmarkStart w:id="0" w:name="introduction"/>
      <w:r>
        <w:lastRenderedPageBreak/>
        <w:t>Introduction</w:t>
      </w:r>
    </w:p>
    <w:p w14:paraId="0E3AFD11" w14:textId="77777777" w:rsidR="00F903CE" w:rsidRDefault="00FB0299">
      <w:pPr>
        <w:pStyle w:val="FirstParagraph"/>
      </w:pPr>
      <w:r>
        <w:t>For most of the 20th century, and up until relatively recently into the 21st century, the environment’s contribution to economic production had received little statistical measurement attention.</w:t>
      </w:r>
    </w:p>
    <w:p w14:paraId="080B4042" w14:textId="77777777" w:rsidR="00F903CE" w:rsidRDefault="00FB0299">
      <w:pPr>
        <w:pStyle w:val="BodyText"/>
      </w:pPr>
      <w:r>
        <w:t>Measuring countries economic processes had, since 1947, been guided by the United Nations Systems of National Accounts (SNA)</w:t>
      </w:r>
      <w:r>
        <w:rPr>
          <w:rStyle w:val="FootnoteReference"/>
        </w:rPr>
        <w:footnoteReference w:id="1"/>
      </w:r>
      <w:r>
        <w:t>: a statistical methodological framework that maintained a robust adherance to a standard suite of economic measures that enabled countries to recover from the 1930’s Great Depression and fund the Second World War, despite a growing body of evidence that these issues had indeed been solved, and the world was now facing a new set of issues needing an expanded suite of economic metrics.</w:t>
      </w:r>
    </w:p>
    <w:p w14:paraId="32ACD79A" w14:textId="77777777" w:rsidR="00F903CE" w:rsidRDefault="00FB0299">
      <w:pPr>
        <w:pStyle w:val="BodyText"/>
      </w:pPr>
      <w:r>
        <w:t xml:space="preserve">What was becoming </w:t>
      </w:r>
      <w:r>
        <w:rPr>
          <w:i/>
          <w:iCs/>
        </w:rPr>
        <w:t>Issue de Jure</w:t>
      </w:r>
      <w:r>
        <w:t xml:space="preserve"> for countries - climate change - was not on the national accounting statistical radar until 1987 and the publication of the </w:t>
      </w:r>
      <w:r>
        <w:rPr>
          <w:i/>
          <w:iCs/>
        </w:rPr>
        <w:t>Brudtland Report</w:t>
      </w:r>
      <w:r>
        <w:t>.</w:t>
      </w:r>
      <w:r>
        <w:rPr>
          <w:rStyle w:val="FootnoteReference"/>
        </w:rPr>
        <w:footnoteReference w:id="2"/>
      </w:r>
      <w:r>
        <w:t xml:space="preserve"> The latest statistical framework with its origins from that report is the United Nations System of Environmental-Economic Accounts - Central Frame (SEEA-CF)</w:t>
      </w:r>
      <w:r>
        <w:rPr>
          <w:rStyle w:val="FootnoteReference"/>
        </w:rPr>
        <w:footnoteReference w:id="3"/>
      </w:r>
      <w:r>
        <w:t>: a robust suite of measures that both supports SNA measures and reflects SNA principals.</w:t>
      </w:r>
    </w:p>
    <w:p w14:paraId="2BD80E8E" w14:textId="77777777" w:rsidR="00F903CE" w:rsidRDefault="00FB0299">
      <w:pPr>
        <w:pStyle w:val="BodyText"/>
      </w:pPr>
      <w:r>
        <w:t xml:space="preserve">SEEA-CF and its theoretical companion, the System of Environmental-Economic Accounts - Exosystem Accounting (SEEA-EA), create a suite of environment statistical measures that are designed to complement the economics metrics from the SNA. Countries now have the </w:t>
      </w:r>
      <w:r>
        <w:rPr>
          <w:i/>
          <w:iCs/>
        </w:rPr>
        <w:t>theoretical</w:t>
      </w:r>
      <w:r>
        <w:t xml:space="preserve"> tools for connecting changes in their economic systems to environmental changes, and (importantly) </w:t>
      </w:r>
      <w:r>
        <w:rPr>
          <w:b/>
          <w:bCs/>
          <w:i/>
          <w:iCs/>
        </w:rPr>
        <w:t>vice versa</w:t>
      </w:r>
      <w:r>
        <w:t>.</w:t>
      </w:r>
    </w:p>
    <w:p w14:paraId="1AB32EBC" w14:textId="77777777" w:rsidR="00F903CE" w:rsidRDefault="00FB0299">
      <w:pPr>
        <w:pStyle w:val="Heading2"/>
      </w:pPr>
      <w:bookmarkStart w:id="1" w:name="remote-sensing-is-relatively-cheap"/>
      <w:r>
        <w:t>Remote sensing is relatively cheap</w:t>
      </w:r>
    </w:p>
    <w:p w14:paraId="6714B145" w14:textId="77777777" w:rsidR="00F903CE" w:rsidRDefault="00FB0299">
      <w:pPr>
        <w:pStyle w:val="FirstParagraph"/>
      </w:pPr>
      <w:r>
        <w:t>In an age where earth-observing satellite systems encompass the planet, the cost of employing remote-sensing satellite technologies for statistically measuring the environment is now relatively low.</w:t>
      </w:r>
    </w:p>
    <w:p w14:paraId="1FE18F24" w14:textId="77777777" w:rsidR="00F903CE" w:rsidRDefault="00FB0299">
      <w:pPr>
        <w:pStyle w:val="BodyText"/>
      </w:pPr>
      <w:r>
        <w:t>The Pacific Community’s (SPC) Digital Earth Pacific (DEP) platform is capable of measuring member country environmental assets through remote-sensing. DEP can measure both land and some near-shore ocean-based environmental assets for all SPC member countries at the same time. DEP can also take repeated periodic measures, enabling change measures to be derived, and capture the impact of climate on member countries. In the future, DEP might also create measures of ocean-based pollution.</w:t>
      </w:r>
    </w:p>
    <w:p w14:paraId="2B3D2136" w14:textId="77777777" w:rsidR="00F903CE" w:rsidRDefault="00FB0299">
      <w:pPr>
        <w:pStyle w:val="Heading2"/>
      </w:pPr>
      <w:bookmarkStart w:id="2" w:name="Xf22ae90a6531a2484e42cf05b7b47a65bc1731b"/>
      <w:bookmarkEnd w:id="1"/>
      <w:r>
        <w:t>The value of simulatenously measuring both the enviromental and the economic system is high</w:t>
      </w:r>
    </w:p>
    <w:p w14:paraId="632FD2E1" w14:textId="77777777" w:rsidR="00F903CE" w:rsidRDefault="00FB0299">
      <w:pPr>
        <w:pStyle w:val="FirstParagraph"/>
      </w:pPr>
      <w:r>
        <w:t>Unlike large countries with larger land-bases, the scarcity of land areas relative to the areas of their Exclusive Economic Zones (EEZ) implies the bulk of Pacific Island Countries and Territories (PICTs) exploitable economic resources are marine-based.</w:t>
      </w:r>
    </w:p>
    <w:p w14:paraId="3CB9FFC5" w14:textId="4A67666A" w:rsidR="00F903CE" w:rsidRDefault="00FB0299">
      <w:pPr>
        <w:pStyle w:val="BodyText"/>
      </w:pPr>
      <w:r>
        <w:lastRenderedPageBreak/>
        <w:t xml:space="preserve">For PICTs, SEEA-CF allows countries to </w:t>
      </w:r>
      <w:proofErr w:type="gramStart"/>
      <w:r>
        <w:t>understanding</w:t>
      </w:r>
      <w:proofErr w:type="gramEnd"/>
      <w:r>
        <w:t xml:space="preserve"> how value is created within their environment, and how their environment also shapes their economic opportunities. Understanding the impact of economic change on their environmental capital enables alternative choices, trade-offs and opportunities to be considered.</w:t>
      </w:r>
    </w:p>
    <w:p w14:paraId="01240145" w14:textId="29792E0C" w:rsidR="00F903CE" w:rsidRDefault="00FB0299">
      <w:pPr>
        <w:pStyle w:val="ImageCaption"/>
      </w:pPr>
      <w:bookmarkStart w:id="3" w:name="fig:unnamed-chunk-1"/>
      <w:bookmarkEnd w:id="3"/>
      <w:r>
        <w:rPr>
          <w:noProof/>
        </w:rPr>
        <w:drawing>
          <wp:anchor distT="0" distB="0" distL="114300" distR="114300" simplePos="0" relativeHeight="251657216" behindDoc="0" locked="0" layoutInCell="1" allowOverlap="1" wp14:anchorId="1B21A3C2" wp14:editId="39DBF397">
            <wp:simplePos x="0" y="0"/>
            <wp:positionH relativeFrom="column">
              <wp:posOffset>-656590</wp:posOffset>
            </wp:positionH>
            <wp:positionV relativeFrom="paragraph">
              <wp:posOffset>302895</wp:posOffset>
            </wp:positionV>
            <wp:extent cx="6588125" cy="4407535"/>
            <wp:effectExtent l="0" t="0" r="0" b="0"/>
            <wp:wrapSquare wrapText="bothSides"/>
            <wp:docPr id="28" name="Picture" descr="Figure 1: Distribution of countries, by land size relative to EEZ size (World Bank Groupings)"/>
            <wp:cNvGraphicFramePr/>
            <a:graphic xmlns:a="http://schemas.openxmlformats.org/drawingml/2006/main">
              <a:graphicData uri="http://schemas.openxmlformats.org/drawingml/2006/picture">
                <pic:pic xmlns:pic="http://schemas.openxmlformats.org/drawingml/2006/picture">
                  <pic:nvPicPr>
                    <pic:cNvPr id="29" name="Picture" descr="Graphical_Output/Relative%20Land%20Area%20to%20EEZ.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588125" cy="440753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Figure 1: Distribution of </w:t>
      </w:r>
      <w:proofErr w:type="gramStart"/>
      <w:r>
        <w:t>countries,</w:t>
      </w:r>
      <w:proofErr w:type="gramEnd"/>
      <w:r>
        <w:t xml:space="preserve"> by land size relative to EEZ size (World Bank Groupings)</w:t>
      </w:r>
    </w:p>
    <w:p w14:paraId="5D51776D" w14:textId="77777777" w:rsidR="00F903CE" w:rsidRDefault="00FB0299">
      <w:pPr>
        <w:pStyle w:val="BodyText"/>
      </w:pPr>
      <w:r>
        <w:rPr>
          <w:i/>
          <w:iCs/>
        </w:rPr>
        <w:t>Note:* These are: Clipperton Island, Maldives, Mauritius, Saint Helena, Seychelles, South Georgia and the South Sandwich Islands</w:t>
      </w:r>
    </w:p>
    <w:p w14:paraId="195F75C1" w14:textId="77777777" w:rsidR="00F903CE" w:rsidRDefault="00FB0299">
      <w:pPr>
        <w:pStyle w:val="Heading2"/>
      </w:pPr>
      <w:bookmarkStart w:id="4" w:name="X3c70df172ffd861583029f34371a7dc735fa298"/>
      <w:bookmarkEnd w:id="2"/>
      <w:r>
        <w:t>Weather extremes regularly destroy PICTs land-based capital</w:t>
      </w:r>
    </w:p>
    <w:p w14:paraId="7E35344B" w14:textId="77777777" w:rsidR="00F903CE" w:rsidRDefault="00FB0299">
      <w:pPr>
        <w:pStyle w:val="FirstParagraph"/>
      </w:pPr>
      <w:r>
        <w:t>The twin issues of rebuilding from and adapting to present day climate change, and securing meaningful and valuable sources of economic value are hot topics for PICTs policy-makers. Rising sea levels and coastal erosion, together with increasingly violent and frequent weather extremes, decimate PICT land-based productive physical capital reducing their land-based capital stock, and lowering their economic growth potential.</w:t>
      </w:r>
    </w:p>
    <w:p w14:paraId="5A241083" w14:textId="77777777" w:rsidR="00F903CE" w:rsidRDefault="00FB0299">
      <w:pPr>
        <w:pStyle w:val="BodyText"/>
      </w:pPr>
      <w:r>
        <w:t>Recovering from tropical cyclones and rebuilding buildings and equipment also saps scarce resources. The lastest statistics from Kiribati’ “Kiribati Natural Disasters and Climate Change Survey Report 2023–2024”</w:t>
      </w:r>
      <w:r>
        <w:rPr>
          <w:rStyle w:val="FootnoteReference"/>
        </w:rPr>
        <w:footnoteReference w:id="4"/>
      </w:r>
      <w:r>
        <w:t xml:space="preserve"> provides some scale to how climate change is impacting PICTs.</w:t>
      </w:r>
    </w:p>
    <w:p w14:paraId="349A67C1" w14:textId="77777777" w:rsidR="00F903CE" w:rsidRDefault="00FB0299">
      <w:pPr>
        <w:pStyle w:val="BodyText"/>
      </w:pPr>
      <w:r>
        <w:t>During the 2023–2024 period:</w:t>
      </w:r>
    </w:p>
    <w:p w14:paraId="228B1BC0" w14:textId="77777777" w:rsidR="00F903CE" w:rsidRDefault="00FB0299">
      <w:pPr>
        <w:numPr>
          <w:ilvl w:val="0"/>
          <w:numId w:val="11"/>
        </w:numPr>
      </w:pPr>
      <w:r>
        <w:lastRenderedPageBreak/>
        <w:t>A quarter (25%) of households reported being impacted by at least one natural disaster.</w:t>
      </w:r>
    </w:p>
    <w:p w14:paraId="4DB456E9" w14:textId="77777777" w:rsidR="00F903CE" w:rsidRDefault="00FB0299">
      <w:pPr>
        <w:numPr>
          <w:ilvl w:val="0"/>
          <w:numId w:val="11"/>
        </w:numPr>
      </w:pPr>
      <w:r>
        <w:t>The estimated economic losses from climate change totaled $1.25 million (AUD), with housing and agriculture most affected.</w:t>
      </w:r>
    </w:p>
    <w:p w14:paraId="1A771166" w14:textId="77777777" w:rsidR="00F903CE" w:rsidRDefault="00FB0299">
      <w:pPr>
        <w:numPr>
          <w:ilvl w:val="0"/>
          <w:numId w:val="11"/>
        </w:numPr>
      </w:pPr>
      <w:r>
        <w:t>Three-fifths (60%) of affected households experienced damage to their homes — mostly due to strong winds and heavy rain.</w:t>
      </w:r>
    </w:p>
    <w:p w14:paraId="64E326FB" w14:textId="77777777" w:rsidR="00F903CE" w:rsidRDefault="00FB0299">
      <w:pPr>
        <w:numPr>
          <w:ilvl w:val="0"/>
          <w:numId w:val="11"/>
        </w:numPr>
      </w:pPr>
      <w:r>
        <w:t>A quarter (26%) of households affected by disasters reported agricultural losses, with drought the leading cause.</w:t>
      </w:r>
    </w:p>
    <w:p w14:paraId="795B5C79" w14:textId="77777777" w:rsidR="00F903CE" w:rsidRDefault="00FB0299">
      <w:pPr>
        <w:numPr>
          <w:ilvl w:val="0"/>
          <w:numId w:val="11"/>
        </w:numPr>
      </w:pPr>
      <w:r>
        <w:t>One in 10 (10%) of households affected by disasters experienced health issues linked to climate events, including extreme heat and flooding.</w:t>
      </w:r>
    </w:p>
    <w:p w14:paraId="40F7805F" w14:textId="77777777" w:rsidR="00F903CE" w:rsidRDefault="00FB0299">
      <w:pPr>
        <w:numPr>
          <w:ilvl w:val="0"/>
          <w:numId w:val="11"/>
        </w:numPr>
      </w:pPr>
      <w:r>
        <w:t>Nearly 4,000 people were temporarily relocated due to natural disasters.</w:t>
      </w:r>
    </w:p>
    <w:p w14:paraId="7204A46F" w14:textId="77777777" w:rsidR="00F903CE" w:rsidRDefault="00FB0299">
      <w:pPr>
        <w:pStyle w:val="Heading2"/>
      </w:pPr>
      <w:bookmarkStart w:id="5" w:name="Xf0d6de73a9b7681d13b2e0f9646087cb412aa50"/>
      <w:bookmarkEnd w:id="4"/>
      <w:r>
        <w:t>Ocean-based capital is more weather resilent</w:t>
      </w:r>
    </w:p>
    <w:p w14:paraId="3725340E" w14:textId="77777777" w:rsidR="00F903CE" w:rsidRDefault="00FB0299">
      <w:pPr>
        <w:pStyle w:val="FirstParagraph"/>
      </w:pPr>
      <w:r>
        <w:t>Environmental within and Ocean perspective offer PICTs an economic alternative. Through estimating the volume and type of ocean-based capital, the estimated value of ocean-based economic production can be quantified and potentially tapped. Fishing stocks and mineral deposits - ocean-based capital - present opportunities for PICTs to tap into overseas sources of funding, and generate value export incomes and licencing revenues independent of their land-based capital.</w:t>
      </w:r>
    </w:p>
    <w:p w14:paraId="294ACF22" w14:textId="77777777" w:rsidR="00F903CE" w:rsidRDefault="00FB0299">
      <w:pPr>
        <w:pStyle w:val="BodyText"/>
      </w:pPr>
      <w:r>
        <w:t>Unlike physical productive capital - factories, farms and land-based mechinery - ocean-based capital is less weather dependent and more resiliant against weather extremes.</w:t>
      </w:r>
    </w:p>
    <w:p w14:paraId="35F92138" w14:textId="77777777" w:rsidR="00F903CE" w:rsidRDefault="00FB0299">
      <w:pPr>
        <w:pStyle w:val="BodyText"/>
      </w:pPr>
      <w:r>
        <w:t>As seen from Table 1</w:t>
      </w:r>
      <w:r>
        <w:t>, PICTs have generated an average $US463.66 million per year over the last 10 years from fishing license fees of tuna alone,</w:t>
      </w:r>
    </w:p>
    <w:p w14:paraId="317C4154" w14:textId="77777777" w:rsidR="00F903CE" w:rsidRDefault="00FB0299">
      <w:pPr>
        <w:pStyle w:val="TableCaption"/>
      </w:pPr>
      <w:bookmarkStart w:id="6" w:name="tab:LicenseRevenues"/>
      <w:bookmarkEnd w:id="6"/>
      <w:r>
        <w:t>Table 1: Tuna Revenues: Access fees for offshore fishing 2014–2023 - $US Millions</w:t>
      </w:r>
    </w:p>
    <w:tbl>
      <w:tblPr>
        <w:tblStyle w:val="Table"/>
        <w:tblW w:w="5386" w:type="pct"/>
        <w:tblBorders>
          <w:top w:val="single" w:sz="4" w:space="0" w:color="auto"/>
          <w:left w:val="single" w:sz="4" w:space="0" w:color="auto"/>
          <w:bottom w:val="single" w:sz="4" w:space="0" w:color="auto"/>
          <w:right w:val="single" w:sz="4" w:space="0" w:color="auto"/>
        </w:tblBorders>
        <w:tblLayout w:type="fixed"/>
        <w:tblLook w:val="0020" w:firstRow="1" w:lastRow="0" w:firstColumn="0" w:lastColumn="0" w:noHBand="0" w:noVBand="0"/>
        <w:tblCaption w:val="Table 1: Tuna Revenues: Access fees for offshore fishing 2014–2023 - $US Millions"/>
      </w:tblPr>
      <w:tblGrid>
        <w:gridCol w:w="1810"/>
        <w:gridCol w:w="746"/>
        <w:gridCol w:w="814"/>
        <w:gridCol w:w="850"/>
        <w:gridCol w:w="709"/>
        <w:gridCol w:w="709"/>
        <w:gridCol w:w="708"/>
        <w:gridCol w:w="709"/>
        <w:gridCol w:w="709"/>
        <w:gridCol w:w="708"/>
        <w:gridCol w:w="708"/>
      </w:tblGrid>
      <w:tr w:rsidR="00F903CE" w14:paraId="11A92BAA" w14:textId="77777777" w:rsidTr="00FB0299">
        <w:trPr>
          <w:tblHeader/>
        </w:trPr>
        <w:tc>
          <w:tcPr>
            <w:tcW w:w="1810" w:type="dxa"/>
            <w:tcBorders>
              <w:top w:val="single" w:sz="4" w:space="0" w:color="auto"/>
              <w:bottom w:val="single" w:sz="4" w:space="0" w:color="auto"/>
              <w:right w:val="single" w:sz="4" w:space="0" w:color="auto"/>
            </w:tcBorders>
          </w:tcPr>
          <w:p w14:paraId="06E30125" w14:textId="77777777" w:rsidR="00F903CE" w:rsidRPr="00FB0299" w:rsidRDefault="00FB0299">
            <w:pPr>
              <w:pStyle w:val="Compact"/>
              <w:jc w:val="left"/>
              <w:rPr>
                <w:sz w:val="18"/>
                <w:szCs w:val="20"/>
              </w:rPr>
            </w:pPr>
            <w:r w:rsidRPr="00FB0299">
              <w:rPr>
                <w:sz w:val="18"/>
                <w:szCs w:val="20"/>
              </w:rPr>
              <w:t>Country</w:t>
            </w:r>
          </w:p>
        </w:tc>
        <w:tc>
          <w:tcPr>
            <w:tcW w:w="746" w:type="dxa"/>
            <w:tcBorders>
              <w:top w:val="single" w:sz="4" w:space="0" w:color="auto"/>
              <w:left w:val="single" w:sz="4" w:space="0" w:color="auto"/>
              <w:bottom w:val="single" w:sz="4" w:space="0" w:color="auto"/>
            </w:tcBorders>
          </w:tcPr>
          <w:p w14:paraId="4DAFA2CF" w14:textId="77777777" w:rsidR="00F903CE" w:rsidRPr="00FB0299" w:rsidRDefault="00FB0299">
            <w:pPr>
              <w:pStyle w:val="Compact"/>
              <w:jc w:val="right"/>
              <w:rPr>
                <w:sz w:val="18"/>
                <w:szCs w:val="20"/>
              </w:rPr>
            </w:pPr>
            <w:r w:rsidRPr="00FB0299">
              <w:rPr>
                <w:sz w:val="18"/>
                <w:szCs w:val="20"/>
              </w:rPr>
              <w:t>2014</w:t>
            </w:r>
          </w:p>
        </w:tc>
        <w:tc>
          <w:tcPr>
            <w:tcW w:w="814" w:type="dxa"/>
            <w:tcBorders>
              <w:top w:val="single" w:sz="4" w:space="0" w:color="auto"/>
              <w:bottom w:val="single" w:sz="4" w:space="0" w:color="auto"/>
            </w:tcBorders>
          </w:tcPr>
          <w:p w14:paraId="6605CC25" w14:textId="77777777" w:rsidR="00F903CE" w:rsidRPr="00FB0299" w:rsidRDefault="00FB0299">
            <w:pPr>
              <w:pStyle w:val="Compact"/>
              <w:jc w:val="right"/>
              <w:rPr>
                <w:sz w:val="18"/>
                <w:szCs w:val="20"/>
              </w:rPr>
            </w:pPr>
            <w:r w:rsidRPr="00FB0299">
              <w:rPr>
                <w:sz w:val="18"/>
                <w:szCs w:val="20"/>
              </w:rPr>
              <w:t>2015</w:t>
            </w:r>
          </w:p>
        </w:tc>
        <w:tc>
          <w:tcPr>
            <w:tcW w:w="850" w:type="dxa"/>
            <w:tcBorders>
              <w:top w:val="single" w:sz="4" w:space="0" w:color="auto"/>
              <w:bottom w:val="single" w:sz="4" w:space="0" w:color="auto"/>
            </w:tcBorders>
          </w:tcPr>
          <w:p w14:paraId="07758555" w14:textId="77777777" w:rsidR="00F903CE" w:rsidRPr="00FB0299" w:rsidRDefault="00FB0299">
            <w:pPr>
              <w:pStyle w:val="Compact"/>
              <w:jc w:val="right"/>
              <w:rPr>
                <w:sz w:val="18"/>
                <w:szCs w:val="20"/>
              </w:rPr>
            </w:pPr>
            <w:r w:rsidRPr="00FB0299">
              <w:rPr>
                <w:sz w:val="18"/>
                <w:szCs w:val="20"/>
              </w:rPr>
              <w:t>2016</w:t>
            </w:r>
          </w:p>
        </w:tc>
        <w:tc>
          <w:tcPr>
            <w:tcW w:w="709" w:type="dxa"/>
            <w:tcBorders>
              <w:top w:val="single" w:sz="4" w:space="0" w:color="auto"/>
              <w:bottom w:val="single" w:sz="4" w:space="0" w:color="auto"/>
            </w:tcBorders>
          </w:tcPr>
          <w:p w14:paraId="4288B1D8" w14:textId="77777777" w:rsidR="00F903CE" w:rsidRPr="00FB0299" w:rsidRDefault="00FB0299">
            <w:pPr>
              <w:pStyle w:val="Compact"/>
              <w:jc w:val="right"/>
              <w:rPr>
                <w:sz w:val="18"/>
                <w:szCs w:val="20"/>
              </w:rPr>
            </w:pPr>
            <w:r w:rsidRPr="00FB0299">
              <w:rPr>
                <w:sz w:val="18"/>
                <w:szCs w:val="20"/>
              </w:rPr>
              <w:t>2017</w:t>
            </w:r>
          </w:p>
        </w:tc>
        <w:tc>
          <w:tcPr>
            <w:tcW w:w="709" w:type="dxa"/>
            <w:tcBorders>
              <w:top w:val="single" w:sz="4" w:space="0" w:color="auto"/>
              <w:bottom w:val="single" w:sz="4" w:space="0" w:color="auto"/>
            </w:tcBorders>
          </w:tcPr>
          <w:p w14:paraId="111B8C81" w14:textId="77777777" w:rsidR="00F903CE" w:rsidRPr="00FB0299" w:rsidRDefault="00FB0299">
            <w:pPr>
              <w:pStyle w:val="Compact"/>
              <w:jc w:val="right"/>
              <w:rPr>
                <w:sz w:val="18"/>
                <w:szCs w:val="20"/>
              </w:rPr>
            </w:pPr>
            <w:r w:rsidRPr="00FB0299">
              <w:rPr>
                <w:sz w:val="18"/>
                <w:szCs w:val="20"/>
              </w:rPr>
              <w:t>2018</w:t>
            </w:r>
          </w:p>
        </w:tc>
        <w:tc>
          <w:tcPr>
            <w:tcW w:w="708" w:type="dxa"/>
            <w:tcBorders>
              <w:top w:val="single" w:sz="4" w:space="0" w:color="auto"/>
              <w:bottom w:val="single" w:sz="4" w:space="0" w:color="auto"/>
            </w:tcBorders>
          </w:tcPr>
          <w:p w14:paraId="68E9ECF4" w14:textId="77777777" w:rsidR="00F903CE" w:rsidRPr="00FB0299" w:rsidRDefault="00FB0299">
            <w:pPr>
              <w:pStyle w:val="Compact"/>
              <w:jc w:val="right"/>
              <w:rPr>
                <w:sz w:val="18"/>
                <w:szCs w:val="20"/>
              </w:rPr>
            </w:pPr>
            <w:r w:rsidRPr="00FB0299">
              <w:rPr>
                <w:sz w:val="18"/>
                <w:szCs w:val="20"/>
              </w:rPr>
              <w:t>2019</w:t>
            </w:r>
          </w:p>
        </w:tc>
        <w:tc>
          <w:tcPr>
            <w:tcW w:w="709" w:type="dxa"/>
            <w:tcBorders>
              <w:top w:val="single" w:sz="4" w:space="0" w:color="auto"/>
              <w:bottom w:val="single" w:sz="4" w:space="0" w:color="auto"/>
            </w:tcBorders>
          </w:tcPr>
          <w:p w14:paraId="71344067" w14:textId="77777777" w:rsidR="00F903CE" w:rsidRPr="00FB0299" w:rsidRDefault="00FB0299">
            <w:pPr>
              <w:pStyle w:val="Compact"/>
              <w:jc w:val="right"/>
              <w:rPr>
                <w:sz w:val="18"/>
                <w:szCs w:val="20"/>
              </w:rPr>
            </w:pPr>
            <w:r w:rsidRPr="00FB0299">
              <w:rPr>
                <w:sz w:val="18"/>
                <w:szCs w:val="20"/>
              </w:rPr>
              <w:t>2020</w:t>
            </w:r>
          </w:p>
        </w:tc>
        <w:tc>
          <w:tcPr>
            <w:tcW w:w="709" w:type="dxa"/>
            <w:tcBorders>
              <w:top w:val="single" w:sz="4" w:space="0" w:color="auto"/>
              <w:bottom w:val="single" w:sz="4" w:space="0" w:color="auto"/>
            </w:tcBorders>
          </w:tcPr>
          <w:p w14:paraId="7C97A19B" w14:textId="77777777" w:rsidR="00F903CE" w:rsidRPr="00FB0299" w:rsidRDefault="00FB0299">
            <w:pPr>
              <w:pStyle w:val="Compact"/>
              <w:jc w:val="right"/>
              <w:rPr>
                <w:sz w:val="18"/>
                <w:szCs w:val="20"/>
              </w:rPr>
            </w:pPr>
            <w:r w:rsidRPr="00FB0299">
              <w:rPr>
                <w:sz w:val="18"/>
                <w:szCs w:val="20"/>
              </w:rPr>
              <w:t>2021</w:t>
            </w:r>
          </w:p>
        </w:tc>
        <w:tc>
          <w:tcPr>
            <w:tcW w:w="708" w:type="dxa"/>
            <w:tcBorders>
              <w:top w:val="single" w:sz="4" w:space="0" w:color="auto"/>
              <w:bottom w:val="single" w:sz="4" w:space="0" w:color="auto"/>
            </w:tcBorders>
          </w:tcPr>
          <w:p w14:paraId="601FB09E" w14:textId="77777777" w:rsidR="00F903CE" w:rsidRPr="00FB0299" w:rsidRDefault="00FB0299">
            <w:pPr>
              <w:pStyle w:val="Compact"/>
              <w:jc w:val="right"/>
              <w:rPr>
                <w:sz w:val="18"/>
                <w:szCs w:val="20"/>
              </w:rPr>
            </w:pPr>
            <w:r w:rsidRPr="00FB0299">
              <w:rPr>
                <w:sz w:val="18"/>
                <w:szCs w:val="20"/>
              </w:rPr>
              <w:t>2022</w:t>
            </w:r>
          </w:p>
        </w:tc>
        <w:tc>
          <w:tcPr>
            <w:tcW w:w="708" w:type="dxa"/>
            <w:tcBorders>
              <w:top w:val="single" w:sz="4" w:space="0" w:color="auto"/>
              <w:bottom w:val="single" w:sz="4" w:space="0" w:color="auto"/>
            </w:tcBorders>
          </w:tcPr>
          <w:p w14:paraId="3AC77A3C" w14:textId="77777777" w:rsidR="00F903CE" w:rsidRPr="00FB0299" w:rsidRDefault="00FB0299">
            <w:pPr>
              <w:pStyle w:val="Compact"/>
              <w:jc w:val="right"/>
              <w:rPr>
                <w:sz w:val="18"/>
                <w:szCs w:val="20"/>
              </w:rPr>
            </w:pPr>
            <w:r w:rsidRPr="00FB0299">
              <w:rPr>
                <w:sz w:val="18"/>
                <w:szCs w:val="20"/>
              </w:rPr>
              <w:t>2023</w:t>
            </w:r>
          </w:p>
        </w:tc>
      </w:tr>
      <w:tr w:rsidR="00F903CE" w14:paraId="10BE41B2" w14:textId="77777777" w:rsidTr="00FB0299">
        <w:tc>
          <w:tcPr>
            <w:tcW w:w="1810" w:type="dxa"/>
            <w:tcBorders>
              <w:top w:val="single" w:sz="4" w:space="0" w:color="auto"/>
              <w:bottom w:val="single" w:sz="4" w:space="0" w:color="auto"/>
              <w:right w:val="single" w:sz="4" w:space="0" w:color="auto"/>
            </w:tcBorders>
          </w:tcPr>
          <w:p w14:paraId="21FCC066" w14:textId="77777777" w:rsidR="00F903CE" w:rsidRPr="00FB0299" w:rsidRDefault="00FB0299">
            <w:pPr>
              <w:pStyle w:val="Compact"/>
              <w:jc w:val="left"/>
              <w:rPr>
                <w:sz w:val="18"/>
                <w:szCs w:val="20"/>
              </w:rPr>
            </w:pPr>
            <w:r w:rsidRPr="00FB0299">
              <w:rPr>
                <w:sz w:val="18"/>
                <w:szCs w:val="20"/>
              </w:rPr>
              <w:t>Total Fishing License Revenue</w:t>
            </w:r>
          </w:p>
        </w:tc>
        <w:tc>
          <w:tcPr>
            <w:tcW w:w="746" w:type="dxa"/>
            <w:tcBorders>
              <w:top w:val="single" w:sz="4" w:space="0" w:color="auto"/>
              <w:left w:val="single" w:sz="4" w:space="0" w:color="auto"/>
            </w:tcBorders>
          </w:tcPr>
          <w:p w14:paraId="786DBFE6" w14:textId="77777777" w:rsidR="00F903CE" w:rsidRPr="00FB0299" w:rsidRDefault="00FB0299">
            <w:pPr>
              <w:pStyle w:val="Compact"/>
              <w:jc w:val="right"/>
              <w:rPr>
                <w:sz w:val="18"/>
                <w:szCs w:val="20"/>
              </w:rPr>
            </w:pPr>
            <w:r w:rsidRPr="00FB0299">
              <w:rPr>
                <w:sz w:val="18"/>
                <w:szCs w:val="20"/>
              </w:rPr>
              <w:t>370.6</w:t>
            </w:r>
          </w:p>
        </w:tc>
        <w:tc>
          <w:tcPr>
            <w:tcW w:w="814" w:type="dxa"/>
            <w:tcBorders>
              <w:top w:val="single" w:sz="4" w:space="0" w:color="auto"/>
            </w:tcBorders>
          </w:tcPr>
          <w:p w14:paraId="2567D943" w14:textId="77777777" w:rsidR="00F903CE" w:rsidRPr="00FB0299" w:rsidRDefault="00FB0299">
            <w:pPr>
              <w:pStyle w:val="Compact"/>
              <w:jc w:val="right"/>
              <w:rPr>
                <w:sz w:val="18"/>
                <w:szCs w:val="20"/>
              </w:rPr>
            </w:pPr>
            <w:r w:rsidRPr="00FB0299">
              <w:rPr>
                <w:sz w:val="18"/>
                <w:szCs w:val="20"/>
              </w:rPr>
              <w:t>454.4</w:t>
            </w:r>
          </w:p>
        </w:tc>
        <w:tc>
          <w:tcPr>
            <w:tcW w:w="850" w:type="dxa"/>
            <w:tcBorders>
              <w:top w:val="single" w:sz="4" w:space="0" w:color="auto"/>
            </w:tcBorders>
          </w:tcPr>
          <w:p w14:paraId="1C0698D0" w14:textId="77777777" w:rsidR="00F903CE" w:rsidRPr="00FB0299" w:rsidRDefault="00FB0299">
            <w:pPr>
              <w:pStyle w:val="Compact"/>
              <w:jc w:val="right"/>
              <w:rPr>
                <w:sz w:val="18"/>
                <w:szCs w:val="20"/>
              </w:rPr>
            </w:pPr>
            <w:r w:rsidRPr="00FB0299">
              <w:rPr>
                <w:sz w:val="18"/>
                <w:szCs w:val="20"/>
              </w:rPr>
              <w:t>446.5</w:t>
            </w:r>
          </w:p>
        </w:tc>
        <w:tc>
          <w:tcPr>
            <w:tcW w:w="709" w:type="dxa"/>
            <w:tcBorders>
              <w:top w:val="single" w:sz="4" w:space="0" w:color="auto"/>
            </w:tcBorders>
          </w:tcPr>
          <w:p w14:paraId="44212340" w14:textId="77777777" w:rsidR="00F903CE" w:rsidRPr="00FB0299" w:rsidRDefault="00FB0299">
            <w:pPr>
              <w:pStyle w:val="Compact"/>
              <w:jc w:val="right"/>
              <w:rPr>
                <w:sz w:val="18"/>
                <w:szCs w:val="20"/>
              </w:rPr>
            </w:pPr>
            <w:r w:rsidRPr="00FB0299">
              <w:rPr>
                <w:sz w:val="18"/>
                <w:szCs w:val="20"/>
              </w:rPr>
              <w:t>496.1</w:t>
            </w:r>
          </w:p>
        </w:tc>
        <w:tc>
          <w:tcPr>
            <w:tcW w:w="709" w:type="dxa"/>
            <w:tcBorders>
              <w:top w:val="single" w:sz="4" w:space="0" w:color="auto"/>
            </w:tcBorders>
          </w:tcPr>
          <w:p w14:paraId="46523739" w14:textId="77777777" w:rsidR="00F903CE" w:rsidRPr="00FB0299" w:rsidRDefault="00FB0299">
            <w:pPr>
              <w:pStyle w:val="Compact"/>
              <w:jc w:val="right"/>
              <w:rPr>
                <w:sz w:val="18"/>
                <w:szCs w:val="20"/>
              </w:rPr>
            </w:pPr>
            <w:r w:rsidRPr="00FB0299">
              <w:rPr>
                <w:sz w:val="18"/>
                <w:szCs w:val="20"/>
              </w:rPr>
              <w:t>496.9</w:t>
            </w:r>
          </w:p>
        </w:tc>
        <w:tc>
          <w:tcPr>
            <w:tcW w:w="708" w:type="dxa"/>
            <w:tcBorders>
              <w:top w:val="single" w:sz="4" w:space="0" w:color="auto"/>
            </w:tcBorders>
          </w:tcPr>
          <w:p w14:paraId="5B1D71E7" w14:textId="77777777" w:rsidR="00F903CE" w:rsidRPr="00FB0299" w:rsidRDefault="00FB0299">
            <w:pPr>
              <w:pStyle w:val="Compact"/>
              <w:jc w:val="right"/>
              <w:rPr>
                <w:sz w:val="18"/>
                <w:szCs w:val="20"/>
              </w:rPr>
            </w:pPr>
            <w:r w:rsidRPr="00FB0299">
              <w:rPr>
                <w:sz w:val="18"/>
                <w:szCs w:val="20"/>
              </w:rPr>
              <w:t>490.3</w:t>
            </w:r>
          </w:p>
        </w:tc>
        <w:tc>
          <w:tcPr>
            <w:tcW w:w="709" w:type="dxa"/>
            <w:tcBorders>
              <w:top w:val="single" w:sz="4" w:space="0" w:color="auto"/>
            </w:tcBorders>
          </w:tcPr>
          <w:p w14:paraId="13A78FD9" w14:textId="77777777" w:rsidR="00F903CE" w:rsidRPr="00FB0299" w:rsidRDefault="00FB0299">
            <w:pPr>
              <w:pStyle w:val="Compact"/>
              <w:jc w:val="right"/>
              <w:rPr>
                <w:sz w:val="18"/>
                <w:szCs w:val="20"/>
              </w:rPr>
            </w:pPr>
            <w:r w:rsidRPr="00FB0299">
              <w:rPr>
                <w:sz w:val="18"/>
                <w:szCs w:val="20"/>
              </w:rPr>
              <w:t>481</w:t>
            </w:r>
          </w:p>
        </w:tc>
        <w:tc>
          <w:tcPr>
            <w:tcW w:w="709" w:type="dxa"/>
            <w:tcBorders>
              <w:top w:val="single" w:sz="4" w:space="0" w:color="auto"/>
            </w:tcBorders>
          </w:tcPr>
          <w:p w14:paraId="1E464503" w14:textId="77777777" w:rsidR="00F903CE" w:rsidRPr="00FB0299" w:rsidRDefault="00FB0299">
            <w:pPr>
              <w:pStyle w:val="Compact"/>
              <w:jc w:val="right"/>
              <w:rPr>
                <w:sz w:val="18"/>
                <w:szCs w:val="20"/>
              </w:rPr>
            </w:pPr>
            <w:r w:rsidRPr="00FB0299">
              <w:rPr>
                <w:sz w:val="18"/>
                <w:szCs w:val="20"/>
              </w:rPr>
              <w:t>483.5</w:t>
            </w:r>
          </w:p>
        </w:tc>
        <w:tc>
          <w:tcPr>
            <w:tcW w:w="708" w:type="dxa"/>
            <w:tcBorders>
              <w:top w:val="single" w:sz="4" w:space="0" w:color="auto"/>
            </w:tcBorders>
          </w:tcPr>
          <w:p w14:paraId="08D23B04" w14:textId="77777777" w:rsidR="00F903CE" w:rsidRPr="00FB0299" w:rsidRDefault="00FB0299">
            <w:pPr>
              <w:pStyle w:val="Compact"/>
              <w:jc w:val="right"/>
              <w:rPr>
                <w:sz w:val="18"/>
                <w:szCs w:val="20"/>
              </w:rPr>
            </w:pPr>
            <w:r w:rsidRPr="00FB0299">
              <w:rPr>
                <w:sz w:val="18"/>
                <w:szCs w:val="20"/>
              </w:rPr>
              <w:t>458.3</w:t>
            </w:r>
          </w:p>
        </w:tc>
        <w:tc>
          <w:tcPr>
            <w:tcW w:w="708" w:type="dxa"/>
            <w:tcBorders>
              <w:top w:val="single" w:sz="4" w:space="0" w:color="auto"/>
            </w:tcBorders>
          </w:tcPr>
          <w:p w14:paraId="042EC167" w14:textId="77777777" w:rsidR="00F903CE" w:rsidRPr="00FB0299" w:rsidRDefault="00FB0299">
            <w:pPr>
              <w:pStyle w:val="Compact"/>
              <w:jc w:val="right"/>
              <w:rPr>
                <w:sz w:val="18"/>
                <w:szCs w:val="20"/>
              </w:rPr>
            </w:pPr>
            <w:r w:rsidRPr="00FB0299">
              <w:rPr>
                <w:sz w:val="18"/>
                <w:szCs w:val="20"/>
              </w:rPr>
              <w:t>459</w:t>
            </w:r>
          </w:p>
        </w:tc>
      </w:tr>
    </w:tbl>
    <w:p w14:paraId="6DEB02C2" w14:textId="7365765F" w:rsidR="00F903CE" w:rsidRPr="00FB0299" w:rsidRDefault="00FB0299">
      <w:pPr>
        <w:pStyle w:val="SourceCode"/>
        <w:rPr>
          <w:sz w:val="16"/>
          <w:szCs w:val="18"/>
        </w:rPr>
      </w:pPr>
      <w:r w:rsidRPr="00FB0299">
        <w:rPr>
          <w:rStyle w:val="VerbatimChar"/>
          <w:sz w:val="16"/>
          <w:szCs w:val="18"/>
        </w:rPr>
        <w:t>Forum Fisheries Authority, Compendium of Economic and Development Statistics 2024.xlsx, https://www.ffa.int/download/economic-development-indicators-and-statistics/</w:t>
      </w:r>
    </w:p>
    <w:p w14:paraId="6BD5B60C" w14:textId="77777777" w:rsidR="00F903CE" w:rsidRDefault="00FB0299">
      <w:pPr>
        <w:pStyle w:val="FirstParagraph"/>
      </w:pPr>
      <w:r>
        <w:t>The Pacific Ocean is facing its own climate-related issues. Despite this fishing revenues generated from fishing stocks have been a constant source of PICT revenue.</w:t>
      </w:r>
    </w:p>
    <w:p w14:paraId="00B5E805" w14:textId="77777777" w:rsidR="00F903CE" w:rsidRDefault="00FB0299">
      <w:pPr>
        <w:pStyle w:val="Heading2"/>
      </w:pPr>
      <w:bookmarkStart w:id="7" w:name="X72aedb0e734406560e89ef6c455dedf8fd082e5"/>
      <w:bookmarkEnd w:id="5"/>
      <w:r>
        <w:t>Estimating, preserving and restoring biodiversity: Unlocking Blue Pacific Prosperity</w:t>
      </w:r>
    </w:p>
    <w:p w14:paraId="5D92AC74" w14:textId="77777777" w:rsidR="00F903CE" w:rsidRDefault="00FB0299">
      <w:pPr>
        <w:pStyle w:val="FirstParagraph"/>
      </w:pPr>
      <w:r>
        <w:t xml:space="preserve">The end-goal for introducing SEEA measurement into Pacific countries is to create a capability for developing the data sources around, and a technical platform that supports the measure of pacific-oceanwide </w:t>
      </w:r>
      <w:r>
        <w:rPr>
          <w:i/>
          <w:iCs/>
        </w:rPr>
        <w:t>biodiversity</w:t>
      </w:r>
      <w:r>
        <w:t xml:space="preserve"> to potentially enable economic markets in biodiversity conservation.</w:t>
      </w:r>
    </w:p>
    <w:p w14:paraId="5EEED786" w14:textId="77777777" w:rsidR="00F903CE" w:rsidRDefault="00FB0299">
      <w:pPr>
        <w:pStyle w:val="Heading3"/>
      </w:pPr>
      <w:bookmarkStart w:id="8" w:name="markets-in-biodiversity"/>
      <w:r>
        <w:lastRenderedPageBreak/>
        <w:t>Markets in biodiversity</w:t>
      </w:r>
    </w:p>
    <w:p w14:paraId="0BCF1EE0" w14:textId="77777777" w:rsidR="00F903CE" w:rsidRDefault="00FB0299">
      <w:pPr>
        <w:pStyle w:val="FirstParagraph"/>
      </w:pPr>
      <w:r>
        <w:t>Biodiversity, centrally and consistent measured using authoratative and sciencifically valid data sources, offers a new potential source for new markets in conservation and biodiversity protection. Potentially (and ironically), as climate change worsens, the most valuable aspect of the Pacific Ocean could be the continued existance of its rich and life-sustaining biodiversity.</w:t>
      </w:r>
    </w:p>
    <w:p w14:paraId="23E04022" w14:textId="77777777" w:rsidR="00F903CE" w:rsidRDefault="00FB0299">
      <w:pPr>
        <w:pStyle w:val="BodyText"/>
      </w:pPr>
      <w:r>
        <w:t>Environmental Accounts provide an evidence-based frameworks for the development of markets in the protection of biodiversity, potentially another source of funding running counter to climate change: as climate change negatively impacts habitats, protecting existing habitats and preserving biodiversity becomes increasingly more valueable in a more harsh and extreme world environment.</w:t>
      </w:r>
    </w:p>
    <w:p w14:paraId="6D091A23" w14:textId="77777777" w:rsidR="00F903CE" w:rsidRDefault="00FB0299">
      <w:pPr>
        <w:pStyle w:val="BodyText"/>
      </w:pPr>
      <w:r>
        <w:t xml:space="preserve">If biodiversity and biodiverses areas could be readily identified, and their “level” and “difference” in biodiversity readily assessed, then the protection and expansion in those areas is potentially valueable to the world, and a future PICT revenue source. Not only could biodiverse areas be identified, but </w:t>
      </w:r>
      <w:r>
        <w:rPr>
          <w:i/>
          <w:iCs/>
        </w:rPr>
        <w:t>non-biodiverse</w:t>
      </w:r>
      <w:r>
        <w:t xml:space="preserve"> areas could also be identified. In non-biodiverse areas, alternative uses of the marine environment (like offshore oil exploration, or maritime transport paths) might be activities whose benefits outweigh their impacts on the environment.</w:t>
      </w:r>
    </w:p>
    <w:p w14:paraId="113C9CFD" w14:textId="77777777" w:rsidR="00F903CE" w:rsidRDefault="00FB0299">
      <w:pPr>
        <w:pStyle w:val="BlockText"/>
      </w:pPr>
      <w:r>
        <w:rPr>
          <w:i/>
          <w:iCs/>
        </w:rPr>
        <w:t>The main allure of a market-based approach is its potential to achieve any given conservation goal at the lowest possible cost.</w:t>
      </w:r>
    </w:p>
    <w:p w14:paraId="5D5F5B84" w14:textId="77777777" w:rsidR="00F903CE" w:rsidRDefault="00FB0299">
      <w:pPr>
        <w:pStyle w:val="BlockText"/>
      </w:pPr>
      <w:r>
        <w:rPr>
          <w:i/>
          <w:iCs/>
        </w:rPr>
        <w:t>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 “Blue Bonds for Ocean Conservation” program, or the “Ocean Conservation Commitments” scheme recently announced by the Pacific Island nation of Niue.</w:t>
      </w:r>
    </w:p>
    <w:p w14:paraId="2E46CD57" w14:textId="77777777" w:rsidR="00F903CE" w:rsidRDefault="00FB0299">
      <w:pPr>
        <w:pStyle w:val="BlockText"/>
      </w:pPr>
      <w:r>
        <w:rPr>
          <w:i/>
          <w:iCs/>
        </w:rPr>
        <w:t>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w:t>
      </w:r>
      <w:r>
        <w:rPr>
          <w:i/>
          <w:iCs/>
        </w:rPr>
        <w:t>servation.</w:t>
      </w:r>
    </w:p>
    <w:p w14:paraId="6D405C24" w14:textId="77777777" w:rsidR="00F903CE" w:rsidRDefault="00FB0299">
      <w:pPr>
        <w:pStyle w:val="BlockText"/>
      </w:pPr>
      <w:r>
        <w:t>— (</w:t>
      </w:r>
      <w:hyperlink r:id="rId8">
        <w:r>
          <w:rPr>
            <w:rStyle w:val="Hyperlink"/>
          </w:rPr>
          <w:t>Villasenor-Derbez, Costello, and Plantinga, 2024</w:t>
        </w:r>
      </w:hyperlink>
      <w:r>
        <w:t>)</w:t>
      </w:r>
    </w:p>
    <w:p w14:paraId="591BD39A" w14:textId="77777777" w:rsidR="00F903CE" w:rsidRDefault="00FB0299">
      <w:pPr>
        <w:pStyle w:val="Heading2"/>
      </w:pPr>
      <w:bookmarkStart w:id="9" w:name="our-collective-efforts"/>
      <w:bookmarkEnd w:id="8"/>
      <w:bookmarkEnd w:id="7"/>
      <w:r>
        <w:t>Our collective efforts</w:t>
      </w:r>
    </w:p>
    <w:p w14:paraId="1B91A4F9" w14:textId="77777777" w:rsidR="00F903CE" w:rsidRDefault="00FB0299">
      <w:pPr>
        <w:pStyle w:val="FirstParagraph"/>
      </w:pPr>
      <w:r>
        <w:t>This paper outlines how SPC’s data sources might be leveraged to create an initial suite of Environmental-Economic Accounts for our Pacific member countries. It is the collective product from almost all of SPC’s divisions</w:t>
      </w:r>
    </w:p>
    <w:p w14:paraId="3D7298C2" w14:textId="77777777" w:rsidR="00F903CE" w:rsidRDefault="00FB0299">
      <w:pPr>
        <w:numPr>
          <w:ilvl w:val="0"/>
          <w:numId w:val="12"/>
        </w:numPr>
      </w:pPr>
      <w:r>
        <w:lastRenderedPageBreak/>
        <w:t>Its impetus started in Fisheries, Aquatic and Marine Environment (FAME) Division, who is also contributing the ocean-based aquatic life data sources and measures.</w:t>
      </w:r>
    </w:p>
    <w:p w14:paraId="705B1C12" w14:textId="77777777" w:rsidR="00F903CE" w:rsidRDefault="00FB0299">
      <w:pPr>
        <w:numPr>
          <w:ilvl w:val="0"/>
          <w:numId w:val="12"/>
        </w:numPr>
      </w:pPr>
      <w:r>
        <w:t>Digital Earth Pacific, mineral resources and maritime transport activity data is supplied by the Geoscience, Energy and Marine (GEM) Division.</w:t>
      </w:r>
    </w:p>
    <w:p w14:paraId="7250D752" w14:textId="77777777" w:rsidR="00F903CE" w:rsidRDefault="00FB0299">
      <w:pPr>
        <w:numPr>
          <w:ilvl w:val="0"/>
          <w:numId w:val="12"/>
        </w:numPr>
      </w:pPr>
      <w:r>
        <w:t>The Land Resources Division (LRD) is guiding the development of the land use metrics.</w:t>
      </w:r>
    </w:p>
    <w:p w14:paraId="22615D80" w14:textId="77777777" w:rsidR="00F903CE" w:rsidRDefault="00FB0299">
      <w:pPr>
        <w:numPr>
          <w:ilvl w:val="0"/>
          <w:numId w:val="12"/>
        </w:numPr>
      </w:pPr>
      <w:r>
        <w:t>Climate Change and Environmental Sustainability (CCES) Division are guiding the use of the metrics for member countries.</w:t>
      </w:r>
    </w:p>
    <w:p w14:paraId="0C4CC2F5" w14:textId="77777777" w:rsidR="00F903CE" w:rsidRDefault="00FB0299">
      <w:pPr>
        <w:numPr>
          <w:ilvl w:val="0"/>
          <w:numId w:val="12"/>
        </w:numPr>
      </w:pPr>
      <w:r>
        <w:t>The Statistics for Development Division (SDD) is providing oversight of the validity and compliance of the SEEA-based statistical measures.</w:t>
      </w:r>
    </w:p>
    <w:p w14:paraId="77DFE11B" w14:textId="77777777" w:rsidR="00F903CE" w:rsidRDefault="00FB0299">
      <w:r>
        <w:br w:type="page"/>
      </w:r>
    </w:p>
    <w:p w14:paraId="62CBBA2C" w14:textId="77777777" w:rsidR="00F903CE" w:rsidRDefault="00FB0299">
      <w:pPr>
        <w:pStyle w:val="Heading1"/>
      </w:pPr>
      <w:bookmarkStart w:id="10" w:name="statistically-measuring-the-environment"/>
      <w:bookmarkEnd w:id="9"/>
      <w:bookmarkEnd w:id="0"/>
      <w:r>
        <w:lastRenderedPageBreak/>
        <w:t>Statistically measuring the environment</w:t>
      </w:r>
    </w:p>
    <w:p w14:paraId="3CB22372" w14:textId="77777777" w:rsidR="00F903CE" w:rsidRDefault="00FB0299">
      <w:pPr>
        <w:pStyle w:val="Heading2"/>
      </w:pPr>
      <w:bookmarkStart w:id="11" w:name="X9db4c3433a2d36e6c57675af1733a90a610f55a"/>
      <w:r>
        <w:t>The System of National Accounts, Capital and the Environment</w:t>
      </w:r>
    </w:p>
    <w:p w14:paraId="190690C0" w14:textId="77777777" w:rsidR="00F903CE" w:rsidRDefault="00FB0299">
      <w:pPr>
        <w:pStyle w:val="FirstParagraph"/>
      </w:pPr>
      <w:r>
        <w:t>Since its inception in 1947, the System of National Accounts</w:t>
      </w:r>
      <w:r>
        <w:rPr>
          <w:rStyle w:val="FootnoteReference"/>
        </w:rPr>
        <w:footnoteReference w:id="5"/>
      </w:r>
      <w:r>
        <w:t xml:space="preserve"> </w:t>
      </w:r>
      <w:r>
        <w:t>has been the international standard for how countries, including PICTs, measure their economic production, consumption, and exchange activity. Together with the Balance of Payments, (reflecting inter-country trade and economic flows) the SNA is the framework for measuring economic systems. It was a massive advance in the theory and practice of economics and has created commonly defined metrics for cross-country comparative analysis into the mechanics of economic growth and development.</w:t>
      </w:r>
    </w:p>
    <w:p w14:paraId="2BEBE267" w14:textId="77777777" w:rsidR="00F903CE" w:rsidRDefault="00FB0299">
      <w:pPr>
        <w:pStyle w:val="BodyText"/>
      </w:pPr>
      <w:r>
        <w:t xml:space="preserve">The environment is recognised to the extent it could be captured within property rights and monetarily valued. Under the existing and previous SNA manuals, the environment is not seen as an input into a production process. The environment is something </w:t>
      </w:r>
      <w:r>
        <w:rPr>
          <w:i/>
          <w:iCs/>
        </w:rPr>
        <w:t>ancillary-to</w:t>
      </w:r>
      <w:r>
        <w:t xml:space="preserve"> the economy and </w:t>
      </w:r>
      <w:r>
        <w:rPr>
          <w:i/>
          <w:iCs/>
        </w:rPr>
        <w:t>within-which</w:t>
      </w:r>
      <w:r>
        <w:t xml:space="preserve"> economies undertake production, consumption and exchange.</w:t>
      </w:r>
    </w:p>
    <w:p w14:paraId="13595C4B" w14:textId="77777777" w:rsidR="00F903CE" w:rsidRDefault="00FB0299">
      <w:pPr>
        <w:pStyle w:val="Heading3"/>
      </w:pPr>
      <w:bookmarkStart w:id="12" w:name="capital-services"/>
      <w:r>
        <w:t>Capital Services</w:t>
      </w:r>
    </w:p>
    <w:p w14:paraId="663658AC" w14:textId="77777777" w:rsidR="00F903CE" w:rsidRDefault="00FB0299">
      <w:pPr>
        <w:pStyle w:val="FirstParagraph"/>
      </w:pPr>
      <w:r>
        <w:t>The concept that man-made capital generated “capital services” as inputs into the production was acknowledged in the 1993 version of the SNA;</w:t>
      </w:r>
      <w:r>
        <w:rPr>
          <w:rStyle w:val="FootnoteReference"/>
        </w:rPr>
        <w:footnoteReference w:id="6"/>
      </w:r>
      <w:r>
        <w:t xml:space="preserve"> however, the SNA93 stopped short of measuring environmental capital services as also inputs into production.</w:t>
      </w:r>
    </w:p>
    <w:p w14:paraId="4DF4BDDD" w14:textId="77777777" w:rsidR="00F903CE" w:rsidRDefault="00FB0299">
      <w:pPr>
        <w:pStyle w:val="BodyText"/>
      </w:pPr>
      <w:r>
        <w:t xml:space="preserve">Physical capital; for example, a motor vehicle, provides “transport services”: the ability to move inputs and outputs between locations. The transport services from a car differ from those of a truck. Similarly, the transport services of a new truck differ significantly from transport services of a vintage truck. Not only do the levels of inherent technology differ between vintage capital, but vintage capital also experiences economic depreciation, which reduces the </w:t>
      </w:r>
      <w:r>
        <w:rPr>
          <w:i/>
          <w:iCs/>
        </w:rPr>
        <w:t>quantity</w:t>
      </w:r>
      <w:r>
        <w:t xml:space="preserve"> of the capital services it provides.</w:t>
      </w:r>
    </w:p>
    <w:p w14:paraId="41249908" w14:textId="77777777" w:rsidR="00F903CE" w:rsidRDefault="00FB0299">
      <w:pPr>
        <w:pStyle w:val="Heading2"/>
      </w:pPr>
      <w:bookmarkStart w:id="13" w:name="X80ab40ee24c56cc524464b1baab34afd0c0a0d2"/>
      <w:bookmarkEnd w:id="12"/>
      <w:bookmarkEnd w:id="11"/>
      <w:r>
        <w:t>Environmental assets and environmental services</w:t>
      </w:r>
    </w:p>
    <w:p w14:paraId="340FA844" w14:textId="77777777" w:rsidR="00F903CE" w:rsidRDefault="00FB0299">
      <w:pPr>
        <w:pStyle w:val="FirstParagraph"/>
      </w:pPr>
      <w:r>
        <w:t xml:space="preserve">There are direct parallels between man-made and environmental capital, yet until </w:t>
      </w:r>
      <w:r>
        <w:rPr>
          <w:b/>
          <w:bCs/>
          <w:i/>
          <w:iCs/>
        </w:rPr>
        <w:t>very recently</w:t>
      </w:r>
      <w:r>
        <w:rPr>
          <w:rStyle w:val="FootnoteReference"/>
        </w:rPr>
        <w:footnoteReference w:id="7"/>
      </w:r>
      <w:r>
        <w:t xml:space="preserve"> enviromental assets were not recognised as providing economic services into production. Likewise, changes to the environment from economic activity were not reflected as economic costs of production.</w:t>
      </w:r>
    </w:p>
    <w:p w14:paraId="57B702CE" w14:textId="77777777" w:rsidR="00F903CE" w:rsidRDefault="00FB0299">
      <w:pPr>
        <w:pStyle w:val="BodyText"/>
      </w:pPr>
      <w:r>
        <w:t>Environmental capital, measured in environmental assets, generate environmental services which are inputs into economic production processes. Fish biomass stocks are the enviromental capital inputs into the fishing industry. Their capital services are the continuous supply of a maximum sustainable catch: the annual quantity of catch that can be extracted from the stock while still maintaining the reproductive capacity of the overall population.</w:t>
      </w:r>
    </w:p>
    <w:p w14:paraId="22F38B54" w14:textId="77777777" w:rsidR="00F903CE" w:rsidRDefault="00FB0299">
      <w:pPr>
        <w:pStyle w:val="BodyText"/>
      </w:pPr>
      <w:r>
        <w:lastRenderedPageBreak/>
        <w:t>Where man-made capital services are degraded from economic depreciation, environmental capital services are degraded through pollution and depletion. While man-made capital services are improved through technology, enviromental capital services have a regenerative capability.</w:t>
      </w:r>
    </w:p>
    <w:p w14:paraId="7434DDF8" w14:textId="77777777" w:rsidR="00F903CE" w:rsidRDefault="00FB0299">
      <w:r>
        <w:br w:type="page"/>
      </w:r>
    </w:p>
    <w:p w14:paraId="2B3465BC" w14:textId="77777777" w:rsidR="00F903CE" w:rsidRDefault="00FB0299">
      <w:pPr>
        <w:pStyle w:val="Heading2"/>
      </w:pPr>
      <w:bookmarkStart w:id="14" w:name="X61b7bfbcb754c82a54307c5292c6ec675268555"/>
      <w:bookmarkEnd w:id="13"/>
      <w:r>
        <w:lastRenderedPageBreak/>
        <w:t>The System of Environmental-Economic Accounts: a framework for measuring Environmental / Economic co-dependency</w:t>
      </w:r>
    </w:p>
    <w:p w14:paraId="142FB3D8" w14:textId="77777777" w:rsidR="00F903CE" w:rsidRDefault="00FB0299">
      <w:pPr>
        <w:pStyle w:val="FirstParagraph"/>
      </w:pPr>
      <w:r>
        <w:t>Both the SEEA-CF and SNA systems operate together - one measuring the environment, and the other the economy. Changes in the “stock” of environmental assets over a period of time are matched to the economic flows derived from an associated industry through SNA supply/use tables. Specific environment assets, like Timber Resources, might be harvested as inputs into the forestry industry.</w:t>
      </w:r>
    </w:p>
    <w:p w14:paraId="05131115" w14:textId="77777777" w:rsidR="00F903CE" w:rsidRDefault="00FB0299">
      <w:pPr>
        <w:pStyle w:val="BodyText"/>
      </w:pPr>
      <w:r>
        <w:t>The System of Environmental-Economic Accounts - Ecosystem Accounting (SEEA-EA) extends the environmental measurement framework by considering clusters of environmental assets grouped together as “ecosystems” are collectively important to each other and the collectively supply enviromental services. For example, mangroves are considered collective environments that support the fisheries, while filtering pollutants from waterways and provide erosion protection to onshore activities.</w:t>
      </w:r>
    </w:p>
    <w:p w14:paraId="4782FB2A" w14:textId="77777777" w:rsidR="00F903CE" w:rsidRDefault="00FB0299">
      <w:pPr>
        <w:pStyle w:val="Heading1"/>
      </w:pPr>
      <w:bookmarkStart w:id="15" w:name="X68c90b57aa3093575a5a1875ca7a0c1b5d2c619"/>
      <w:bookmarkEnd w:id="14"/>
      <w:bookmarkEnd w:id="10"/>
      <w:r>
        <w:t>System of Environmental-Economic Account 2012 - Central Framework (SEEA-CF)</w:t>
      </w:r>
    </w:p>
    <w:p w14:paraId="06EA5E5E" w14:textId="77777777" w:rsidR="00F903CE" w:rsidRDefault="00FB0299">
      <w:pPr>
        <w:pStyle w:val="FirstParagraph"/>
      </w:pPr>
      <w:r>
        <w:t>The System of Environmental-Economic Accounting 2012 — Central Framework is a statistical framework consisting of a comprehensive set of tables and accounts, which guides the compilation of consistent and comparable statistics and indicators for policymaking, analysis and research. It is a multipurpose conceptual framework for understanding the interactions between the environment and the economy. It puts statistics on the environment and its relationship to the economy at the core of official statistics.</w:t>
      </w:r>
    </w:p>
    <w:p w14:paraId="6832E309" w14:textId="77777777" w:rsidR="00F903CE" w:rsidRDefault="00FB0299">
      <w:pPr>
        <w:pStyle w:val="BodyText"/>
      </w:pPr>
      <w:r>
        <w:t>The Central Framework covers three main measurement areas:</w:t>
      </w:r>
    </w:p>
    <w:p w14:paraId="033CB487" w14:textId="77777777" w:rsidR="00F903CE" w:rsidRDefault="00FB0299">
      <w:pPr>
        <w:numPr>
          <w:ilvl w:val="0"/>
          <w:numId w:val="13"/>
        </w:numPr>
      </w:pPr>
      <w:r>
        <w:t>the physical flows of materials and energy within the economy and between the economy and the environment;</w:t>
      </w:r>
    </w:p>
    <w:p w14:paraId="4AE653DE" w14:textId="77777777" w:rsidR="00F903CE" w:rsidRDefault="00FB0299">
      <w:pPr>
        <w:numPr>
          <w:ilvl w:val="0"/>
          <w:numId w:val="13"/>
        </w:numPr>
      </w:pPr>
      <w:r>
        <w:t>the stocks of environmental assets and changes in these stocks; and</w:t>
      </w:r>
    </w:p>
    <w:p w14:paraId="012C47AB" w14:textId="77777777" w:rsidR="00F903CE" w:rsidRDefault="00FB0299">
      <w:pPr>
        <w:numPr>
          <w:ilvl w:val="0"/>
          <w:numId w:val="13"/>
        </w:numPr>
      </w:pPr>
      <w:r>
        <w:t>economic activity and transactions related to the environment.</w:t>
      </w:r>
    </w:p>
    <w:p w14:paraId="1AC61156" w14:textId="77777777" w:rsidR="00F903CE" w:rsidRDefault="00FB0299">
      <w:pPr>
        <w:pStyle w:val="Heading2"/>
      </w:pPr>
      <w:bookmarkStart w:id="16" w:name="economy-and-environment-dependency"/>
      <w:r>
        <w:t>Economy and environment dependency</w:t>
      </w:r>
    </w:p>
    <w:p w14:paraId="3B93DC25" w14:textId="77777777" w:rsidR="00F903CE" w:rsidRDefault="00FB0299">
      <w:pPr>
        <w:pStyle w:val="FirstParagraph"/>
      </w:pPr>
      <w:r>
        <w:t>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 Both produced and non-produced assets provide inputs to the production of goods and services. While many economic assets are produced from economic activity (e.g., buildings and machines)</w:t>
      </w:r>
      <w:r>
        <w:t>, many environmental assets are non-produced (e.g. land, mineral resources and water resources).</w:t>
      </w:r>
    </w:p>
    <w:p w14:paraId="32715CDC" w14:textId="77777777" w:rsidR="00F903CE" w:rsidRDefault="00FB0299">
      <w:pPr>
        <w:pStyle w:val="BodyText"/>
      </w:pPr>
      <w:r>
        <w:t>Both the economic and the environment are recorded as “stocks” and “flows” and measured in both physical units and monetary values. The analysis of these both environment and economic data can also be extended by linking the tables and accounts to relevant employment, demographic and social information.</w:t>
      </w:r>
    </w:p>
    <w:p w14:paraId="420424CF" w14:textId="77777777" w:rsidR="00F903CE" w:rsidRDefault="00FB0299">
      <w:pPr>
        <w:numPr>
          <w:ilvl w:val="0"/>
          <w:numId w:val="14"/>
        </w:numPr>
      </w:pPr>
      <w:r>
        <w:rPr>
          <w:i/>
          <w:iCs/>
        </w:rPr>
        <w:lastRenderedPageBreak/>
        <w:t>Stocks:</w:t>
      </w:r>
      <w:r>
        <w:t xml:space="preserve"> </w:t>
      </w:r>
      <w:r>
        <w:t>are the starting and end values of the economic assets that are inputs to the flow measures. Stocks are a source of wealth for members of institutional sectors like households (in the household sector) or firms (in the enterprise sector). Environmental stocks and flows are considered holistically.</w:t>
      </w:r>
    </w:p>
    <w:p w14:paraId="3404FE94" w14:textId="77777777" w:rsidR="00F903CE" w:rsidRDefault="00FB0299">
      <w:pPr>
        <w:numPr>
          <w:ilvl w:val="0"/>
          <w:numId w:val="10"/>
        </w:numPr>
      </w:pPr>
      <w:r>
        <w:t>From a stock perspective, the environment includes all living and non-living components that constitute the biophysical environment, including all types of natural resources and the ecosystems within which they are located.</w:t>
      </w:r>
    </w:p>
    <w:p w14:paraId="3EA74464" w14:textId="77777777" w:rsidR="00F903CE" w:rsidRDefault="00FB0299">
      <w:pPr>
        <w:numPr>
          <w:ilvl w:val="0"/>
          <w:numId w:val="14"/>
        </w:numPr>
      </w:pPr>
      <w:r>
        <w:rPr>
          <w:i/>
          <w:iCs/>
        </w:rPr>
        <w:t>Flows:</w:t>
      </w:r>
      <w:r>
        <w:t xml:space="preserve"> capture how the stocks change during a period from economic activities like production, consumption and accumulation, or non-economic sources of change, like catastrophic distruction or natural addition. Flows from the environment to the economy are recorded as natural inputs (e.g, flows of minerals, timber, fish and water).</w:t>
      </w:r>
    </w:p>
    <w:p w14:paraId="31F774E4" w14:textId="77777777" w:rsidR="00F903CE" w:rsidRDefault="00FB0299">
      <w:pPr>
        <w:numPr>
          <w:ilvl w:val="0"/>
          <w:numId w:val="10"/>
        </w:numPr>
      </w:pPr>
      <w:r>
        <w:t>Flows within the economy are recorded as product flows (including additions to the stock of fixed assets) and flows from the economy to the environment are recorded as residuals (e.g., solid waste, air emissions and return flows of water)</w:t>
      </w:r>
    </w:p>
    <w:p w14:paraId="7D4C0A05" w14:textId="77777777" w:rsidR="00F903CE" w:rsidRDefault="00FB0299">
      <w:pPr>
        <w:pStyle w:val="CaptionedFigure"/>
      </w:pPr>
      <w:r>
        <w:rPr>
          <w:noProof/>
        </w:rPr>
        <w:drawing>
          <wp:inline distT="0" distB="0" distL="0" distR="0" wp14:anchorId="6D19A5C6" wp14:editId="0BF9993D">
            <wp:extent cx="5270500" cy="3052219"/>
            <wp:effectExtent l="0" t="0" r="0" b="0"/>
            <wp:docPr id="53" name="Picture" descr="Figure 2: Physical flows of natural inputs, products and residuals"/>
            <wp:cNvGraphicFramePr/>
            <a:graphic xmlns:a="http://schemas.openxmlformats.org/drawingml/2006/main">
              <a:graphicData uri="http://schemas.openxmlformats.org/drawingml/2006/picture">
                <pic:pic xmlns:pic="http://schemas.openxmlformats.org/drawingml/2006/picture">
                  <pic:nvPicPr>
                    <pic:cNvPr id="54" name="Picture" descr="Graphical_Output/Physical%20flows%20of%20natural%20inputs,%20products%20and%20residuals.png"/>
                    <pic:cNvPicPr>
                      <a:picLocks noChangeAspect="1" noChangeArrowheads="1"/>
                    </pic:cNvPicPr>
                  </pic:nvPicPr>
                  <pic:blipFill>
                    <a:blip r:embed="rId9"/>
                    <a:stretch>
                      <a:fillRect/>
                    </a:stretch>
                  </pic:blipFill>
                  <pic:spPr bwMode="auto">
                    <a:xfrm>
                      <a:off x="0" y="0"/>
                      <a:ext cx="5270500" cy="3052219"/>
                    </a:xfrm>
                    <a:prstGeom prst="rect">
                      <a:avLst/>
                    </a:prstGeom>
                    <a:noFill/>
                    <a:ln w="9525">
                      <a:noFill/>
                      <a:headEnd/>
                      <a:tailEnd/>
                    </a:ln>
                  </pic:spPr>
                </pic:pic>
              </a:graphicData>
            </a:graphic>
          </wp:inline>
        </w:drawing>
      </w:r>
    </w:p>
    <w:p w14:paraId="69294EAF" w14:textId="77777777" w:rsidR="00F903CE" w:rsidRDefault="00FB0299">
      <w:pPr>
        <w:pStyle w:val="ImageCaption"/>
      </w:pPr>
      <w:bookmarkStart w:id="17" w:name="fig:unnamed-chunk-2"/>
      <w:bookmarkEnd w:id="17"/>
      <w:r>
        <w:t>Figure 2: Physical flows of natural inputs, products and residuals</w:t>
      </w:r>
    </w:p>
    <w:p w14:paraId="70BC8CED" w14:textId="77777777" w:rsidR="00F903CE" w:rsidRDefault="00FB0299">
      <w:pPr>
        <w:pStyle w:val="Heading2"/>
      </w:pPr>
      <w:bookmarkStart w:id="18" w:name="X64596ffeb4361bde35d006e46387200267cfe41"/>
      <w:bookmarkEnd w:id="16"/>
      <w:r>
        <w:t>Environmental assets and ecosystem services: Terminology</w:t>
      </w:r>
    </w:p>
    <w:p w14:paraId="0C775BE2" w14:textId="77777777" w:rsidR="00F903CE" w:rsidRDefault="00FB0299">
      <w:pPr>
        <w:numPr>
          <w:ilvl w:val="0"/>
          <w:numId w:val="15"/>
        </w:numPr>
      </w:pPr>
      <w:r>
        <w:rPr>
          <w:i/>
          <w:iCs/>
        </w:rPr>
        <w:t>Environmental assets</w:t>
      </w:r>
      <w:r>
        <w:t xml:space="preserve"> are the naturally occurring living and non-living components of the Earth, together constituting the biophysical environment, which may provide benefits to humanity.</w:t>
      </w:r>
      <w:r>
        <w:rPr>
          <w:rStyle w:val="FootnoteReference"/>
        </w:rPr>
        <w:footnoteReference w:id="8"/>
      </w:r>
    </w:p>
    <w:p w14:paraId="5A0CA346" w14:textId="77777777" w:rsidR="00F903CE" w:rsidRDefault="00FB0299">
      <w:pPr>
        <w:numPr>
          <w:ilvl w:val="0"/>
          <w:numId w:val="10"/>
        </w:numPr>
      </w:pPr>
      <w:r>
        <w:t>Environmental assets are either cultivated or natural resources. Natural resources include all natural biological resources (including timber and aquatic resources), mineral and energy resources, soil resources and water resources.</w:t>
      </w:r>
    </w:p>
    <w:p w14:paraId="31E09AC8" w14:textId="77777777" w:rsidR="00F903CE" w:rsidRDefault="00FB0299">
      <w:pPr>
        <w:numPr>
          <w:ilvl w:val="0"/>
          <w:numId w:val="15"/>
        </w:numPr>
      </w:pPr>
      <w:r>
        <w:rPr>
          <w:i/>
          <w:iCs/>
        </w:rPr>
        <w:t>Physical flows</w:t>
      </w:r>
      <w:r>
        <w:t xml:space="preserve"> are reflected in the movement and use of materials, water and energy.The three categories of physical flows form three distinct but related </w:t>
      </w:r>
      <w:r>
        <w:lastRenderedPageBreak/>
        <w:t>accounting subsystems, each of which has a different perspective on relevant physical flows. Physical flows are also recorded in asset accounts where they represent changes in the stocks of assets between one period and another.</w:t>
      </w:r>
    </w:p>
    <w:p w14:paraId="109EC925" w14:textId="77777777" w:rsidR="00F903CE" w:rsidRDefault="00FB0299">
      <w:pPr>
        <w:numPr>
          <w:ilvl w:val="0"/>
          <w:numId w:val="10"/>
        </w:numPr>
      </w:pPr>
      <w:r>
        <w:t>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14:paraId="369745CB" w14:textId="77777777" w:rsidR="00F903CE" w:rsidRDefault="00FB0299">
      <w:pPr>
        <w:numPr>
          <w:ilvl w:val="0"/>
          <w:numId w:val="10"/>
        </w:numPr>
      </w:pPr>
      <w:r>
        <w:t>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14:paraId="645D3CCF" w14:textId="77777777" w:rsidR="00F903CE" w:rsidRDefault="00FB0299">
      <w:pPr>
        <w:numPr>
          <w:ilvl w:val="0"/>
          <w:numId w:val="15"/>
        </w:numPr>
      </w:pPr>
      <w:r>
        <w:rPr>
          <w:i/>
          <w:iCs/>
        </w:rPr>
        <w:t>Ecosystems</w:t>
      </w:r>
      <w:r>
        <w:t xml:space="preserve"> are a dynamic complex of plant, animal and micro-organism communities and their non-living environment interacting as a functional unit.</w:t>
      </w:r>
      <w:r>
        <w:rPr>
          <w:rStyle w:val="FootnoteReference"/>
        </w:rPr>
        <w:footnoteReference w:id="9"/>
      </w:r>
      <w:r>
        <w:t xml:space="preserve"> Ecosystems make three types of contributions to economic and other human activity:</w:t>
      </w:r>
    </w:p>
    <w:p w14:paraId="67F2B6A6" w14:textId="77777777" w:rsidR="00F903CE" w:rsidRDefault="00FB0299">
      <w:pPr>
        <w:numPr>
          <w:ilvl w:val="1"/>
          <w:numId w:val="16"/>
        </w:numPr>
      </w:pPr>
      <w:r>
        <w:rPr>
          <w:i/>
          <w:iCs/>
        </w:rPr>
        <w:t>Provisioning services</w:t>
      </w:r>
      <w:r>
        <w:t xml:space="preserve"> (such as the provision of timber from forests);</w:t>
      </w:r>
    </w:p>
    <w:p w14:paraId="6555FC42" w14:textId="77777777" w:rsidR="00F903CE" w:rsidRDefault="00FB0299">
      <w:pPr>
        <w:numPr>
          <w:ilvl w:val="1"/>
          <w:numId w:val="10"/>
        </w:numPr>
      </w:pPr>
      <w:r>
        <w:t>Provisioning services are related to the material benefits of environmental assets, whereas the other types of ecosystem services are related to the non-material benefits of environmental assets.</w:t>
      </w:r>
    </w:p>
    <w:p w14:paraId="2EBB56C8" w14:textId="77777777" w:rsidR="00F903CE" w:rsidRDefault="00FB0299">
      <w:pPr>
        <w:numPr>
          <w:ilvl w:val="1"/>
          <w:numId w:val="16"/>
        </w:numPr>
      </w:pPr>
      <w:r>
        <w:rPr>
          <w:i/>
          <w:iCs/>
        </w:rPr>
        <w:t>Regulating services</w:t>
      </w:r>
      <w:r>
        <w:t xml:space="preserve"> (provided, for example, by forests when they act as a sink for carbon); and</w:t>
      </w:r>
    </w:p>
    <w:p w14:paraId="63FCF239" w14:textId="77777777" w:rsidR="00F903CE" w:rsidRDefault="00FB0299">
      <w:pPr>
        <w:numPr>
          <w:ilvl w:val="1"/>
          <w:numId w:val="16"/>
        </w:numPr>
      </w:pPr>
      <w:r>
        <w:rPr>
          <w:i/>
          <w:iCs/>
        </w:rPr>
        <w:t>Cultural services</w:t>
      </w:r>
      <w:r>
        <w:t xml:space="preserve"> (such as the enjoyment provided to visitors to a national park).</w:t>
      </w:r>
    </w:p>
    <w:p w14:paraId="79E55E0E" w14:textId="77777777" w:rsidR="00F903CE" w:rsidRDefault="00FB0299">
      <w:pPr>
        <w:numPr>
          <w:ilvl w:val="0"/>
          <w:numId w:val="15"/>
        </w:numPr>
      </w:pPr>
      <w:r>
        <w:rPr>
          <w:i/>
          <w:iCs/>
        </w:rPr>
        <w:t>Natural inputs</w:t>
      </w:r>
      <w:r>
        <w:t xml:space="preserve"> are all physical inputs that are moved from their location in the environment as a part of economic production processes or that are directly used in production:</w:t>
      </w:r>
    </w:p>
    <w:p w14:paraId="6F5627C2" w14:textId="77777777" w:rsidR="00F903CE" w:rsidRDefault="00FB0299">
      <w:pPr>
        <w:numPr>
          <w:ilvl w:val="1"/>
          <w:numId w:val="17"/>
        </w:numPr>
      </w:pPr>
      <w:r>
        <w:t>Natural resource inputs, such as mineral and energy resources or timber resources,</w:t>
      </w:r>
    </w:p>
    <w:p w14:paraId="5740343D" w14:textId="77777777" w:rsidR="00F903CE" w:rsidRDefault="00FB0299">
      <w:pPr>
        <w:numPr>
          <w:ilvl w:val="1"/>
          <w:numId w:val="17"/>
        </w:numPr>
      </w:pPr>
      <w:r>
        <w:t>Inputs from renewable energy sources, such as solar energy captured by economic units, or</w:t>
      </w:r>
    </w:p>
    <w:p w14:paraId="5520DE40" w14:textId="77777777" w:rsidR="00F903CE" w:rsidRDefault="00FB0299">
      <w:pPr>
        <w:numPr>
          <w:ilvl w:val="1"/>
          <w:numId w:val="17"/>
        </w:numPr>
      </w:pPr>
      <w:r>
        <w:t>Other natural inputs such as inputs from soil (e.g., soil nutrients) and inputs from air (e.g., oxygen absorbed in combustion processes).</w:t>
      </w:r>
    </w:p>
    <w:p w14:paraId="68FB3223" w14:textId="77777777" w:rsidR="00F903CE" w:rsidRDefault="00FB0299">
      <w:pPr>
        <w:numPr>
          <w:ilvl w:val="0"/>
          <w:numId w:val="15"/>
        </w:numPr>
      </w:pPr>
      <w:r>
        <w:rPr>
          <w:i/>
          <w:iCs/>
        </w:rPr>
        <w:t>Products</w:t>
      </w:r>
      <w:r>
        <w:t xml:space="preserve"> are goods and services that result from a process of production in the economy.</w:t>
      </w:r>
    </w:p>
    <w:p w14:paraId="07BF5058" w14:textId="77777777" w:rsidR="00F903CE" w:rsidRDefault="00FB0299">
      <w:pPr>
        <w:numPr>
          <w:ilvl w:val="0"/>
          <w:numId w:val="15"/>
        </w:numPr>
      </w:pPr>
      <w:r>
        <w:rPr>
          <w:i/>
          <w:iCs/>
        </w:rPr>
        <w:t>Residuals</w:t>
      </w:r>
      <w:r>
        <w:t xml:space="preserve"> are flows of solid, liquid and gaseous materials, and energy, that are discarded, discharged or emitted to the environment (e.g., emission to air) by </w:t>
      </w:r>
      <w:r>
        <w:lastRenderedPageBreak/>
        <w:t>establishments and households through processes of production, consumption or accumulation but may also flow within the economy,</w:t>
      </w:r>
    </w:p>
    <w:p w14:paraId="5179FB76" w14:textId="77777777" w:rsidR="00F903CE" w:rsidRDefault="00FB0299">
      <w:pPr>
        <w:pStyle w:val="Heading1"/>
      </w:pPr>
      <w:bookmarkStart w:id="19" w:name="the-structure-of-seea-cf-accounts"/>
      <w:bookmarkEnd w:id="18"/>
      <w:bookmarkEnd w:id="15"/>
      <w:r>
        <w:t>The Structure of SEEA-CF accounts</w:t>
      </w:r>
    </w:p>
    <w:p w14:paraId="4FB0C03F" w14:textId="77777777" w:rsidR="00F903CE" w:rsidRDefault="00FB0299">
      <w:pPr>
        <w:pStyle w:val="FirstParagraph"/>
      </w:pPr>
      <w:r>
        <w:t>The Central Framework comprises the following types of tables and accounts:</w:t>
      </w:r>
    </w:p>
    <w:p w14:paraId="4ACC1DAF" w14:textId="77777777" w:rsidR="00F903CE" w:rsidRDefault="00FB0299">
      <w:pPr>
        <w:numPr>
          <w:ilvl w:val="0"/>
          <w:numId w:val="18"/>
        </w:numPr>
      </w:pPr>
      <w:r>
        <w:t>Supply and use tables in physical (PSUT) and monetary terms (MSUT) showing flows of natural inputs, products and residuals;</w:t>
      </w:r>
    </w:p>
    <w:p w14:paraId="139B9287" w14:textId="77777777" w:rsidR="00F903CE" w:rsidRDefault="00FB0299">
      <w:pPr>
        <w:numPr>
          <w:ilvl w:val="0"/>
          <w:numId w:val="10"/>
        </w:numPr>
      </w:pPr>
      <w:r>
        <w:t>Physical flows are recorded by compiling supply and use tables in physical units of measurement. These tables are used to assess how an economy supplies and uses energy, water and materials</w:t>
      </w:r>
      <w:r>
        <w:rPr>
          <w:rStyle w:val="FootnoteReference"/>
        </w:rPr>
        <w:footnoteReference w:id="10"/>
      </w:r>
      <w:r>
        <w:t>, as well as to examine changes in production and consumption patterns over time.</w:t>
      </w:r>
    </w:p>
    <w:p w14:paraId="5250F140" w14:textId="77777777" w:rsidR="00F903CE" w:rsidRDefault="00FB0299">
      <w:pPr>
        <w:numPr>
          <w:ilvl w:val="0"/>
          <w:numId w:val="10"/>
        </w:numPr>
      </w:pPr>
      <w:r>
        <w:t>In combination with data from monetary supply and use tables, changes in productivity and intensity in the use of natural inputs and the release of residuals can be examined.</w:t>
      </w:r>
    </w:p>
    <w:p w14:paraId="06440489" w14:textId="77777777" w:rsidR="00F903CE" w:rsidRDefault="00FB0299">
      <w:pPr>
        <w:pStyle w:val="CaptionedFigure"/>
      </w:pPr>
      <w:r>
        <w:rPr>
          <w:noProof/>
        </w:rPr>
        <w:drawing>
          <wp:inline distT="0" distB="0" distL="0" distR="0" wp14:anchorId="017879D4" wp14:editId="05E66421">
            <wp:extent cx="5270500" cy="4351324"/>
            <wp:effectExtent l="0" t="0" r="0" b="0"/>
            <wp:docPr id="63" name="Picture" descr="Figure 3: Physical Supply and Use Table"/>
            <wp:cNvGraphicFramePr/>
            <a:graphic xmlns:a="http://schemas.openxmlformats.org/drawingml/2006/main">
              <a:graphicData uri="http://schemas.openxmlformats.org/drawingml/2006/picture">
                <pic:pic xmlns:pic="http://schemas.openxmlformats.org/drawingml/2006/picture">
                  <pic:nvPicPr>
                    <pic:cNvPr id="64" name="Picture" descr="Graphical_Output/Physical_SUT.png"/>
                    <pic:cNvPicPr>
                      <a:picLocks noChangeAspect="1" noChangeArrowheads="1"/>
                    </pic:cNvPicPr>
                  </pic:nvPicPr>
                  <pic:blipFill>
                    <a:blip r:embed="rId10"/>
                    <a:stretch>
                      <a:fillRect/>
                    </a:stretch>
                  </pic:blipFill>
                  <pic:spPr bwMode="auto">
                    <a:xfrm>
                      <a:off x="0" y="0"/>
                      <a:ext cx="5270500" cy="4351324"/>
                    </a:xfrm>
                    <a:prstGeom prst="rect">
                      <a:avLst/>
                    </a:prstGeom>
                    <a:noFill/>
                    <a:ln w="9525">
                      <a:noFill/>
                      <a:headEnd/>
                      <a:tailEnd/>
                    </a:ln>
                  </pic:spPr>
                </pic:pic>
              </a:graphicData>
            </a:graphic>
          </wp:inline>
        </w:drawing>
      </w:r>
    </w:p>
    <w:p w14:paraId="7A6EBEE7" w14:textId="77777777" w:rsidR="00F903CE" w:rsidRDefault="00FB0299">
      <w:pPr>
        <w:pStyle w:val="ImageCaption"/>
      </w:pPr>
      <w:bookmarkStart w:id="20" w:name="fig:unnamed-chunk-3"/>
      <w:bookmarkEnd w:id="20"/>
      <w:r>
        <w:t>Figure 3: Physical Supply and Use Table</w:t>
      </w:r>
    </w:p>
    <w:p w14:paraId="059E9A89" w14:textId="77777777" w:rsidR="00F903CE" w:rsidRDefault="00FB0299">
      <w:pPr>
        <w:numPr>
          <w:ilvl w:val="0"/>
          <w:numId w:val="19"/>
        </w:numPr>
      </w:pPr>
      <w:r>
        <w:t>Asset accounts for individual environmental assets in physical and monetary terms showing the stock of environmental assets at the beginning and the end of each accounting period and the changes in the stock;</w:t>
      </w:r>
    </w:p>
    <w:p w14:paraId="309B1B90" w14:textId="77777777" w:rsidR="00F903CE" w:rsidRDefault="00FB0299">
      <w:pPr>
        <w:numPr>
          <w:ilvl w:val="0"/>
          <w:numId w:val="10"/>
        </w:numPr>
      </w:pPr>
      <w:r>
        <w:lastRenderedPageBreak/>
        <w:t>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w:t>
      </w:r>
      <w:r>
        <w:t xml:space="preserve"> national’s wealth.</w:t>
      </w:r>
    </w:p>
    <w:p w14:paraId="497D3A14" w14:textId="77777777" w:rsidR="00F903CE" w:rsidRDefault="00FB0299">
      <w:pPr>
        <w:numPr>
          <w:ilvl w:val="0"/>
          <w:numId w:val="10"/>
        </w:numPr>
      </w:pPr>
      <w:r>
        <w:t>The capacity to account for and analyse the state of and changes in environmental assets is a fundamental component of the Central Framework.</w:t>
      </w:r>
    </w:p>
    <w:p w14:paraId="6429F824" w14:textId="77777777" w:rsidR="00F903CE" w:rsidRDefault="00FB0299">
      <w:pPr>
        <w:numPr>
          <w:ilvl w:val="0"/>
          <w:numId w:val="10"/>
        </w:numPr>
      </w:pPr>
      <w:r>
        <w:t>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together economic units to support environmental protection activity.</w:t>
      </w:r>
    </w:p>
    <w:p w14:paraId="392165FA" w14:textId="77777777" w:rsidR="00F903CE" w:rsidRDefault="00FB0299">
      <w:pPr>
        <w:pStyle w:val="CaptionedFigure"/>
      </w:pPr>
      <w:r>
        <w:rPr>
          <w:noProof/>
        </w:rPr>
        <w:drawing>
          <wp:inline distT="0" distB="0" distL="0" distR="0" wp14:anchorId="729BFC9C" wp14:editId="6536E1F7">
            <wp:extent cx="5270500" cy="3980389"/>
            <wp:effectExtent l="0" t="0" r="0" b="0"/>
            <wp:docPr id="67" name="Picture" descr="Figure 4: Connections between supply and use tables and asset accounts"/>
            <wp:cNvGraphicFramePr/>
            <a:graphic xmlns:a="http://schemas.openxmlformats.org/drawingml/2006/main">
              <a:graphicData uri="http://schemas.openxmlformats.org/drawingml/2006/picture">
                <pic:pic xmlns:pic="http://schemas.openxmlformats.org/drawingml/2006/picture">
                  <pic:nvPicPr>
                    <pic:cNvPr id="68" name="Picture" descr="Graphical_Output/PSUT_and_Asset_Accounts.png"/>
                    <pic:cNvPicPr>
                      <a:picLocks noChangeAspect="1" noChangeArrowheads="1"/>
                    </pic:cNvPicPr>
                  </pic:nvPicPr>
                  <pic:blipFill>
                    <a:blip r:embed="rId11"/>
                    <a:stretch>
                      <a:fillRect/>
                    </a:stretch>
                  </pic:blipFill>
                  <pic:spPr bwMode="auto">
                    <a:xfrm>
                      <a:off x="0" y="0"/>
                      <a:ext cx="5270500" cy="3980389"/>
                    </a:xfrm>
                    <a:prstGeom prst="rect">
                      <a:avLst/>
                    </a:prstGeom>
                    <a:noFill/>
                    <a:ln w="9525">
                      <a:noFill/>
                      <a:headEnd/>
                      <a:tailEnd/>
                    </a:ln>
                  </pic:spPr>
                </pic:pic>
              </a:graphicData>
            </a:graphic>
          </wp:inline>
        </w:drawing>
      </w:r>
    </w:p>
    <w:p w14:paraId="51520D0C" w14:textId="77777777" w:rsidR="00F903CE" w:rsidRDefault="00FB0299">
      <w:pPr>
        <w:pStyle w:val="ImageCaption"/>
      </w:pPr>
      <w:bookmarkStart w:id="21" w:name="fig:unnamed-chunk-4"/>
      <w:bookmarkEnd w:id="21"/>
      <w:r>
        <w:t>Figure 4: Connections between supply and use tables and asset accounts</w:t>
      </w:r>
    </w:p>
    <w:p w14:paraId="53CB6E68" w14:textId="77777777" w:rsidR="00F903CE" w:rsidRDefault="00FB0299">
      <w:pPr>
        <w:numPr>
          <w:ilvl w:val="0"/>
          <w:numId w:val="20"/>
        </w:numPr>
      </w:pPr>
      <w:r>
        <w:t>A sequence of economic accounts highlighting depletion-adjusted economic aggregates; and</w:t>
      </w:r>
    </w:p>
    <w:p w14:paraId="3E577EF2" w14:textId="77777777" w:rsidR="00F903CE" w:rsidRDefault="00FB0299">
      <w:pPr>
        <w:numPr>
          <w:ilvl w:val="0"/>
          <w:numId w:val="20"/>
        </w:numPr>
      </w:pPr>
      <w:r>
        <w:t>Functional accounts recording transactions and other information about economic activities undertaken for environmental purposes.</w:t>
      </w:r>
    </w:p>
    <w:p w14:paraId="3DADEAB9" w14:textId="77777777" w:rsidR="00F903CE" w:rsidRDefault="00FB0299">
      <w:pPr>
        <w:pStyle w:val="Heading2"/>
      </w:pPr>
      <w:bookmarkStart w:id="22" w:name="other-technical-bits"/>
      <w:r>
        <w:lastRenderedPageBreak/>
        <w:t>Other technical bits</w:t>
      </w:r>
    </w:p>
    <w:p w14:paraId="541288C2" w14:textId="77777777" w:rsidR="00F903CE" w:rsidRDefault="00FB0299">
      <w:pPr>
        <w:pStyle w:val="Heading3"/>
      </w:pPr>
      <w:bookmarkStart w:id="23" w:name="Xbb2c4b96dea24fa4f80815829416eba5ddaba18"/>
      <w:r>
        <w:t>Subsistance and own-production consumption</w:t>
      </w:r>
    </w:p>
    <w:p w14:paraId="6615543D" w14:textId="77777777" w:rsidR="00F903CE" w:rsidRDefault="00FB0299">
      <w:pPr>
        <w:pStyle w:val="FirstParagraph"/>
      </w:pPr>
      <w:r>
        <w:t>The column for households in the PSUT relates solely to the consumption activity of households.</w:t>
      </w:r>
    </w:p>
    <w:p w14:paraId="5B4D993A" w14:textId="77777777" w:rsidR="00F903CE" w:rsidRDefault="00FB0299">
      <w:pPr>
        <w:pStyle w:val="BodyText"/>
      </w:pPr>
      <w:r>
        <w:t>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14:paraId="4AFC2395" w14:textId="77777777" w:rsidR="00F903CE" w:rsidRDefault="00FB0299">
      <w:pPr>
        <w:pStyle w:val="BodyText"/>
      </w:pPr>
      <w:r>
        <w:t>The consumption activity of households recorded in the PSUT extends to the generation of solid waste and other residuals as a consequence of consumption. In practical terms, the limits of the data measures will dictate the limits of activities collected.</w:t>
      </w:r>
    </w:p>
    <w:p w14:paraId="45EDD8FB" w14:textId="77777777" w:rsidR="00F903CE" w:rsidRDefault="00FB0299">
      <w:pPr>
        <w:pStyle w:val="Heading3"/>
      </w:pPr>
      <w:bookmarkStart w:id="24" w:name="Xf2cdd3791669a4d97801d7fdb11291fc551e133"/>
      <w:bookmarkEnd w:id="23"/>
      <w:r>
        <w:t>Valuing in basic, producer’s and purchaser’s prices</w:t>
      </w:r>
    </w:p>
    <w:p w14:paraId="50A9E475" w14:textId="77777777" w:rsidR="00F903CE" w:rsidRDefault="00FB0299">
      <w:pPr>
        <w:pStyle w:val="FirstParagraph"/>
      </w:pPr>
      <w:r>
        <w:t>Two kinds of prices are used within the context of supply, namely, basic prices and producers’ prices. The basic price is the amount receivable by the producer from the 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14:paraId="20AE3D17" w14:textId="77777777" w:rsidR="00F903CE" w:rsidRDefault="00FB0299">
      <w:pPr>
        <w:pStyle w:val="BodyText"/>
      </w:pPr>
      <w:r>
        <w:t>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14:paraId="576A5400" w14:textId="77777777" w:rsidR="00F903CE" w:rsidRDefault="00FB0299">
      <w:pPr>
        <w:pStyle w:val="BodyText"/>
      </w:pPr>
      <w:r>
        <w:t>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14:paraId="25256A21" w14:textId="77777777" w:rsidR="00F903CE" w:rsidRDefault="00FB0299">
      <w:pPr>
        <w:pStyle w:val="BodyText"/>
      </w:pPr>
      <w:r>
        <w:t>In the compilation of monetary supply and use tables in basic prices, the transport charges and wholesale and retail margins are allocated to the relevant services (transport, wholesale and retail services) rather than deducted from the table as a whole.</w:t>
      </w:r>
    </w:p>
    <w:p w14:paraId="27653D92" w14:textId="77777777" w:rsidR="00F903CE" w:rsidRDefault="00FB0299">
      <w:pPr>
        <w:pStyle w:val="Heading3"/>
      </w:pPr>
      <w:bookmarkStart w:id="25" w:name="Xba7bea4e64f02992df7bde36d92f21dd90169a9"/>
      <w:bookmarkEnd w:id="24"/>
      <w:r>
        <w:t>Employment, demographic and social information</w:t>
      </w:r>
    </w:p>
    <w:p w14:paraId="71F7CBC0" w14:textId="77777777" w:rsidR="00F903CE" w:rsidRDefault="00FB0299">
      <w:pPr>
        <w:pStyle w:val="FirstParagraph"/>
      </w:pPr>
      <w:r>
        <w:t>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p w14:paraId="4A506A0E" w14:textId="77777777" w:rsidR="00F903CE" w:rsidRDefault="00FB0299">
      <w:pPr>
        <w:pStyle w:val="Heading3"/>
      </w:pPr>
      <w:bookmarkStart w:id="26" w:name="X15249a7bfc0eff46260a4bf04d5017d7457388c"/>
      <w:bookmarkEnd w:id="25"/>
      <w:r>
        <w:lastRenderedPageBreak/>
        <w:t>Geographical boundaries for economic units</w:t>
      </w:r>
    </w:p>
    <w:p w14:paraId="0A0164BE" w14:textId="77777777" w:rsidR="00F903CE" w:rsidRDefault="00FB0299">
      <w:pPr>
        <w:pStyle w:val="FirstParagraph"/>
      </w:pPr>
      <w:r>
        <w:t>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14:paraId="728295B3" w14:textId="77777777" w:rsidR="00F903CE" w:rsidRDefault="00FB0299">
      <w:pPr>
        <w:pStyle w:val="BodyText"/>
      </w:pPr>
      <w:r>
        <w:t>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14:paraId="16B5FB93" w14:textId="77777777" w:rsidR="00F903CE" w:rsidRDefault="00FB0299">
      <w:pPr>
        <w:pStyle w:val="BodyText"/>
      </w:pPr>
      <w:r>
        <w:t>There are three primary exceptions:</w:t>
      </w:r>
    </w:p>
    <w:p w14:paraId="5E810081" w14:textId="77777777" w:rsidR="00F903CE" w:rsidRDefault="00FB0299">
      <w:pPr>
        <w:numPr>
          <w:ilvl w:val="0"/>
          <w:numId w:val="21"/>
        </w:numPr>
      </w:pPr>
      <w:r>
        <w:t>Units intending to operate in a country for less than a year, for example, specialized construction firms or aid and relief agencies. These are considered residents of their home country;</w:t>
      </w:r>
    </w:p>
    <w:p w14:paraId="15FD475B" w14:textId="77777777" w:rsidR="00F903CE" w:rsidRDefault="00FB0299">
      <w:pPr>
        <w:numPr>
          <w:ilvl w:val="0"/>
          <w:numId w:val="21"/>
        </w:numPr>
      </w:pPr>
      <w:r>
        <w:t xml:space="preserve">Resident producing units that may operate outside of the national territory, for example, ships and aircraft, and </w:t>
      </w:r>
      <w:r>
        <w:rPr>
          <w:b/>
          <w:bCs/>
        </w:rPr>
        <w:t>fishing operations in international and other nations’ waters</w:t>
      </w:r>
      <w:r>
        <w:t>. In these cases, they are regarded as remaining residents of their national economy regardless of their location of operation;</w:t>
      </w:r>
    </w:p>
    <w:p w14:paraId="30A73684" w14:textId="77777777" w:rsidR="00F903CE" w:rsidRDefault="00FB0299">
      <w:pPr>
        <w:numPr>
          <w:ilvl w:val="0"/>
          <w:numId w:val="21"/>
        </w:numPr>
      </w:pPr>
      <w:r>
        <w:t>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p w14:paraId="19E3323C" w14:textId="77777777" w:rsidR="00F903CE" w:rsidRDefault="00FB0299">
      <w:pPr>
        <w:pStyle w:val="Heading1"/>
      </w:pPr>
      <w:bookmarkStart w:id="27" w:name="physical-flow-metrics"/>
      <w:bookmarkEnd w:id="26"/>
      <w:bookmarkEnd w:id="22"/>
      <w:bookmarkEnd w:id="19"/>
      <w:r>
        <w:t>Physical flow metrics</w:t>
      </w:r>
    </w:p>
    <w:p w14:paraId="3C0AD7D4" w14:textId="77777777" w:rsidR="00F903CE" w:rsidRDefault="00FB0299">
      <w:pPr>
        <w:pStyle w:val="FirstParagraph"/>
      </w:pPr>
      <w:r>
        <w:t>Related to the three metrics of energy, water and product. I’m just focusing on the ocean related dimensions.</w:t>
      </w:r>
    </w:p>
    <w:p w14:paraId="0706A40E" w14:textId="77777777" w:rsidR="00F903CE" w:rsidRDefault="00FB0299">
      <w:pPr>
        <w:pStyle w:val="Heading2"/>
      </w:pPr>
      <w:bookmarkStart w:id="28" w:name="physical-flow-accounts-for-energy"/>
      <w:r>
        <w:t>Physical flow accounts for energy</w:t>
      </w:r>
    </w:p>
    <w:p w14:paraId="24D05DDE" w14:textId="77777777" w:rsidR="00F903CE" w:rsidRDefault="00FB0299">
      <w:pPr>
        <w:pStyle w:val="Heading3"/>
      </w:pPr>
      <w:bookmarkStart w:id="29" w:name="Xebb460e92213afb186c8ff8d50a40711354bcfd"/>
      <w:r>
        <w:t>Treatment of international flows - Transport related fuel and pollution</w:t>
      </w:r>
    </w:p>
    <w:p w14:paraId="68ADCAA3" w14:textId="77777777" w:rsidR="00F903CE" w:rsidRDefault="00FB0299">
      <w:pPr>
        <w:pStyle w:val="FirstParagraph"/>
      </w:pPr>
      <w:r>
        <w:t>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14:paraId="6E43C9DF" w14:textId="77777777" w:rsidR="00F903CE" w:rsidRDefault="00FB0299">
      <w:pPr>
        <w:pStyle w:val="BodyText"/>
      </w:pPr>
      <w:r>
        <w:t xml:space="preserve">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w:t>
      </w:r>
      <w:r>
        <w:lastRenderedPageBreak/>
        <w:t>need to be considered individually so that the appropriate treatment can be decided. This subsection discusses international transport, tourist activity and natural resource inputs.</w:t>
      </w:r>
    </w:p>
    <w:p w14:paraId="39A4571D" w14:textId="77777777" w:rsidR="00F903CE" w:rsidRDefault="00FB0299">
      <w:pPr>
        <w:pStyle w:val="BodyText"/>
      </w:pPr>
      <w:r>
        <w:t>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14:paraId="70AECAF9" w14:textId="77777777" w:rsidR="00F903CE" w:rsidRDefault="00FB0299">
      <w:pPr>
        <w:pStyle w:val="BodyText"/>
      </w:pPr>
      <w:r>
        <w:rPr>
          <w:b/>
          <w:bCs/>
        </w:rPr>
        <w:t>Does this mean I should think about estimating transport and fishing-related pollution in the Ocean Accounts? - Probably yes!</w:t>
      </w:r>
    </w:p>
    <w:p w14:paraId="7CADB1AF" w14:textId="77777777" w:rsidR="00F903CE" w:rsidRDefault="00FB0299">
      <w:pPr>
        <w:pStyle w:val="BodyText"/>
      </w:pPr>
      <w:r>
        <w:t>To ensure consistency with other parts of the accounts, the treatment is centred on the residence of the operator of the transport equipment. Usually, this will be the location of the headquarters of the transport operator.</w:t>
      </w:r>
    </w:p>
    <w:p w14:paraId="2E8670E6" w14:textId="77777777" w:rsidR="00F903CE" w:rsidRDefault="00FB0299">
      <w:pPr>
        <w:numPr>
          <w:ilvl w:val="0"/>
          <w:numId w:val="22"/>
        </w:numPr>
      </w:pPr>
      <w:r>
        <w:t>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14:paraId="76A5F7CD" w14:textId="77777777" w:rsidR="00F903CE" w:rsidRDefault="00FB0299">
      <w:pPr>
        <w:numPr>
          <w:ilvl w:val="0"/>
          <w:numId w:val="22"/>
        </w:numPr>
      </w:pPr>
      <w:r>
        <w:t>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14:paraId="582061EA" w14:textId="77777777" w:rsidR="00F903CE" w:rsidRDefault="00FB0299">
      <w:pPr>
        <w:pStyle w:val="FirstParagraph"/>
      </w:pPr>
      <w:r>
        <w:t>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w:t>
      </w:r>
      <w:r>
        <w:t>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p w14:paraId="6D594451" w14:textId="77777777" w:rsidR="00F903CE" w:rsidRDefault="00FB0299">
      <w:pPr>
        <w:pStyle w:val="Heading3"/>
      </w:pPr>
      <w:bookmarkStart w:id="30" w:name="tourist-activity"/>
      <w:bookmarkEnd w:id="29"/>
      <w:r>
        <w:t>Tourist activity</w:t>
      </w:r>
    </w:p>
    <w:p w14:paraId="149ED05D" w14:textId="77777777" w:rsidR="00F903CE" w:rsidRDefault="00FB0299">
      <w:pPr>
        <w:pStyle w:val="FirstParagraph"/>
      </w:pPr>
      <w:r>
        <w:t>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w:t>
      </w:r>
      <w:r>
        <w:t xml:space="preserve">he location of the tourist when the consumption is undertaken. Thus, purchases by the tourist in other countries are recorded </w:t>
      </w:r>
      <w:r>
        <w:lastRenderedPageBreak/>
        <w:t>as an export by the country visited and as an import of the country of residence of the tourist.</w:t>
      </w:r>
    </w:p>
    <w:p w14:paraId="2BAC39DB" w14:textId="77777777" w:rsidR="00F903CE" w:rsidRDefault="00FB0299">
      <w:pPr>
        <w:pStyle w:val="BodyText"/>
      </w:pPr>
      <w:r>
        <w:t>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14:paraId="093457A2" w14:textId="77777777" w:rsidR="00F903CE" w:rsidRDefault="00FB0299">
      <w:pPr>
        <w:pStyle w:val="BodyText"/>
      </w:pPr>
      <w:r>
        <w:t>Emissions from cars are also attributed to the country of residence of the operator (in this case, the driver of the car), whether the car is owned by the driver or hired from a car rental firm.</w:t>
      </w:r>
    </w:p>
    <w:p w14:paraId="3812A9DC" w14:textId="77777777" w:rsidR="00F903CE" w:rsidRDefault="00FB0299">
      <w:pPr>
        <w:pStyle w:val="Heading3"/>
      </w:pPr>
      <w:bookmarkStart w:id="31" w:name="illegal-harvesting"/>
      <w:bookmarkEnd w:id="30"/>
      <w:r>
        <w:t>Illegal Harvesting</w:t>
      </w:r>
    </w:p>
    <w:p w14:paraId="3F0B25C1" w14:textId="77777777" w:rsidR="00F903CE" w:rsidRDefault="00FB0299">
      <w:pPr>
        <w:pStyle w:val="FirstParagraph"/>
      </w:pPr>
      <w:r>
        <w:t>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14:paraId="29B425DF" w14:textId="77777777" w:rsidR="00F903CE" w:rsidRDefault="00FB0299">
      <w:pPr>
        <w:pStyle w:val="BodyText"/>
      </w:pPr>
      <w:r>
        <w:rPr>
          <w:b/>
          <w:bCs/>
        </w:rPr>
        <w:t>The major exception to this kind of treatment occurs with respect to natural aquatic resources.</w:t>
      </w:r>
    </w:p>
    <w:p w14:paraId="7F1D9DCC" w14:textId="77777777" w:rsidR="00F903CE" w:rsidRDefault="00FB0299">
      <w:pPr>
        <w:pStyle w:val="BodyText"/>
      </w:pPr>
      <w:r>
        <w:t>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w:t>
      </w:r>
      <w:r>
        <w:t xml:space="preserve">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p w14:paraId="2E3B8762" w14:textId="77777777" w:rsidR="00F903CE" w:rsidRDefault="00FB0299">
      <w:pPr>
        <w:pStyle w:val="Heading3"/>
      </w:pPr>
      <w:bookmarkStart w:id="32" w:name="X6604d7e576535eae4018b1c6bb60377755daba9"/>
      <w:bookmarkEnd w:id="31"/>
      <w:r>
        <w:t>Treatment of goods for processing (Transshipment activity)</w:t>
      </w:r>
    </w:p>
    <w:p w14:paraId="3CC58036" w14:textId="77777777" w:rsidR="00F903CE" w:rsidRDefault="00FB0299">
      <w:pPr>
        <w:pStyle w:val="FirstParagraph"/>
      </w:pPr>
      <w:r>
        <w:t>It is increasingly common for goods from one country to be sent to another country for further processing before being:</w:t>
      </w:r>
    </w:p>
    <w:p w14:paraId="7FD467A3" w14:textId="77777777" w:rsidR="00F903CE" w:rsidRDefault="00FB0299">
      <w:pPr>
        <w:numPr>
          <w:ilvl w:val="0"/>
          <w:numId w:val="23"/>
        </w:numPr>
      </w:pPr>
      <w:r>
        <w:t>returned to the original country,</w:t>
      </w:r>
    </w:p>
    <w:p w14:paraId="1298D81F" w14:textId="77777777" w:rsidR="00F903CE" w:rsidRDefault="00FB0299">
      <w:pPr>
        <w:numPr>
          <w:ilvl w:val="0"/>
          <w:numId w:val="23"/>
        </w:numPr>
      </w:pPr>
      <w:r>
        <w:t>sold in the processing country or</w:t>
      </w:r>
    </w:p>
    <w:p w14:paraId="0CA7D323" w14:textId="77777777" w:rsidR="00F903CE" w:rsidRDefault="00FB0299">
      <w:pPr>
        <w:numPr>
          <w:ilvl w:val="0"/>
          <w:numId w:val="23"/>
        </w:numPr>
      </w:pPr>
      <w:r>
        <w:t>sent to other countries.</w:t>
      </w:r>
    </w:p>
    <w:p w14:paraId="1D5BB032" w14:textId="77777777" w:rsidR="00F903CE" w:rsidRDefault="00FB0299">
      <w:pPr>
        <w:pStyle w:val="FirstParagraph"/>
      </w:pPr>
      <w:r>
        <w:t xml:space="preserve">In situations where the unprocessed goods are sold to a processor in a second country, there are no particular recording issues. However, in situations where the processing is undertaken on a fee-for-service basis and there is no change of ownership of the goods (i.e., </w:t>
      </w:r>
      <w:r>
        <w:lastRenderedPageBreak/>
        <w:t>the ownership remains with the original country), the financial flows are unlikely to relate directly to the physical flows of goods being processed.</w:t>
      </w:r>
    </w:p>
    <w:p w14:paraId="618336C5" w14:textId="77777777" w:rsidR="00F903CE" w:rsidRDefault="00FB0299">
      <w:pPr>
        <w:pStyle w:val="Heading2"/>
      </w:pPr>
      <w:bookmarkStart w:id="33" w:name="physical-flow-accounts-for-water"/>
      <w:bookmarkEnd w:id="32"/>
      <w:bookmarkEnd w:id="28"/>
      <w:r>
        <w:t>Physical flow accounts for water</w:t>
      </w:r>
    </w:p>
    <w:p w14:paraId="01D8FDC9" w14:textId="77777777" w:rsidR="00F903CE" w:rsidRDefault="00FB0299">
      <w:pPr>
        <w:pStyle w:val="FirstParagraph"/>
      </w:pPr>
      <w:r>
        <w:t xml:space="preserve">The focus of the SEEA is the inland water system, with provision for the inclusion of sea or </w:t>
      </w:r>
      <w:r>
        <w:rPr>
          <w:b/>
          <w:bCs/>
        </w:rPr>
        <w:t>ocean water abstracted for production and consumption</w:t>
      </w:r>
      <w:r>
        <w:t xml:space="preserve"> (e.g., saline water for desalinization or cooling).</w:t>
      </w:r>
    </w:p>
    <w:p w14:paraId="7C8CAFCE" w14:textId="77777777" w:rsidR="00F903CE" w:rsidRDefault="00FB0299">
      <w:pPr>
        <w:pStyle w:val="BodyText"/>
      </w:pPr>
      <w:r>
        <w:t>Physical supply and use tables can be compiled at various levels of detail, depending on the required policy and analytical focus and data availability. A basic PSUT for water contains information on the supply and use of water and provides an overview of water flows.</w:t>
      </w:r>
    </w:p>
    <w:p w14:paraId="3C415CFC" w14:textId="77777777" w:rsidR="00F903CE" w:rsidRDefault="00FB0299">
      <w:pPr>
        <w:pStyle w:val="BodyText"/>
      </w:pPr>
      <w:r>
        <w:t>The PSUT is divided into five sections which organize information on:</w:t>
      </w:r>
    </w:p>
    <w:p w14:paraId="329916B9" w14:textId="77777777" w:rsidR="00F903CE" w:rsidRDefault="00FB0299">
      <w:pPr>
        <w:numPr>
          <w:ilvl w:val="0"/>
          <w:numId w:val="24"/>
        </w:numPr>
      </w:pPr>
      <w:r>
        <w:t>abstraction of water from the environment;</w:t>
      </w:r>
    </w:p>
    <w:p w14:paraId="3609959E" w14:textId="77777777" w:rsidR="00F903CE" w:rsidRDefault="00FB0299">
      <w:pPr>
        <w:numPr>
          <w:ilvl w:val="0"/>
          <w:numId w:val="24"/>
        </w:numPr>
      </w:pPr>
      <w:r>
        <w:t>distribution and use of abstracted water across enterprises and households;</w:t>
      </w:r>
    </w:p>
    <w:p w14:paraId="28BDA325" w14:textId="77777777" w:rsidR="00F903CE" w:rsidRDefault="00FB0299">
      <w:pPr>
        <w:numPr>
          <w:ilvl w:val="0"/>
          <w:numId w:val="24"/>
        </w:numPr>
      </w:pPr>
      <w:r>
        <w:t>flows of wastewater and reused water (between households and enterprises);</w:t>
      </w:r>
    </w:p>
    <w:p w14:paraId="0E2886A1" w14:textId="77777777" w:rsidR="00F903CE" w:rsidRDefault="00FB0299">
      <w:pPr>
        <w:numPr>
          <w:ilvl w:val="0"/>
          <w:numId w:val="24"/>
        </w:numPr>
      </w:pPr>
      <w:r>
        <w:t>return flows of water to the environment; and</w:t>
      </w:r>
    </w:p>
    <w:p w14:paraId="43C18D34" w14:textId="77777777" w:rsidR="00F903CE" w:rsidRDefault="00FB0299">
      <w:pPr>
        <w:numPr>
          <w:ilvl w:val="0"/>
          <w:numId w:val="24"/>
        </w:numPr>
      </w:pPr>
      <w:r>
        <w:t>evaporation, transpiration and water incorporated into products.</w:t>
      </w:r>
    </w:p>
    <w:p w14:paraId="7352DF00" w14:textId="77777777" w:rsidR="00F903CE" w:rsidRDefault="00FB0299">
      <w:pPr>
        <w:pStyle w:val="FirstParagraph"/>
      </w:pPr>
      <w:r>
        <w:t>The breakdown of the economic activities, classified according to the ISIC, distinguishes the following groups:</w:t>
      </w:r>
    </w:p>
    <w:p w14:paraId="4D41FE68" w14:textId="77777777" w:rsidR="00F903CE" w:rsidRDefault="00FB0299">
      <w:pPr>
        <w:numPr>
          <w:ilvl w:val="0"/>
          <w:numId w:val="25"/>
        </w:numPr>
      </w:pPr>
      <w:r>
        <w:t>ISIC divisions 01-03: Agriculture, forestry and fishing (it may be relevant to distinguish among the uses of water by these different industries)</w:t>
      </w:r>
    </w:p>
    <w:p w14:paraId="77C9BBE9" w14:textId="77777777" w:rsidR="00F903CE" w:rsidRDefault="00FB0299">
      <w:pPr>
        <w:numPr>
          <w:ilvl w:val="0"/>
          <w:numId w:val="25"/>
        </w:numPr>
      </w:pPr>
      <w:r>
        <w:t>ISIC divisions 05-33 and 41: Mining and quarrying; manufacturing; and construction, respectively</w:t>
      </w:r>
    </w:p>
    <w:p w14:paraId="113ADB93" w14:textId="77777777" w:rsidR="00F903CE" w:rsidRDefault="00FB0299">
      <w:pPr>
        <w:numPr>
          <w:ilvl w:val="0"/>
          <w:numId w:val="25"/>
        </w:numPr>
      </w:pPr>
      <w:r>
        <w:t>ISIC division 35: Electricity, gas, steam and air conditioning supply</w:t>
      </w:r>
    </w:p>
    <w:p w14:paraId="1A0648AF" w14:textId="77777777" w:rsidR="00F903CE" w:rsidRDefault="00FB0299">
      <w:pPr>
        <w:numPr>
          <w:ilvl w:val="0"/>
          <w:numId w:val="25"/>
        </w:numPr>
      </w:pPr>
      <w:r>
        <w:t>ISIC division 36: Water collection, treatment and supply; sewerage, waste management and remediation activities</w:t>
      </w:r>
    </w:p>
    <w:p w14:paraId="7E1F107A" w14:textId="77777777" w:rsidR="00F903CE" w:rsidRDefault="00FB0299">
      <w:pPr>
        <w:numPr>
          <w:ilvl w:val="0"/>
          <w:numId w:val="25"/>
        </w:numPr>
      </w:pPr>
      <w:r>
        <w:t>ISIC division 37: Sewerage</w:t>
      </w:r>
    </w:p>
    <w:p w14:paraId="08C80D49" w14:textId="77777777" w:rsidR="00F903CE" w:rsidRDefault="00FB0299">
      <w:pPr>
        <w:numPr>
          <w:ilvl w:val="0"/>
          <w:numId w:val="25"/>
        </w:numPr>
      </w:pPr>
      <w:r>
        <w:t>ISIC divisions: 38, 39 and 45-99: Other industries</w:t>
      </w:r>
    </w:p>
    <w:p w14:paraId="7DB271D2" w14:textId="77777777" w:rsidR="00F903CE" w:rsidRDefault="00FB0299">
      <w:pPr>
        <w:pStyle w:val="Heading2"/>
      </w:pPr>
      <w:bookmarkStart w:id="34" w:name="physical-flow-accounts-of-materials"/>
      <w:bookmarkEnd w:id="33"/>
      <w:r>
        <w:t>Physical flow accounts of materials</w:t>
      </w:r>
    </w:p>
    <w:p w14:paraId="41C5905B" w14:textId="77777777" w:rsidR="00F903CE" w:rsidRDefault="00FB0299">
      <w:pPr>
        <w:pStyle w:val="FirstParagraph"/>
      </w:pPr>
      <w:r>
        <w:t>The third subsystem of physical flow accounting encompasses flows of materials. In contrast to energy and water, materials are a far more diverse set of natural inputs, products and residuals.</w:t>
      </w:r>
    </w:p>
    <w:p w14:paraId="533FD1B1" w14:textId="77777777" w:rsidR="00F903CE" w:rsidRDefault="00FB0299">
      <w:pPr>
        <w:pStyle w:val="BodyText"/>
      </w:pPr>
      <w:r>
        <w:t>The present section discusses the main areas in which development of physical flow accounting for materials has taken place:</w:t>
      </w:r>
    </w:p>
    <w:p w14:paraId="525C5CF3" w14:textId="77777777" w:rsidR="00F903CE" w:rsidRDefault="00FB0299">
      <w:pPr>
        <w:numPr>
          <w:ilvl w:val="0"/>
          <w:numId w:val="26"/>
        </w:numPr>
      </w:pPr>
      <w:r>
        <w:t>product flow accounting,</w:t>
      </w:r>
    </w:p>
    <w:p w14:paraId="3C66B476" w14:textId="77777777" w:rsidR="00F903CE" w:rsidRDefault="00FB0299">
      <w:pPr>
        <w:numPr>
          <w:ilvl w:val="0"/>
          <w:numId w:val="26"/>
        </w:numPr>
      </w:pPr>
      <w:r>
        <w:t>accounting for air emissions,</w:t>
      </w:r>
    </w:p>
    <w:p w14:paraId="4B25F912" w14:textId="77777777" w:rsidR="00F903CE" w:rsidRDefault="00FB0299">
      <w:pPr>
        <w:numPr>
          <w:ilvl w:val="0"/>
          <w:numId w:val="26"/>
        </w:numPr>
      </w:pPr>
      <w:r>
        <w:lastRenderedPageBreak/>
        <w:t>accounting for emissions to water and associated releases to economic units,</w:t>
      </w:r>
    </w:p>
    <w:p w14:paraId="0AD0F817" w14:textId="77777777" w:rsidR="00F903CE" w:rsidRDefault="00FB0299">
      <w:pPr>
        <w:numPr>
          <w:ilvl w:val="0"/>
          <w:numId w:val="26"/>
        </w:numPr>
      </w:pPr>
      <w:r>
        <w:t>accounting for solid waste and</w:t>
      </w:r>
    </w:p>
    <w:p w14:paraId="0DCA47F3" w14:textId="77777777" w:rsidR="00F903CE" w:rsidRDefault="00FB0299">
      <w:pPr>
        <w:numPr>
          <w:ilvl w:val="0"/>
          <w:numId w:val="26"/>
        </w:numPr>
      </w:pPr>
      <w:r>
        <w:t>economy-wide material flow accounting (EW-MFA)</w:t>
      </w:r>
    </w:p>
    <w:p w14:paraId="2436F498" w14:textId="77777777" w:rsidR="00F903CE" w:rsidRDefault="00FB0299">
      <w:pPr>
        <w:pStyle w:val="FirstParagraph"/>
      </w:pPr>
      <w:r>
        <w:t>Lots of blah blah in this section. An interesting dimension would be to include a species split into the extracted fish.</w:t>
      </w:r>
    </w:p>
    <w:p w14:paraId="6B523159" w14:textId="77777777" w:rsidR="00F903CE" w:rsidRDefault="00FB0299">
      <w:r>
        <w:br w:type="page"/>
      </w:r>
    </w:p>
    <w:p w14:paraId="4B3C2422" w14:textId="77777777" w:rsidR="00F903CE" w:rsidRDefault="00FB0299">
      <w:pPr>
        <w:pStyle w:val="Heading1"/>
      </w:pPr>
      <w:bookmarkStart w:id="35" w:name="X0a7017250bd74c15fb2633df7dff86ef731ef02"/>
      <w:bookmarkEnd w:id="34"/>
      <w:bookmarkEnd w:id="27"/>
      <w:r>
        <w:lastRenderedPageBreak/>
        <w:t>Incorporating the Environment into the SNA</w:t>
      </w:r>
    </w:p>
    <w:p w14:paraId="5D430F7B" w14:textId="77777777" w:rsidR="00F903CE" w:rsidRDefault="00FB0299">
      <w:pPr>
        <w:pStyle w:val="FirstParagraph"/>
      </w:pPr>
      <w:r>
        <w:t>The general approach to identifying transactions related to a particular theme or topic is described in the SNA in its discussion of satellite accounts.</w:t>
      </w:r>
    </w:p>
    <w:p w14:paraId="70B5C76F" w14:textId="77777777" w:rsidR="00F903CE" w:rsidRDefault="00FB0299">
      <w:pPr>
        <w:pStyle w:val="BodyText"/>
      </w:pPr>
      <w:r>
        <w:t>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 and consumers with respect to the environment.</w:t>
      </w:r>
    </w:p>
    <w:p w14:paraId="08B0E0CB" w14:textId="77777777" w:rsidR="00F903CE" w:rsidRDefault="00FB0299">
      <w:pPr>
        <w:pStyle w:val="Heading2"/>
      </w:pPr>
      <w:bookmarkStart w:id="36" w:name="X4e0facde1e4e948d30deb04223309b6f1553da4"/>
      <w:r>
        <w:t>The environmental protection expenditure account (EPEA)</w:t>
      </w:r>
    </w:p>
    <w:p w14:paraId="04AC7BC7" w14:textId="77777777" w:rsidR="00F903CE" w:rsidRDefault="00FB0299">
      <w:pPr>
        <w:pStyle w:val="FirstParagraph"/>
      </w:pPr>
      <w:r>
        <w:t>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14:paraId="68154553" w14:textId="77777777" w:rsidR="00F903CE" w:rsidRDefault="00FB0299">
      <w:pPr>
        <w:numPr>
          <w:ilvl w:val="0"/>
          <w:numId w:val="27"/>
        </w:numPr>
      </w:pPr>
      <w:r>
        <w:t>The prevention, reduction or treatment of waste and wastewater;</w:t>
      </w:r>
    </w:p>
    <w:p w14:paraId="13117EA9" w14:textId="77777777" w:rsidR="00F903CE" w:rsidRDefault="00FB0299">
      <w:pPr>
        <w:numPr>
          <w:ilvl w:val="0"/>
          <w:numId w:val="27"/>
        </w:numPr>
      </w:pPr>
      <w:r>
        <w:t>The prevention, reduction or elimination of air emissions;</w:t>
      </w:r>
    </w:p>
    <w:p w14:paraId="2134D663" w14:textId="77777777" w:rsidR="00F903CE" w:rsidRDefault="00FB0299">
      <w:pPr>
        <w:numPr>
          <w:ilvl w:val="0"/>
          <w:numId w:val="27"/>
        </w:numPr>
      </w:pPr>
      <w:r>
        <w:t>The treatment and disposal of contaminated soil and groundwater;</w:t>
      </w:r>
    </w:p>
    <w:p w14:paraId="03116843" w14:textId="77777777" w:rsidR="00F903CE" w:rsidRDefault="00FB0299">
      <w:pPr>
        <w:numPr>
          <w:ilvl w:val="0"/>
          <w:numId w:val="27"/>
        </w:numPr>
      </w:pPr>
      <w:r>
        <w:t>The prevention or reduction of noise and vibration levels;</w:t>
      </w:r>
    </w:p>
    <w:p w14:paraId="4DD99314" w14:textId="77777777" w:rsidR="00F903CE" w:rsidRDefault="00FB0299">
      <w:pPr>
        <w:numPr>
          <w:ilvl w:val="0"/>
          <w:numId w:val="27"/>
        </w:numPr>
      </w:pPr>
      <w:r>
        <w:t>The protection of biodiversity and landscapes, including of their ecological functions;</w:t>
      </w:r>
    </w:p>
    <w:p w14:paraId="2EEC3DB6" w14:textId="77777777" w:rsidR="00F903CE" w:rsidRDefault="00FB0299">
      <w:pPr>
        <w:numPr>
          <w:ilvl w:val="0"/>
          <w:numId w:val="27"/>
        </w:numPr>
      </w:pPr>
      <w:r>
        <w:t>Monitoring of the quality of the natural environment (air, water, soil and groundwater);</w:t>
      </w:r>
    </w:p>
    <w:p w14:paraId="3808389F" w14:textId="77777777" w:rsidR="00F903CE" w:rsidRDefault="00FB0299">
      <w:pPr>
        <w:numPr>
          <w:ilvl w:val="0"/>
          <w:numId w:val="27"/>
        </w:numPr>
      </w:pPr>
      <w:r>
        <w:t>Research and development on environmental protection; and</w:t>
      </w:r>
    </w:p>
    <w:p w14:paraId="2E710CDF" w14:textId="77777777" w:rsidR="00F903CE" w:rsidRDefault="00FB0299">
      <w:pPr>
        <w:numPr>
          <w:ilvl w:val="0"/>
          <w:numId w:val="27"/>
        </w:numPr>
      </w:pPr>
      <w:r>
        <w:t>The general administration, training and teaching activities oriented towards environmental protection.</w:t>
      </w:r>
    </w:p>
    <w:p w14:paraId="42078A13" w14:textId="77777777" w:rsidR="00F903CE" w:rsidRDefault="00FB0299">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 </w:t>
      </w:r>
      <w:r>
        <w:rPr>
          <w:b/>
          <w:bCs/>
        </w:rPr>
        <w:t>the general management of natural resources (including monitoring, control, surveillance and data collection)</w:t>
      </w:r>
      <w:r>
        <w:t>; and the production of goods and services used to manage or conserve natural resources.</w:t>
      </w:r>
    </w:p>
    <w:p w14:paraId="3648C42F" w14:textId="77777777" w:rsidR="00F903CE" w:rsidRDefault="00FB0299">
      <w:pPr>
        <w:pStyle w:val="BodyText"/>
      </w:pPr>
      <w:r>
        <w:t>(The cost of the FFA allocated to countries?)</w:t>
      </w:r>
    </w:p>
    <w:p w14:paraId="209B0B47" w14:textId="77777777" w:rsidR="00F903CE" w:rsidRDefault="00FB0299">
      <w:pPr>
        <w:pStyle w:val="Heading4"/>
      </w:pPr>
      <w:bookmarkStart w:id="37" w:name="Xa03c15cce38eecbf40a7051de1f41061780082f"/>
      <w:r>
        <w:lastRenderedPageBreak/>
        <w:t>Classification of environmental activities</w:t>
      </w:r>
    </w:p>
    <w:p w14:paraId="770C7237" w14:textId="77777777" w:rsidR="00F903CE" w:rsidRDefault="00FB0299">
      <w:pPr>
        <w:pStyle w:val="CaptionedFigure"/>
      </w:pPr>
      <w:r>
        <w:rPr>
          <w:noProof/>
        </w:rPr>
        <w:drawing>
          <wp:inline distT="0" distB="0" distL="0" distR="0" wp14:anchorId="0587B3E6" wp14:editId="420D3900">
            <wp:extent cx="5270500" cy="3395758"/>
            <wp:effectExtent l="0" t="0" r="0" b="0"/>
            <wp:docPr id="85" name="Picture" descr="Figure 5: Classification of Environmental Activities: overview of groups and classes"/>
            <wp:cNvGraphicFramePr/>
            <a:graphic xmlns:a="http://schemas.openxmlformats.org/drawingml/2006/main">
              <a:graphicData uri="http://schemas.openxmlformats.org/drawingml/2006/picture">
                <pic:pic xmlns:pic="http://schemas.openxmlformats.org/drawingml/2006/picture">
                  <pic:nvPicPr>
                    <pic:cNvPr id="86" name="Picture" descr="Graphical_Output/ClassificationEnvironmentActivities.png"/>
                    <pic:cNvPicPr>
                      <a:picLocks noChangeAspect="1" noChangeArrowheads="1"/>
                    </pic:cNvPicPr>
                  </pic:nvPicPr>
                  <pic:blipFill>
                    <a:blip r:embed="rId12"/>
                    <a:stretch>
                      <a:fillRect/>
                    </a:stretch>
                  </pic:blipFill>
                  <pic:spPr bwMode="auto">
                    <a:xfrm>
                      <a:off x="0" y="0"/>
                      <a:ext cx="5270500" cy="3395758"/>
                    </a:xfrm>
                    <a:prstGeom prst="rect">
                      <a:avLst/>
                    </a:prstGeom>
                    <a:noFill/>
                    <a:ln w="9525">
                      <a:noFill/>
                      <a:headEnd/>
                      <a:tailEnd/>
                    </a:ln>
                  </pic:spPr>
                </pic:pic>
              </a:graphicData>
            </a:graphic>
          </wp:inline>
        </w:drawing>
      </w:r>
    </w:p>
    <w:p w14:paraId="33869680" w14:textId="77777777" w:rsidR="00F903CE" w:rsidRDefault="00FB0299">
      <w:pPr>
        <w:pStyle w:val="ImageCaption"/>
      </w:pPr>
      <w:bookmarkStart w:id="38" w:name="fig:unnamed-chunk-5"/>
      <w:bookmarkEnd w:id="38"/>
      <w:r>
        <w:t>Figure 5: Classification of Environmental Activities: overview of groups and classes</w:t>
      </w:r>
    </w:p>
    <w:p w14:paraId="4D488357" w14:textId="77777777" w:rsidR="00F903CE" w:rsidRDefault="00FB0299">
      <w:pPr>
        <w:pStyle w:val="BodyText"/>
      </w:pPr>
      <w:r>
        <w:t>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p w14:paraId="71E38E73" w14:textId="77777777" w:rsidR="00F903CE" w:rsidRDefault="00FB0299">
      <w:pPr>
        <w:pStyle w:val="Heading2"/>
      </w:pPr>
      <w:bookmarkStart w:id="39" w:name="X59b034f7219e003291e06f16908e2db4078ae2f"/>
      <w:bookmarkEnd w:id="37"/>
      <w:bookmarkEnd w:id="36"/>
      <w:r>
        <w:t>Fixed assets used in economic activities related to the environment</w:t>
      </w:r>
    </w:p>
    <w:p w14:paraId="41DCB68E" w14:textId="77777777" w:rsidR="00F903CE" w:rsidRDefault="00FB0299">
      <w:pPr>
        <w:pStyle w:val="FirstParagraph"/>
      </w:pPr>
      <w:r>
        <w:t>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w:t>
      </w:r>
      <w:r>
        <w:t>s well as in the amount of investment that takes place in fixed assets for environmental protection or resource management purposes. For example, information on the amount of investment in equipment to capture energy from renewable energy sources may be of interest.</w:t>
      </w:r>
    </w:p>
    <w:p w14:paraId="4B544B43" w14:textId="77777777" w:rsidR="00F903CE" w:rsidRDefault="00FB0299">
      <w:pPr>
        <w:pStyle w:val="BodyText"/>
      </w:pPr>
      <w:r>
        <w:t>Probably definitely includes things like port infrastructure.</w:t>
      </w:r>
    </w:p>
    <w:p w14:paraId="7BD835D5" w14:textId="77777777" w:rsidR="00F903CE" w:rsidRDefault="00FB0299">
      <w:r>
        <w:br w:type="page"/>
      </w:r>
    </w:p>
    <w:p w14:paraId="30962D2F" w14:textId="77777777" w:rsidR="00F903CE" w:rsidRDefault="00FB0299">
      <w:pPr>
        <w:pStyle w:val="Heading1"/>
      </w:pPr>
      <w:bookmarkStart w:id="40" w:name="asset-accounts"/>
      <w:bookmarkEnd w:id="39"/>
      <w:bookmarkEnd w:id="35"/>
      <w:r>
        <w:lastRenderedPageBreak/>
        <w:t>Asset accounts</w:t>
      </w:r>
    </w:p>
    <w:p w14:paraId="0C5020D8" w14:textId="77777777" w:rsidR="00F903CE" w:rsidRDefault="00FB0299">
      <w:pPr>
        <w:pStyle w:val="FirstParagraph"/>
      </w:pPr>
      <w:r>
        <w:t>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14:paraId="7908BDDB" w14:textId="77777777" w:rsidR="00F903CE" w:rsidRDefault="00FB0299">
      <w:pPr>
        <w:pStyle w:val="BodyText"/>
      </w:pPr>
      <w:r>
        <w:t>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14:paraId="5F686E06" w14:textId="77777777" w:rsidR="00F903CE" w:rsidRDefault="00FB0299">
      <w:pPr>
        <w:pStyle w:val="CaptionedFigure"/>
      </w:pPr>
      <w:r>
        <w:rPr>
          <w:noProof/>
        </w:rPr>
        <w:drawing>
          <wp:inline distT="0" distB="0" distL="0" distR="0" wp14:anchorId="1050828E" wp14:editId="7BAD34FC">
            <wp:extent cx="5270500" cy="3797026"/>
            <wp:effectExtent l="0" t="0" r="0" b="0"/>
            <wp:docPr id="93" name="Picture" descr="Figure 6: Classification of environmental assets in the SEEA Central Framework"/>
            <wp:cNvGraphicFramePr/>
            <a:graphic xmlns:a="http://schemas.openxmlformats.org/drawingml/2006/main">
              <a:graphicData uri="http://schemas.openxmlformats.org/drawingml/2006/picture">
                <pic:pic xmlns:pic="http://schemas.openxmlformats.org/drawingml/2006/picture">
                  <pic:nvPicPr>
                    <pic:cNvPr id="94" name="Picture" descr="Graphical_Output/ClassificationofEnvironmentalAssets.png"/>
                    <pic:cNvPicPr>
                      <a:picLocks noChangeAspect="1" noChangeArrowheads="1"/>
                    </pic:cNvPicPr>
                  </pic:nvPicPr>
                  <pic:blipFill>
                    <a:blip r:embed="rId13"/>
                    <a:stretch>
                      <a:fillRect/>
                    </a:stretch>
                  </pic:blipFill>
                  <pic:spPr bwMode="auto">
                    <a:xfrm>
                      <a:off x="0" y="0"/>
                      <a:ext cx="5270500" cy="3797026"/>
                    </a:xfrm>
                    <a:prstGeom prst="rect">
                      <a:avLst/>
                    </a:prstGeom>
                    <a:noFill/>
                    <a:ln w="9525">
                      <a:noFill/>
                      <a:headEnd/>
                      <a:tailEnd/>
                    </a:ln>
                  </pic:spPr>
                </pic:pic>
              </a:graphicData>
            </a:graphic>
          </wp:inline>
        </w:drawing>
      </w:r>
    </w:p>
    <w:p w14:paraId="4451B292" w14:textId="77777777" w:rsidR="00F903CE" w:rsidRDefault="00FB0299">
      <w:pPr>
        <w:pStyle w:val="ImageCaption"/>
      </w:pPr>
      <w:bookmarkStart w:id="41" w:name="fig:unnamed-chunk-6"/>
      <w:bookmarkEnd w:id="41"/>
      <w:r>
        <w:t>Figure 6: Classification of environmental assets in the SEEA Central Framework</w:t>
      </w:r>
    </w:p>
    <w:p w14:paraId="0D3C7571" w14:textId="77777777" w:rsidR="00F903CE" w:rsidRDefault="00FB0299">
      <w:pPr>
        <w:pStyle w:val="BodyText"/>
      </w:pPr>
      <w:r>
        <w:t>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14:paraId="637220D4" w14:textId="77777777" w:rsidR="00F903CE" w:rsidRDefault="00FB0299">
      <w:pPr>
        <w:pStyle w:val="BodyText"/>
      </w:pPr>
      <w:r>
        <w:t>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w:t>
      </w:r>
      <w:r>
        <w:t>eries of benefits accruing to the economic owner by holding or using the entity over a period of time.</w:t>
      </w:r>
    </w:p>
    <w:p w14:paraId="2C62485F" w14:textId="77777777" w:rsidR="00F903CE" w:rsidRDefault="00FB0299">
      <w:pPr>
        <w:pStyle w:val="BodyText"/>
      </w:pPr>
      <w:r>
        <w:lastRenderedPageBreak/>
        <w:t>Many environmental assets are also economic assets. In particular, natural resources and land are considered non-produced assets, and cultivated biological resources may be either fixed assets or inventories, depending on their role in production.</w:t>
      </w:r>
    </w:p>
    <w:p w14:paraId="517F38CE" w14:textId="77777777" w:rsidR="00F903CE" w:rsidRDefault="00FB0299">
      <w:pPr>
        <w:pStyle w:val="CaptionedFigure"/>
      </w:pPr>
      <w:r>
        <w:rPr>
          <w:noProof/>
        </w:rPr>
        <w:drawing>
          <wp:inline distT="0" distB="0" distL="0" distR="0" wp14:anchorId="3ED6989D" wp14:editId="49A99C9F">
            <wp:extent cx="5270500" cy="2417624"/>
            <wp:effectExtent l="0" t="0" r="0" b="0"/>
            <wp:docPr id="97" name="Picture" descr="Figure 7: General structure of the physical asset account for environmental assets (physical units)"/>
            <wp:cNvGraphicFramePr/>
            <a:graphic xmlns:a="http://schemas.openxmlformats.org/drawingml/2006/main">
              <a:graphicData uri="http://schemas.openxmlformats.org/drawingml/2006/picture">
                <pic:pic xmlns:pic="http://schemas.openxmlformats.org/drawingml/2006/picture">
                  <pic:nvPicPr>
                    <pic:cNvPr id="98" name="Picture" descr="Graphical_Output/Structure%20of%20physical%20assets%20accounts.png"/>
                    <pic:cNvPicPr>
                      <a:picLocks noChangeAspect="1" noChangeArrowheads="1"/>
                    </pic:cNvPicPr>
                  </pic:nvPicPr>
                  <pic:blipFill>
                    <a:blip r:embed="rId14"/>
                    <a:stretch>
                      <a:fillRect/>
                    </a:stretch>
                  </pic:blipFill>
                  <pic:spPr bwMode="auto">
                    <a:xfrm>
                      <a:off x="0" y="0"/>
                      <a:ext cx="5270500" cy="2417624"/>
                    </a:xfrm>
                    <a:prstGeom prst="rect">
                      <a:avLst/>
                    </a:prstGeom>
                    <a:noFill/>
                    <a:ln w="9525">
                      <a:noFill/>
                      <a:headEnd/>
                      <a:tailEnd/>
                    </a:ln>
                  </pic:spPr>
                </pic:pic>
              </a:graphicData>
            </a:graphic>
          </wp:inline>
        </w:drawing>
      </w:r>
    </w:p>
    <w:p w14:paraId="18B31DF1" w14:textId="77777777" w:rsidR="00F903CE" w:rsidRDefault="00FB0299">
      <w:pPr>
        <w:pStyle w:val="ImageCaption"/>
      </w:pPr>
      <w:bookmarkStart w:id="42" w:name="fig:unnamed-chunk-7"/>
      <w:bookmarkEnd w:id="42"/>
      <w:r>
        <w:t>Figure 7: General structure of the physical asset account for environmental assets (physical units)</w:t>
      </w:r>
    </w:p>
    <w:p w14:paraId="2A9057A1" w14:textId="77777777" w:rsidR="00F903CE" w:rsidRDefault="00FB0299">
      <w:pPr>
        <w:pStyle w:val="Heading2"/>
      </w:pPr>
      <w:bookmarkStart w:id="43" w:name="depletion-of-fisheries"/>
      <w:r>
        <w:t>Depletion of fisheries</w:t>
      </w:r>
    </w:p>
    <w:p w14:paraId="7E7E945A" w14:textId="77777777" w:rsidR="00F903CE" w:rsidRDefault="00FB0299">
      <w:pPr>
        <w:pStyle w:val="FirstParagraph"/>
      </w:pPr>
      <w:r>
        <w:t>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14:paraId="590E2ADE" w14:textId="77777777" w:rsidR="00F903CE" w:rsidRDefault="00FB0299">
      <w:pPr>
        <w:pStyle w:val="BodyText"/>
      </w:pPr>
      <w:r>
        <w:t>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14:paraId="0F8F6F54" w14:textId="77777777" w:rsidR="00F903CE" w:rsidRDefault="00FB0299">
      <w:pPr>
        <w:pStyle w:val="BodyText"/>
      </w:pPr>
      <w:r>
        <w:t>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14:paraId="0CAE937B" w14:textId="77777777" w:rsidR="00F903CE" w:rsidRDefault="00FB0299">
      <w:pPr>
        <w:pStyle w:val="BodyText"/>
      </w:pPr>
      <w:r>
        <w:t>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w:t>
      </w:r>
      <w:r>
        <w:t xml:space="preserve">l but, as the population increases, the rate of growth will also increase. Eventually, as the population within a given area reaches the </w:t>
      </w:r>
      <w:r>
        <w:lastRenderedPageBreak/>
        <w:t>carrying capacity of the area, i.e., as the density reaches a maximum, the rate of growth in the population will slow substantially.</w:t>
      </w:r>
    </w:p>
    <w:p w14:paraId="205C7E5F" w14:textId="77777777" w:rsidR="00F903CE" w:rsidRDefault="00FB0299">
      <w:pPr>
        <w:pStyle w:val="BodyText"/>
      </w:pPr>
      <w:r>
        <w:t>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p w14:paraId="1768CE31" w14:textId="77777777" w:rsidR="00F903CE" w:rsidRDefault="00FB0299">
      <w:pPr>
        <w:pStyle w:val="Heading2"/>
      </w:pPr>
      <w:bookmarkStart w:id="44" w:name="degradation-of-fisheries"/>
      <w:bookmarkEnd w:id="43"/>
      <w:r>
        <w:t>Degradation of fisheries</w:t>
      </w:r>
    </w:p>
    <w:p w14:paraId="2ABAF2D0" w14:textId="77777777" w:rsidR="00F903CE" w:rsidRDefault="00FB0299">
      <w:pPr>
        <w:pStyle w:val="FirstParagraph"/>
      </w:pPr>
      <w:r>
        <w:t>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14:paraId="6101D433" w14:textId="77777777" w:rsidR="00F903CE" w:rsidRDefault="00FB0299">
      <w:pPr>
        <w:pStyle w:val="BodyText"/>
      </w:pPr>
      <w:r>
        <w:t>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p w14:paraId="1E36A30A" w14:textId="77777777" w:rsidR="00F903CE" w:rsidRDefault="00FB0299">
      <w:pPr>
        <w:pStyle w:val="Heading2"/>
      </w:pPr>
      <w:bookmarkStart w:id="45" w:name="X2b31d1a08ef1b1e2abd455afc98aff8ca393c88"/>
      <w:bookmarkEnd w:id="44"/>
      <w:r>
        <w:t>The measurement of returns on environmental assets</w:t>
      </w:r>
    </w:p>
    <w:p w14:paraId="3119696F" w14:textId="77777777" w:rsidR="00F903CE" w:rsidRDefault="00FB0299">
      <w:pPr>
        <w:pStyle w:val="FirstParagraph"/>
      </w:pPr>
      <w:r>
        <w:t>The most commonly applied method is the Residual Value method. Resource rent is estimated by deducting user costs of produced assets from gross operating surplus after adjustment for any specific subsidies and taxes. Gross output less IC, COE, CFK, IT, Subsidies, less some estimate of “return to produced assets” (return on capital).</w:t>
      </w:r>
    </w:p>
    <w:p w14:paraId="36EEA702" w14:textId="77777777" w:rsidR="00F903CE" w:rsidRDefault="00FB0299">
      <w:pPr>
        <w:pStyle w:val="BodyText"/>
      </w:pPr>
      <w:r>
        <w:t>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w:t>
      </w:r>
      <w:r>
        <w:t>ld be considered before use of the appropriation method.</w:t>
      </w:r>
    </w:p>
    <w:p w14:paraId="7C89CFD7" w14:textId="77777777" w:rsidR="00F903CE" w:rsidRDefault="00FB0299">
      <w:pPr>
        <w:pStyle w:val="BodyText"/>
      </w:pPr>
      <w:r>
        <w:t>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w:t>
      </w:r>
      <w:r>
        <w:t>e future returns from the environmental asset (after deducting all costs, including user costs of produced assets).</w:t>
      </w:r>
    </w:p>
    <w:p w14:paraId="4DF75C52" w14:textId="77777777" w:rsidR="00F903CE" w:rsidRDefault="00FB0299">
      <w:pPr>
        <w:pStyle w:val="BodyText"/>
      </w:pPr>
      <w:r>
        <w:t xml:space="preserve">The critical factor in the valuation of assets is not the past or current returns but the expected returns. An asset with no expected returns has no value in economic terms. </w:t>
      </w:r>
      <w:r>
        <w:lastRenderedPageBreak/>
        <w:t>Expected returns are, by definition, not observed and hence assumptions concerning these flows must be made.</w:t>
      </w:r>
    </w:p>
    <w:p w14:paraId="259DA150" w14:textId="77777777" w:rsidR="00F903CE" w:rsidRDefault="00FB0299">
      <w:pPr>
        <w:pStyle w:val="Heading2"/>
      </w:pPr>
      <w:bookmarkStart w:id="46" w:name="X1004cca22f621710cc0f2d05bf52c25fed12950"/>
      <w:bookmarkEnd w:id="45"/>
      <w:r>
        <w:t>Estimates of the net present value of the environmental asset</w:t>
      </w:r>
    </w:p>
    <w:p w14:paraId="2B4246A4" w14:textId="77777777" w:rsidR="00F903CE" w:rsidRDefault="00FB0299">
      <w:pPr>
        <w:pStyle w:val="FirstParagraph"/>
      </w:pPr>
      <w:r>
        <w:t>Estimates of the value of an environmental asset are obtained based on the following basic steps and assuming the employment of the residual value method to calculate resource rent:</w:t>
      </w:r>
    </w:p>
    <w:p w14:paraId="289CCD7B" w14:textId="77777777" w:rsidR="00F903CE" w:rsidRDefault="00FB0299">
      <w:pPr>
        <w:numPr>
          <w:ilvl w:val="0"/>
          <w:numId w:val="28"/>
        </w:numPr>
      </w:pPr>
      <w:r>
        <w:t>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14:paraId="2283C19A" w14:textId="77777777" w:rsidR="00F903CE" w:rsidRDefault="00FB0299">
      <w:pPr>
        <w:numPr>
          <w:ilvl w:val="0"/>
          <w:numId w:val="28"/>
        </w:numPr>
      </w:pPr>
      <w:r>
        <w:t>Estimate resource rent as GOS less specific subsidies plus specific taxes less user cost of produced assets;</w:t>
      </w:r>
    </w:p>
    <w:p w14:paraId="33A6E339" w14:textId="77777777" w:rsidR="00F903CE" w:rsidRDefault="00FB0299">
      <w:pPr>
        <w:numPr>
          <w:ilvl w:val="0"/>
          <w:numId w:val="28"/>
        </w:numPr>
      </w:pPr>
      <w:r>
        <w:t>Estimate the asset life based on physical assessment of the stock and projected rates of extraction and growth;</w:t>
      </w:r>
    </w:p>
    <w:p w14:paraId="2467D6FA" w14:textId="77777777" w:rsidR="00F903CE" w:rsidRDefault="00FB0299">
      <w:pPr>
        <w:numPr>
          <w:ilvl w:val="0"/>
          <w:numId w:val="28"/>
        </w:numPr>
      </w:pPr>
      <w:r>
        <w:t>Project the estimate of resource rent over the life of the asset, taking into account any expected changes in extraction pattern;</w:t>
      </w:r>
    </w:p>
    <w:p w14:paraId="3EAF036C" w14:textId="77777777" w:rsidR="00F903CE" w:rsidRDefault="00FB0299">
      <w:pPr>
        <w:numPr>
          <w:ilvl w:val="0"/>
          <w:numId w:val="28"/>
        </w:numPr>
      </w:pPr>
      <w:r>
        <w:t>Apply the NPV formula using an appropriate discount rate:</w:t>
      </w:r>
    </w:p>
    <w:p w14:paraId="5B230E77" w14:textId="77777777" w:rsidR="00F903CE" w:rsidRDefault="00FB0299">
      <w:pPr>
        <w:pStyle w:val="FirstParagraph"/>
      </w:pPr>
      <m:oMathPara>
        <m:oMath>
          <m:sSub>
            <m:sSubPr>
              <m:ctrlPr>
                <w:rPr>
                  <w:rFonts w:ascii="Cambria Math" w:hAnsi="Cambria Math"/>
                </w:rPr>
              </m:ctrlPr>
            </m:sSubPr>
            <m:e>
              <m:r>
                <w:rPr>
                  <w:rFonts w:ascii="Cambria Math" w:hAnsi="Cambria Math"/>
                </w:rPr>
                <m:t>V</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τ</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t</m:t>
                  </m:r>
                </m:sub>
              </m:sSub>
            </m:sup>
            <m:e>
              <m:f>
                <m:fPr>
                  <m:ctrlPr>
                    <w:rPr>
                      <w:rFonts w:ascii="Cambria Math" w:hAnsi="Cambria Math"/>
                    </w:rPr>
                  </m:ctrlPr>
                </m:fPr>
                <m:num>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τ</m:t>
                      </m:r>
                    </m:sub>
                  </m:sSub>
                </m:num>
                <m:den>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τ</m:t>
                      </m:r>
                    </m:sup>
                  </m:sSup>
                </m:den>
              </m:f>
            </m:e>
          </m:nary>
        </m:oMath>
      </m:oMathPara>
    </w:p>
    <w:p w14:paraId="6AEEC8F7" w14:textId="77777777" w:rsidR="00F903CE" w:rsidRDefault="00FB0299">
      <w:r>
        <w:br w:type="page"/>
      </w:r>
    </w:p>
    <w:p w14:paraId="65A08E7C" w14:textId="77777777" w:rsidR="00F903CE" w:rsidRDefault="00FB0299">
      <w:pPr>
        <w:pStyle w:val="Heading1"/>
      </w:pPr>
      <w:bookmarkStart w:id="47" w:name="X5d3c730257e612cc53351e0bd239b5c8ab14c67"/>
      <w:bookmarkEnd w:id="46"/>
      <w:bookmarkEnd w:id="40"/>
      <w:r>
        <w:lastRenderedPageBreak/>
        <w:t>Physical asset accounts for mineral and energy resources</w:t>
      </w:r>
    </w:p>
    <w:p w14:paraId="5B871478" w14:textId="77777777" w:rsidR="00F903CE" w:rsidRDefault="00FB0299">
      <w:pPr>
        <w:pStyle w:val="FirstParagraph"/>
      </w:pPr>
      <w:r>
        <w:t>Things get a bit murky here because there are three types of mineral deposit classification:</w:t>
      </w:r>
    </w:p>
    <w:p w14:paraId="68292F3C" w14:textId="77777777" w:rsidR="00F903CE" w:rsidRDefault="00FB0299">
      <w:pPr>
        <w:numPr>
          <w:ilvl w:val="0"/>
          <w:numId w:val="29"/>
        </w:numPr>
      </w:pPr>
      <w:r>
        <w:t>Class A: Commercially recoverable resources. This class includes deposits for projects that fall in categories E1 and F1 and where the level of confidence in the geologic knowledge is high (G1), moderate (G2) or low (G3);</w:t>
      </w:r>
    </w:p>
    <w:p w14:paraId="0F06035E" w14:textId="77777777" w:rsidR="00F903CE" w:rsidRDefault="00FB0299">
      <w:pPr>
        <w:numPr>
          <w:ilvl w:val="0"/>
          <w:numId w:val="29"/>
        </w:numPr>
      </w:pPr>
      <w:r>
        <w:t>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14:paraId="74BBD635" w14:textId="77777777" w:rsidR="00F903CE" w:rsidRDefault="00FB0299">
      <w:pPr>
        <w:numPr>
          <w:ilvl w:val="0"/>
          <w:numId w:val="29"/>
        </w:numPr>
      </w:pPr>
      <w:r>
        <w:t>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14:paraId="65159DC5" w14:textId="77777777" w:rsidR="00F903CE" w:rsidRDefault="00FB0299">
      <w:pPr>
        <w:pStyle w:val="FirstParagraph"/>
      </w:pPr>
      <w:r>
        <w:t>Lets park mineral and energy resources for a little bit.</w:t>
      </w:r>
    </w:p>
    <w:p w14:paraId="09528BC6" w14:textId="77777777" w:rsidR="00F903CE" w:rsidRDefault="00FB0299">
      <w:r>
        <w:br w:type="page"/>
      </w:r>
    </w:p>
    <w:p w14:paraId="3EC8F269" w14:textId="77777777" w:rsidR="00F903CE" w:rsidRDefault="00FB0299">
      <w:pPr>
        <w:pStyle w:val="Heading1"/>
      </w:pPr>
      <w:bookmarkStart w:id="48" w:name="asset-accounts-for-land"/>
      <w:bookmarkEnd w:id="47"/>
      <w:r>
        <w:lastRenderedPageBreak/>
        <w:t>Asset accounts for land</w:t>
      </w:r>
    </w:p>
    <w:p w14:paraId="3E088AEC" w14:textId="77777777" w:rsidR="00F903CE" w:rsidRDefault="00FB0299">
      <w:pPr>
        <w:pStyle w:val="FirstParagraph"/>
      </w:pPr>
      <w:r>
        <w:t>There are two primary aspects of land for environmental accounting purposes: land use and land cover. A particular focus is placed on physical land accounts for forest and other wooded land.</w:t>
      </w:r>
    </w:p>
    <w:p w14:paraId="68C66556" w14:textId="77777777" w:rsidR="00F903CE" w:rsidRDefault="00FB0299">
      <w:pPr>
        <w:pStyle w:val="BodyText"/>
      </w:pPr>
      <w:r>
        <w:t>Land is a unique environmental asset that delineates the space in which economic activities and environmental processes take place and within which environmental assets and economic assets are located. While the term “land” is commonly meant to refer only to terrestrial areas, in the SEEA, the term may also apply to areas covered by water.</w:t>
      </w:r>
    </w:p>
    <w:p w14:paraId="1E2A79C6" w14:textId="77777777" w:rsidR="00F903CE" w:rsidRDefault="00FB0299">
      <w:pPr>
        <w:pStyle w:val="BodyText"/>
      </w:pPr>
      <w:r>
        <w:t>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14:paraId="5E8E5920" w14:textId="77777777" w:rsidR="00F903CE" w:rsidRDefault="00FB0299">
      <w:pPr>
        <w:pStyle w:val="BodyText"/>
      </w:pPr>
      <w:r>
        <w:t>For inland waters, there are four main categories: inland waters used for aquaculture or holding facilities; inland waters used for maintenance and restoration of environmental functions; other uses of inland waters n.e.c.; and inland waters not in use.</w:t>
      </w:r>
    </w:p>
    <w:p w14:paraId="15FE034F" w14:textId="77777777" w:rsidR="00F903CE" w:rsidRDefault="00FB0299">
      <w:pPr>
        <w:pStyle w:val="CaptionedFigure"/>
      </w:pPr>
      <w:r>
        <w:rPr>
          <w:noProof/>
        </w:rPr>
        <w:drawing>
          <wp:inline distT="0" distB="0" distL="0" distR="0" wp14:anchorId="0AEA5496" wp14:editId="5ABBA348">
            <wp:extent cx="5270500" cy="2606913"/>
            <wp:effectExtent l="0" t="0" r="0" b="0"/>
            <wp:docPr id="107" name="Picture" descr="Figure 8: Land use classification"/>
            <wp:cNvGraphicFramePr/>
            <a:graphic xmlns:a="http://schemas.openxmlformats.org/drawingml/2006/main">
              <a:graphicData uri="http://schemas.openxmlformats.org/drawingml/2006/picture">
                <pic:pic xmlns:pic="http://schemas.openxmlformats.org/drawingml/2006/picture">
                  <pic:nvPicPr>
                    <pic:cNvPr id="108" name="Picture" descr="Graphical_Output/LandUse.png"/>
                    <pic:cNvPicPr>
                      <a:picLocks noChangeAspect="1" noChangeArrowheads="1"/>
                    </pic:cNvPicPr>
                  </pic:nvPicPr>
                  <pic:blipFill>
                    <a:blip r:embed="rId15"/>
                    <a:stretch>
                      <a:fillRect/>
                    </a:stretch>
                  </pic:blipFill>
                  <pic:spPr bwMode="auto">
                    <a:xfrm>
                      <a:off x="0" y="0"/>
                      <a:ext cx="5270500" cy="2606913"/>
                    </a:xfrm>
                    <a:prstGeom prst="rect">
                      <a:avLst/>
                    </a:prstGeom>
                    <a:noFill/>
                    <a:ln w="9525">
                      <a:noFill/>
                      <a:headEnd/>
                      <a:tailEnd/>
                    </a:ln>
                  </pic:spPr>
                </pic:pic>
              </a:graphicData>
            </a:graphic>
          </wp:inline>
        </w:drawing>
      </w:r>
    </w:p>
    <w:p w14:paraId="4CD1A9A4" w14:textId="77777777" w:rsidR="00F903CE" w:rsidRDefault="00FB0299">
      <w:pPr>
        <w:pStyle w:val="ImageCaption"/>
      </w:pPr>
      <w:bookmarkStart w:id="49" w:name="fig:unnamed-chunk-8"/>
      <w:bookmarkEnd w:id="49"/>
      <w:r>
        <w:t>Figure 8: Land use classification</w:t>
      </w:r>
    </w:p>
    <w:p w14:paraId="2265DE68" w14:textId="77777777" w:rsidR="00F903CE" w:rsidRDefault="00FB0299">
      <w:pPr>
        <w:pStyle w:val="BodyText"/>
      </w:pPr>
      <w:r>
        <w:t>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14:paraId="39120FDA" w14:textId="77777777" w:rsidR="00F903CE" w:rsidRDefault="00FB0299">
      <w:pPr>
        <w:pStyle w:val="CaptionedFigure"/>
      </w:pPr>
      <w:r>
        <w:rPr>
          <w:noProof/>
        </w:rPr>
        <w:lastRenderedPageBreak/>
        <w:drawing>
          <wp:inline distT="0" distB="0" distL="0" distR="0" wp14:anchorId="6B73E21C" wp14:editId="57B64E06">
            <wp:extent cx="3869355" cy="3445844"/>
            <wp:effectExtent l="0" t="0" r="0" b="0"/>
            <wp:docPr id="111" name="Picture" descr="Figure 9: Land cover classification"/>
            <wp:cNvGraphicFramePr/>
            <a:graphic xmlns:a="http://schemas.openxmlformats.org/drawingml/2006/main">
              <a:graphicData uri="http://schemas.openxmlformats.org/drawingml/2006/picture">
                <pic:pic xmlns:pic="http://schemas.openxmlformats.org/drawingml/2006/picture">
                  <pic:nvPicPr>
                    <pic:cNvPr id="112" name="Picture" descr="Graphical_Output/LandcoverClassification.png"/>
                    <pic:cNvPicPr>
                      <a:picLocks noChangeAspect="1" noChangeArrowheads="1"/>
                    </pic:cNvPicPr>
                  </pic:nvPicPr>
                  <pic:blipFill>
                    <a:blip r:embed="rId16"/>
                    <a:stretch>
                      <a:fillRect/>
                    </a:stretch>
                  </pic:blipFill>
                  <pic:spPr bwMode="auto">
                    <a:xfrm>
                      <a:off x="0" y="0"/>
                      <a:ext cx="3869355" cy="3445844"/>
                    </a:xfrm>
                    <a:prstGeom prst="rect">
                      <a:avLst/>
                    </a:prstGeom>
                    <a:noFill/>
                    <a:ln w="9525">
                      <a:noFill/>
                      <a:headEnd/>
                      <a:tailEnd/>
                    </a:ln>
                  </pic:spPr>
                </pic:pic>
              </a:graphicData>
            </a:graphic>
          </wp:inline>
        </w:drawing>
      </w:r>
    </w:p>
    <w:p w14:paraId="04F6F065" w14:textId="77777777" w:rsidR="00F903CE" w:rsidRDefault="00FB0299">
      <w:pPr>
        <w:pStyle w:val="ImageCaption"/>
      </w:pPr>
      <w:bookmarkStart w:id="50" w:name="fig:unnamed-chunk-9"/>
      <w:bookmarkEnd w:id="50"/>
      <w:r>
        <w:t>Figure 9: Land cover classification</w:t>
      </w:r>
    </w:p>
    <w:p w14:paraId="10711023" w14:textId="77777777" w:rsidR="00F903CE" w:rsidRDefault="00FB0299">
      <w:pPr>
        <w:pStyle w:val="BodyText"/>
      </w:pPr>
      <w:r>
        <w:rPr>
          <w:noProof/>
        </w:rPr>
        <w:drawing>
          <wp:inline distT="0" distB="0" distL="0" distR="0" wp14:anchorId="07DC0DC8" wp14:editId="20095DB7">
            <wp:extent cx="5270500" cy="2552611"/>
            <wp:effectExtent l="0" t="0" r="0" b="0"/>
            <wp:docPr id="115" name="Picture" descr="Figure 10: Physical account for land cover (hectares)"/>
            <wp:cNvGraphicFramePr/>
            <a:graphic xmlns:a="http://schemas.openxmlformats.org/drawingml/2006/main">
              <a:graphicData uri="http://schemas.openxmlformats.org/drawingml/2006/picture">
                <pic:pic xmlns:pic="http://schemas.openxmlformats.org/drawingml/2006/picture">
                  <pic:nvPicPr>
                    <pic:cNvPr id="116" name="Picture" descr="Graphical_Output/Physical_Account_for_Land.png"/>
                    <pic:cNvPicPr>
                      <a:picLocks noChangeAspect="1" noChangeArrowheads="1"/>
                    </pic:cNvPicPr>
                  </pic:nvPicPr>
                  <pic:blipFill>
                    <a:blip r:embed="rId17"/>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p w14:paraId="5C84C017" w14:textId="77777777" w:rsidR="00F903CE" w:rsidRDefault="00FB0299">
      <w:pPr>
        <w:pStyle w:val="Heading1"/>
      </w:pPr>
      <w:bookmarkStart w:id="51" w:name="asset-accounts-for-aquatic-resources"/>
      <w:bookmarkEnd w:id="48"/>
      <w:r>
        <w:t>Asset accounts for aquatic resources</w:t>
      </w:r>
    </w:p>
    <w:p w14:paraId="6BCA2717" w14:textId="77777777" w:rsidR="00F903CE" w:rsidRDefault="00FB0299">
      <w:pPr>
        <w:pStyle w:val="FirstParagraph"/>
      </w:pPr>
      <w:r>
        <w:t>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14:paraId="454A9D68" w14:textId="77777777" w:rsidR="00F903CE" w:rsidRDefault="00FB0299">
      <w:pPr>
        <w:pStyle w:val="BodyText"/>
      </w:pPr>
      <w:r>
        <w:t>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14:paraId="5A8588F4" w14:textId="77777777" w:rsidR="00F903CE" w:rsidRDefault="00FB0299">
      <w:pPr>
        <w:pStyle w:val="BodyText"/>
      </w:pPr>
      <w:r>
        <w:lastRenderedPageBreak/>
        <w:t xml:space="preserve">The asset accounts presented in the present section do not cover the assessment of general aquatic ecosystems that support the various resources and provide a wide range of ecosystem services. The measurement of ecosystems is described in </w:t>
      </w:r>
      <w:r>
        <w:rPr>
          <w:b/>
          <w:bCs/>
        </w:rPr>
        <w:t>SEEA Experimental Ecosystem Accounting.</w:t>
      </w:r>
    </w:p>
    <w:p w14:paraId="4FE3E13D" w14:textId="77777777" w:rsidR="00F903CE" w:rsidRDefault="00FB0299">
      <w:pPr>
        <w:pStyle w:val="Heading2"/>
      </w:pPr>
      <w:bookmarkStart w:id="52" w:name="X7d6e72dbcc4820d54ad093de1df6d244a495fdf"/>
      <w:r>
        <w:t>Definition and classification of aquatic resources</w:t>
      </w:r>
    </w:p>
    <w:p w14:paraId="7444D0E0" w14:textId="77777777" w:rsidR="00F903CE" w:rsidRDefault="00FB0299">
      <w:pPr>
        <w:pStyle w:val="FirstParagraph"/>
      </w:pPr>
      <w:r>
        <w:t xml:space="preserve">The aquatic resources for a given country comprise those resources that are considered to live within the exclusive economic zone (EEZ) of a country throughout their life cycles, in both coastal and inland fisheries. </w:t>
      </w:r>
      <w:r>
        <w:rPr>
          <w:b/>
          <w:bCs/>
        </w:rPr>
        <w:t>Migrating and straddling fish stocks are considered to belong to a country during the period when those stocks inhabit its EEZ</w:t>
      </w:r>
    </w:p>
    <w:p w14:paraId="0F0E1AE9" w14:textId="77777777" w:rsidR="00F903CE" w:rsidRDefault="00FB0299">
      <w:pPr>
        <w:pStyle w:val="BodyText"/>
      </w:pPr>
      <w:r>
        <w:t>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14:paraId="2B2B2819" w14:textId="77777777" w:rsidR="00F903CE" w:rsidRDefault="00FB0299">
      <w:pPr>
        <w:pStyle w:val="BodyText"/>
      </w:pPr>
      <w:r>
        <w:t>All aquatic resources produced within aquaculture facilities are considered cultivated biological resources. All other aquatic resources harvested as part of capture production processes are considered natural biological resources.</w:t>
      </w:r>
    </w:p>
    <w:p w14:paraId="31AE1D8D" w14:textId="77777777" w:rsidR="00F903CE" w:rsidRDefault="00FB0299">
      <w:pPr>
        <w:pStyle w:val="Heading2"/>
      </w:pPr>
      <w:bookmarkStart w:id="53" w:name="Xaf1ff2c297b0c8e7630c2185e7b257b013812d5"/>
      <w:bookmarkEnd w:id="52"/>
      <w:r>
        <w:t>Physical asset accounts for aquatic resources</w:t>
      </w:r>
    </w:p>
    <w:p w14:paraId="7FB07539" w14:textId="77777777" w:rsidR="00F903CE" w:rsidRDefault="00FB0299">
      <w:pPr>
        <w:pStyle w:val="FirstParagraph"/>
      </w:pPr>
      <w:r>
        <w:t>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14:paraId="2F8E0518" w14:textId="77777777" w:rsidR="00F903CE" w:rsidRDefault="00FB0299">
      <w:pPr>
        <w:pStyle w:val="BodyText"/>
      </w:pPr>
      <w:r>
        <w:t>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14:paraId="76662715" w14:textId="77777777" w:rsidR="00F903CE" w:rsidRDefault="00FB0299">
      <w:pPr>
        <w:pStyle w:val="CaptionedFigure"/>
      </w:pPr>
      <w:r>
        <w:rPr>
          <w:noProof/>
        </w:rPr>
        <w:lastRenderedPageBreak/>
        <w:drawing>
          <wp:inline distT="0" distB="0" distL="0" distR="0" wp14:anchorId="225D07D4" wp14:editId="66021B64">
            <wp:extent cx="5270500" cy="3592372"/>
            <wp:effectExtent l="0" t="0" r="0" b="0"/>
            <wp:docPr id="120" name="Picture" descr="Figure 11: Physical asset account for aquatic resources (tonnes)"/>
            <wp:cNvGraphicFramePr/>
            <a:graphic xmlns:a="http://schemas.openxmlformats.org/drawingml/2006/main">
              <a:graphicData uri="http://schemas.openxmlformats.org/drawingml/2006/picture">
                <pic:pic xmlns:pic="http://schemas.openxmlformats.org/drawingml/2006/picture">
                  <pic:nvPicPr>
                    <pic:cNvPr id="121" name="Picture" descr="Graphical_Output/Aquatic_Physical_Asset_Accounts.png"/>
                    <pic:cNvPicPr>
                      <a:picLocks noChangeAspect="1" noChangeArrowheads="1"/>
                    </pic:cNvPicPr>
                  </pic:nvPicPr>
                  <pic:blipFill>
                    <a:blip r:embed="rId18"/>
                    <a:stretch>
                      <a:fillRect/>
                    </a:stretch>
                  </pic:blipFill>
                  <pic:spPr bwMode="auto">
                    <a:xfrm>
                      <a:off x="0" y="0"/>
                      <a:ext cx="5270500" cy="3592372"/>
                    </a:xfrm>
                    <a:prstGeom prst="rect">
                      <a:avLst/>
                    </a:prstGeom>
                    <a:noFill/>
                    <a:ln w="9525">
                      <a:noFill/>
                      <a:headEnd/>
                      <a:tailEnd/>
                    </a:ln>
                  </pic:spPr>
                </pic:pic>
              </a:graphicData>
            </a:graphic>
          </wp:inline>
        </w:drawing>
      </w:r>
    </w:p>
    <w:p w14:paraId="47F647C4" w14:textId="77777777" w:rsidR="00F903CE" w:rsidRDefault="00FB0299">
      <w:pPr>
        <w:pStyle w:val="ImageCaption"/>
      </w:pPr>
      <w:bookmarkStart w:id="54" w:name="fig:unnamed-chunk-11"/>
      <w:bookmarkEnd w:id="54"/>
      <w:r>
        <w:t>Figure 11: Physical asset account for aquatic resources (tonnes)</w:t>
      </w:r>
    </w:p>
    <w:p w14:paraId="4E2BFCD9" w14:textId="77777777" w:rsidR="00F903CE" w:rsidRDefault="00FB0299">
      <w:pPr>
        <w:pStyle w:val="Heading2"/>
      </w:pPr>
      <w:bookmarkStart w:id="55" w:name="Xd07d3e42ff71bf8706eaaf6dcaaacc7c0c9ec6e"/>
      <w:bookmarkEnd w:id="53"/>
      <w:r>
        <w:t>Measuring stocks and changes in stocks of natural aquatic resources</w:t>
      </w:r>
    </w:p>
    <w:p w14:paraId="088FF816" w14:textId="77777777" w:rsidR="00F903CE" w:rsidRDefault="00FB0299">
      <w:pPr>
        <w:pStyle w:val="FirstParagraph"/>
      </w:pPr>
      <w:r>
        <w:t>Asset accounts for natural aquatic resources should be compiled separately for freshwater aquatic resources, and marine aquatic resources within a country’s EEZ or that over which the country has ownership rights.</w:t>
      </w:r>
    </w:p>
    <w:p w14:paraId="162D2302" w14:textId="77777777" w:rsidR="00F903CE" w:rsidRDefault="00FB0299">
      <w:pPr>
        <w:pStyle w:val="BodyText"/>
      </w:pPr>
      <w:r>
        <w:t>Fishery biologists define a “stock” 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w:t>
      </w:r>
      <w:r>
        <w:t xml:space="preserve"> around multiple countries’ boundaries, international collaboration in management is needed and the national asset account of such stock can be defined based on the share of access to the stock.</w:t>
      </w:r>
    </w:p>
    <w:p w14:paraId="5CA4D459" w14:textId="77777777" w:rsidR="00F903CE" w:rsidRDefault="00FB0299">
      <w:pPr>
        <w:pStyle w:val="BodyText"/>
      </w:pPr>
      <w:r>
        <w:t>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14:paraId="3A734541" w14:textId="77777777" w:rsidR="00F903CE" w:rsidRDefault="00FB0299">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w:t>
      </w:r>
      <w:r>
        <w:lastRenderedPageBreak/>
        <w:t>echo-sounders, trawl surveys and sighting surveys), according to the behaviour and distribution of the target species, the harvesting patterns, and available data.</w:t>
      </w:r>
    </w:p>
    <w:p w14:paraId="7334B02B" w14:textId="77777777" w:rsidR="00F903CE" w:rsidRDefault="00FB0299">
      <w:pPr>
        <w:pStyle w:val="BodyText"/>
      </w:pPr>
      <w:r>
        <w:t>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w:t>
      </w:r>
      <w:r>
        <w:t>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p w14:paraId="47574E7E" w14:textId="77777777" w:rsidR="00F903CE" w:rsidRDefault="00FB0299">
      <w:pPr>
        <w:pStyle w:val="Heading2"/>
      </w:pPr>
      <w:bookmarkStart w:id="56" w:name="Xfb27eea967097a00f7a88cd2ffcc392f7b9a638"/>
      <w:bookmarkEnd w:id="55"/>
      <w:r>
        <w:t>Accounting for the harvest of natural aquatic resources</w:t>
      </w:r>
    </w:p>
    <w:p w14:paraId="7B6B0EC3" w14:textId="77777777" w:rsidR="00F903CE" w:rsidRDefault="00FB0299">
      <w:pPr>
        <w:pStyle w:val="FirstParagraph"/>
      </w:pPr>
      <w:r>
        <w:t>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w:t>
      </w:r>
      <w:r>
        <w:t>y are harvested, regardless of whether they are sold in the market or used for own consumption.</w:t>
      </w:r>
    </w:p>
    <w:p w14:paraId="55224A9F" w14:textId="77777777" w:rsidR="00F903CE" w:rsidRDefault="00FB0299">
      <w:pPr>
        <w:pStyle w:val="CaptionedFigure"/>
      </w:pPr>
      <w:r>
        <w:rPr>
          <w:noProof/>
        </w:rPr>
        <w:drawing>
          <wp:inline distT="0" distB="0" distL="0" distR="0" wp14:anchorId="79E1C130" wp14:editId="64BD43EC">
            <wp:extent cx="5270500" cy="3417513"/>
            <wp:effectExtent l="0" t="0" r="0" b="0"/>
            <wp:docPr id="126" name="Picture" descr="Figure 12: Catch concepts: a diagrammatic presentation"/>
            <wp:cNvGraphicFramePr/>
            <a:graphic xmlns:a="http://schemas.openxmlformats.org/drawingml/2006/main">
              <a:graphicData uri="http://schemas.openxmlformats.org/drawingml/2006/picture">
                <pic:pic xmlns:pic="http://schemas.openxmlformats.org/drawingml/2006/picture">
                  <pic:nvPicPr>
                    <pic:cNvPr id="127" name="Picture" descr="Graphical_Output/SEEA_AnnexA5_4.png"/>
                    <pic:cNvPicPr>
                      <a:picLocks noChangeAspect="1" noChangeArrowheads="1"/>
                    </pic:cNvPicPr>
                  </pic:nvPicPr>
                  <pic:blipFill>
                    <a:blip r:embed="rId19"/>
                    <a:stretch>
                      <a:fillRect/>
                    </a:stretch>
                  </pic:blipFill>
                  <pic:spPr bwMode="auto">
                    <a:xfrm>
                      <a:off x="0" y="0"/>
                      <a:ext cx="5270500" cy="3417513"/>
                    </a:xfrm>
                    <a:prstGeom prst="rect">
                      <a:avLst/>
                    </a:prstGeom>
                    <a:noFill/>
                    <a:ln w="9525">
                      <a:noFill/>
                      <a:headEnd/>
                      <a:tailEnd/>
                    </a:ln>
                  </pic:spPr>
                </pic:pic>
              </a:graphicData>
            </a:graphic>
          </wp:inline>
        </w:drawing>
      </w:r>
    </w:p>
    <w:p w14:paraId="1F95924D" w14:textId="77777777" w:rsidR="00F903CE" w:rsidRDefault="00FB0299">
      <w:pPr>
        <w:pStyle w:val="ImageCaption"/>
      </w:pPr>
      <w:bookmarkStart w:id="57" w:name="fig:SEEAAnnexA54"/>
      <w:bookmarkEnd w:id="57"/>
      <w:r>
        <w:t>Figure 12: Catch concepts: a diagrammatic presentation</w:t>
      </w:r>
    </w:p>
    <w:p w14:paraId="481A53F6" w14:textId="77777777" w:rsidR="00F903CE" w:rsidRDefault="00FB0299">
      <w:pPr>
        <w:pStyle w:val="BodyText"/>
      </w:pPr>
      <w:r>
        <w:lastRenderedPageBreak/>
        <w:t>FAO has defined the different stages of the catch, extending from when fish encounter fishing gear to when they are landed. They are summarized here, with a complete depiction of the relationships presented in a diagram in Figures 12.</w:t>
      </w:r>
    </w:p>
    <w:p w14:paraId="3513E2DA" w14:textId="77777777" w:rsidR="00F903CE" w:rsidRDefault="00FB0299">
      <w:pPr>
        <w:numPr>
          <w:ilvl w:val="0"/>
          <w:numId w:val="30"/>
        </w:numPr>
      </w:pPr>
      <w:r>
        <w:t>Gross removal: the total live weight of fish caught or killed during fishing operations;</w:t>
      </w:r>
    </w:p>
    <w:p w14:paraId="56F2A0E8" w14:textId="77777777" w:rsidR="00F903CE" w:rsidRDefault="00FB0299">
      <w:pPr>
        <w:numPr>
          <w:ilvl w:val="0"/>
          <w:numId w:val="30"/>
        </w:numPr>
      </w:pPr>
      <w:r>
        <w:t>Gross catch: the total live weight of fish caught (gross removal less pre-catch losses);</w:t>
      </w:r>
    </w:p>
    <w:p w14:paraId="3513CAB6" w14:textId="77777777" w:rsidR="00F903CE" w:rsidRDefault="00FB0299">
      <w:pPr>
        <w:numPr>
          <w:ilvl w:val="0"/>
          <w:numId w:val="30"/>
        </w:numPr>
      </w:pPr>
      <w:r>
        <w:t>Retained catch: the total live weight of fish retained (gross catch less discarded catch);</w:t>
      </w:r>
    </w:p>
    <w:p w14:paraId="53546735" w14:textId="77777777" w:rsidR="00F903CE" w:rsidRDefault="00FB0299">
      <w:pPr>
        <w:numPr>
          <w:ilvl w:val="0"/>
          <w:numId w:val="30"/>
        </w:numPr>
      </w:pPr>
      <w:r>
        <w:t>Landings: the net weight of the quantities landed as recorded at the time of landing;</w:t>
      </w:r>
    </w:p>
    <w:p w14:paraId="680833D8" w14:textId="77777777" w:rsidR="00F903CE" w:rsidRDefault="00FB0299">
      <w:pPr>
        <w:numPr>
          <w:ilvl w:val="0"/>
          <w:numId w:val="30"/>
        </w:numPr>
      </w:pPr>
      <w:r>
        <w:t>Nominal catch: the live weight equivalent of the landings.</w:t>
      </w:r>
    </w:p>
    <w:p w14:paraId="1DB9CC46" w14:textId="77777777" w:rsidR="00F903CE" w:rsidRDefault="00FB0299">
      <w:pPr>
        <w:pStyle w:val="FirstParagraph"/>
      </w:pPr>
      <w:r>
        <w:t>For the SEEA, the measurement of discarded catch is an important contributory factor to a full understanding of the linkages between economic activity and the impact on aquatic resources. For this reason, it is recommended that the concept of “gross catch” be used to measure the extraction of fish resources. Conceptually, “gross removal” is the most appropriate concept for measuring the impact on aquatic resources and the damage to aquatic ecosystems, e.g., to coral reefs, as a result of fishing activity. H</w:t>
      </w:r>
      <w:r>
        <w:t>owever, the measurement of gross removal is not possible in practice.</w:t>
      </w:r>
    </w:p>
    <w:p w14:paraId="7BDE54FF" w14:textId="77777777" w:rsidR="00F903CE" w:rsidRDefault="00FB0299">
      <w:pPr>
        <w:pStyle w:val="Heading2"/>
      </w:pPr>
      <w:bookmarkStart w:id="58" w:name="depletion-of-natural-aquatic-resources"/>
      <w:bookmarkEnd w:id="56"/>
      <w:r>
        <w:t>Depletion of natural aquatic resources</w:t>
      </w:r>
    </w:p>
    <w:p w14:paraId="1B6FA3FD" w14:textId="77777777" w:rsidR="00F903CE" w:rsidRDefault="00FB0299">
      <w:pPr>
        <w:pStyle w:val="FirstParagraph"/>
      </w:pPr>
      <w:r>
        <w:t>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p w14:paraId="24F2E360" w14:textId="77777777" w:rsidR="00F903CE" w:rsidRDefault="00FB0299">
      <w:pPr>
        <w:pStyle w:val="Heading2"/>
      </w:pPr>
      <w:bookmarkStart w:id="59" w:name="capture-fishing-by-non-residents"/>
      <w:bookmarkEnd w:id="58"/>
      <w:r>
        <w:t>Capture fishing by non-residents</w:t>
      </w:r>
    </w:p>
    <w:p w14:paraId="150991C6" w14:textId="77777777" w:rsidR="00F903CE" w:rsidRDefault="00FB0299">
      <w:pPr>
        <w:pStyle w:val="FirstParagraph"/>
      </w:pPr>
      <w:r>
        <w:t>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14:paraId="2B2A1FBD" w14:textId="77777777" w:rsidR="00F903CE" w:rsidRDefault="00FB0299">
      <w:pPr>
        <w:pStyle w:val="BodyText"/>
      </w:pPr>
      <w:r>
        <w:t xml:space="preserve">In the assessment of the change in the aquatic resources belonging to a country over an accounting period, </w:t>
      </w:r>
      <w:r>
        <w:rPr>
          <w:b/>
          <w:bCs/>
        </w:rPr>
        <w:t>it is not sufficient or accurate to focus only on the catch by operations of residents of that country.</w:t>
      </w:r>
      <w:r>
        <w:t xml:space="preserve"> This estimate will exclude changes in the national aquatic resource due to catch by non-residents and will include catch by residents in other countries.</w:t>
      </w:r>
    </w:p>
    <w:p w14:paraId="0A106217" w14:textId="77777777" w:rsidR="00F903CE" w:rsidRDefault="00FB0299">
      <w:pPr>
        <w:pStyle w:val="BodyText"/>
      </w:pPr>
      <w:r>
        <w:t>For the purposes of accounting for the national aquatic resource, the focus must be on the total catch from the country’s aquatic resources, including any resources on the high seas over which ownership rights exist, regardless of the residency of the harvesting operation.</w:t>
      </w:r>
    </w:p>
    <w:p w14:paraId="318FCA53" w14:textId="77777777" w:rsidR="00F903CE" w:rsidRDefault="00FB0299">
      <w:pPr>
        <w:pStyle w:val="Heading2"/>
      </w:pPr>
      <w:bookmarkStart w:id="60" w:name="illegal-fishing"/>
      <w:bookmarkEnd w:id="59"/>
      <w:r>
        <w:lastRenderedPageBreak/>
        <w:t>Illegal fishing</w:t>
      </w:r>
    </w:p>
    <w:p w14:paraId="74518DF1" w14:textId="77777777" w:rsidR="00F903CE" w:rsidRDefault="00FB0299">
      <w:pPr>
        <w:pStyle w:val="FirstParagraph"/>
      </w:pPr>
      <w:r>
        <w:t>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p w14:paraId="77BF54CD" w14:textId="77777777" w:rsidR="00F903CE" w:rsidRDefault="00FB0299">
      <w:pPr>
        <w:pStyle w:val="Heading2"/>
      </w:pPr>
      <w:bookmarkStart w:id="61" w:name="valuation-of-natural-aquatic-resources"/>
      <w:bookmarkEnd w:id="60"/>
      <w:r>
        <w:rPr>
          <w:rStyle w:val="SectionNumber"/>
        </w:rPr>
        <w:t>0.1</w:t>
      </w:r>
      <w:r>
        <w:tab/>
        <w:t>Valuation of natural aquatic resources</w:t>
      </w:r>
    </w:p>
    <w:p w14:paraId="02253F3A" w14:textId="77777777" w:rsidR="00F903CE" w:rsidRDefault="00FB0299">
      <w:pPr>
        <w:pStyle w:val="FirstParagraph"/>
      </w:pPr>
      <w:r>
        <w:t>There are two main options. One is to value the aquatic resource using the value of long-term fishing licences and quotas where realistic market values are available. The other is to base the value on the net present value of the resource rent of the aquatic resources.</w:t>
      </w:r>
    </w:p>
    <w:p w14:paraId="69F74632" w14:textId="77777777" w:rsidR="00F903CE" w:rsidRDefault="00FB0299">
      <w:r>
        <w:br w:type="page"/>
      </w:r>
    </w:p>
    <w:p w14:paraId="4E4CD9DC" w14:textId="77777777" w:rsidR="00F903CE" w:rsidRDefault="00FB0299">
      <w:pPr>
        <w:pStyle w:val="Heading1"/>
      </w:pPr>
      <w:bookmarkStart w:id="62" w:name="references"/>
      <w:bookmarkEnd w:id="61"/>
      <w:bookmarkEnd w:id="51"/>
      <w:r>
        <w:rPr>
          <w:rStyle w:val="SectionNumber"/>
        </w:rPr>
        <w:lastRenderedPageBreak/>
        <w:t>1</w:t>
      </w:r>
      <w:r>
        <w:tab/>
        <w:t>References</w:t>
      </w:r>
    </w:p>
    <w:p w14:paraId="754EBAC4" w14:textId="77777777" w:rsidR="00F903CE" w:rsidRDefault="00FB0299">
      <w:pPr>
        <w:pStyle w:val="FirstParagraph"/>
      </w:pPr>
      <w:hyperlink w:anchor="cite-solow_contribution_1956">
        <w:r>
          <w:rPr>
            <w:rStyle w:val="Hyperlink"/>
          </w:rPr>
          <w:t>[1]</w:t>
        </w:r>
      </w:hyperlink>
      <w:r>
        <w:t xml:space="preserve"> R. M. Solow. “A Contribution to the Theory of Economic Growth”. In: </w:t>
      </w:r>
      <w:r>
        <w:rPr>
          <w:i/>
          <w:iCs/>
        </w:rPr>
        <w:t>The Quarterly Journal of Economics</w:t>
      </w:r>
      <w:r>
        <w:t xml:space="preserve"> 70.1 (1956). Publisher: Oxford University Press, pp. 65-94. ISSN: 0033-5533. DOI: </w:t>
      </w:r>
      <w:hyperlink r:id="rId20">
        <w:r>
          <w:rPr>
            <w:rStyle w:val="Hyperlink"/>
          </w:rPr>
          <w:t>10.2307/1884513</w:t>
        </w:r>
      </w:hyperlink>
      <w:r>
        <w:t xml:space="preserve">. URL: </w:t>
      </w:r>
      <w:hyperlink r:id="rId21">
        <w:r>
          <w:rPr>
            <w:rStyle w:val="Hyperlink"/>
          </w:rPr>
          <w:t>https://www.jstor.org/stable/1884513</w:t>
        </w:r>
      </w:hyperlink>
      <w:r>
        <w:t xml:space="preserve"> (visited on 07/24/2025).</w:t>
      </w:r>
    </w:p>
    <w:p w14:paraId="685FD5FB" w14:textId="77777777" w:rsidR="00F903CE" w:rsidRDefault="00FB0299">
      <w:pPr>
        <w:pStyle w:val="BodyText"/>
      </w:pPr>
      <w:hyperlink w:anchor="cite-solow_technical_1957">
        <w:r>
          <w:rPr>
            <w:rStyle w:val="Hyperlink"/>
          </w:rPr>
          <w:t>[2]</w:t>
        </w:r>
      </w:hyperlink>
      <w:r>
        <w:t xml:space="preserve"> R. M. Solow. “Technical Change and the Aggregate Production Function”. In: </w:t>
      </w:r>
      <w:r>
        <w:rPr>
          <w:i/>
          <w:iCs/>
        </w:rPr>
        <w:t>The Review of Economics and Statistics</w:t>
      </w:r>
      <w:r>
        <w:t xml:space="preserve"> 39.3 (1957). Publisher: The MIT Press, pp. 312-320. ISSN: 0034-6535. DOI: </w:t>
      </w:r>
      <w:hyperlink r:id="rId22">
        <w:r>
          <w:rPr>
            <w:rStyle w:val="Hyperlink"/>
          </w:rPr>
          <w:t>10.2307/1926047</w:t>
        </w:r>
      </w:hyperlink>
      <w:r>
        <w:t xml:space="preserve">. URL: </w:t>
      </w:r>
      <w:hyperlink r:id="rId23">
        <w:r>
          <w:rPr>
            <w:rStyle w:val="Hyperlink"/>
          </w:rPr>
          <w:t>https://www.jstor.org/stable/1926047</w:t>
        </w:r>
      </w:hyperlink>
      <w:r>
        <w:t xml:space="preserve"> (visited on 07/24/2025).</w:t>
      </w:r>
    </w:p>
    <w:p w14:paraId="3FA0E3DD" w14:textId="77777777" w:rsidR="00F903CE" w:rsidRDefault="00FB0299">
      <w:pPr>
        <w:pStyle w:val="BodyText"/>
      </w:pPr>
      <w:hyperlink w:anchor="cite-united_nations_system_2014">
        <w:r>
          <w:rPr>
            <w:rStyle w:val="Hyperlink"/>
          </w:rPr>
          <w:t>[3]</w:t>
        </w:r>
      </w:hyperlink>
      <w:r>
        <w:t xml:space="preserve"> United Nations, European Union, Food, et al. </w:t>
      </w:r>
      <w:r>
        <w:rPr>
          <w:i/>
          <w:iCs/>
        </w:rPr>
        <w:t>System of Environmental-Economic Accounting 2012 Central Framework</w:t>
      </w:r>
      <w:r>
        <w:t xml:space="preserve">. New York: United Nations, 2014. ISBN: 978-92-1-055926-3. URL: </w:t>
      </w:r>
      <w:hyperlink r:id="rId24">
        <w:r>
          <w:rPr>
            <w:rStyle w:val="Hyperlink"/>
          </w:rPr>
          <w:t>https://seea.un.org/sites/seea.un.org/files/seea_cf_final_en.pdf</w:t>
        </w:r>
      </w:hyperlink>
      <w:r>
        <w:t>.</w:t>
      </w:r>
    </w:p>
    <w:p w14:paraId="1A525B6C" w14:textId="77777777" w:rsidR="00F903CE" w:rsidRDefault="00FB0299">
      <w:pPr>
        <w:pStyle w:val="BodyText"/>
      </w:pPr>
      <w:hyperlink w:anchor="cite-villasenor-derbez_market_2024">
        <w:r>
          <w:rPr>
            <w:rStyle w:val="Hyperlink"/>
          </w:rPr>
          <w:t>[4]</w:t>
        </w:r>
      </w:hyperlink>
      <w:r>
        <w:t xml:space="preserve"> J. C. Villasenor-Derbez, C. Costello, and A. J. Plantinga. “A market for 30x30 in the ocean”. EN. In: </w:t>
      </w:r>
      <w:r>
        <w:rPr>
          <w:i/>
          <w:iCs/>
        </w:rPr>
        <w:t>Science</w:t>
      </w:r>
      <w:r>
        <w:t xml:space="preserve"> (Jun. 2024). Publisher: American Association for the Advancement of Science. DOI: </w:t>
      </w:r>
      <w:hyperlink r:id="rId25">
        <w:r>
          <w:rPr>
            <w:rStyle w:val="Hyperlink"/>
          </w:rPr>
          <w:t>10.1126/science.adl4019</w:t>
        </w:r>
      </w:hyperlink>
      <w:r>
        <w:t xml:space="preserve">. URL: </w:t>
      </w:r>
      <w:hyperlink r:id="rId26">
        <w:r>
          <w:rPr>
            <w:rStyle w:val="Hyperlink"/>
          </w:rPr>
          <w:t>https://www.science.org/doi/10.1126/science.adl4019</w:t>
        </w:r>
      </w:hyperlink>
      <w:r>
        <w:t xml:space="preserve"> (visited on 07/17/2025).</w:t>
      </w:r>
    </w:p>
    <w:p w14:paraId="6489F24F" w14:textId="77777777" w:rsidR="00F903CE" w:rsidRDefault="00FB0299">
      <w:pPr>
        <w:pStyle w:val="BodyText"/>
      </w:pPr>
      <w:hyperlink w:anchor="X5007387318eee89cad05af1f915294e6bec10e0">
        <w:r>
          <w:rPr>
            <w:rStyle w:val="Hyperlink"/>
          </w:rPr>
          <w:t>[5]</w:t>
        </w:r>
      </w:hyperlink>
      <w:r>
        <w:t xml:space="preserve"> Kiribati National Statistics Office and The Pacific Community. </w:t>
      </w:r>
      <w:r>
        <w:rPr>
          <w:i/>
          <w:iCs/>
        </w:rPr>
        <w:t>Kiribati Natural Disasters and Climate Change Survey Report 2023–2024</w:t>
      </w:r>
      <w:r>
        <w:t xml:space="preserve">. Tech. rep. Kiribati National Statistics Office, Jun. 2025. URL: </w:t>
      </w:r>
      <w:hyperlink r:id="rId27">
        <w:r>
          <w:rPr>
            <w:rStyle w:val="Hyperlink"/>
          </w:rPr>
          <w:t>https://nso.gov.ki/download/151/2023-24-hies-reports/2167/kiribati-natural-disasters-and-climate-change-report-2023-2024</w:t>
        </w:r>
      </w:hyperlink>
      <w:r>
        <w:t>.</w:t>
      </w:r>
    </w:p>
    <w:bookmarkEnd w:id="62"/>
    <w:sectPr w:rsidR="00F903CE" w:rsidSect="00302AD9">
      <w:headerReference w:type="even" r:id="rId28"/>
      <w:headerReference w:type="default" r:id="rId29"/>
      <w:footerReference w:type="even" r:id="rId30"/>
      <w:footerReference w:type="default" r:id="rId31"/>
      <w:headerReference w:type="first" r:id="rId32"/>
      <w:footerReference w:type="first" r:id="rId33"/>
      <w:pgSz w:w="11906" w:h="16838" w:code="9"/>
      <w:pgMar w:top="1440" w:right="1800" w:bottom="1440" w:left="1800" w:header="720" w:footer="720" w:gutter="0"/>
      <w:pgBorders w:offsetFrom="page">
        <w:bottom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80A11" w14:textId="77777777" w:rsidR="00FB0299" w:rsidRDefault="00FB0299">
      <w:pPr>
        <w:spacing w:after="0"/>
      </w:pPr>
      <w:r>
        <w:separator/>
      </w:r>
    </w:p>
  </w:endnote>
  <w:endnote w:type="continuationSeparator" w:id="0">
    <w:p w14:paraId="213413D9" w14:textId="77777777" w:rsidR="00FB0299" w:rsidRDefault="00FB02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6F0F1416" w14:textId="77777777"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30828A5A" w14:textId="77777777"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46A94A88" w14:textId="77777777"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9D16A6" w14:textId="77777777" w:rsidR="00FE0BE0" w:rsidRPr="00BC6450" w:rsidRDefault="00FE0BE0" w:rsidP="00BC64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37FA9" w14:textId="77777777" w:rsidR="003836D8" w:rsidRDefault="00383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8D3946" w14:textId="77777777" w:rsidR="00FB0299" w:rsidRDefault="00FB0299">
      <w:pPr>
        <w:spacing w:after="0"/>
      </w:pPr>
      <w:r>
        <w:separator/>
      </w:r>
    </w:p>
  </w:footnote>
  <w:footnote w:type="continuationSeparator" w:id="0">
    <w:p w14:paraId="5C2D30E5" w14:textId="77777777" w:rsidR="00FB0299" w:rsidRDefault="00FB0299">
      <w:pPr>
        <w:spacing w:after="0"/>
      </w:pPr>
      <w:r>
        <w:continuationSeparator/>
      </w:r>
    </w:p>
  </w:footnote>
  <w:footnote w:id="1">
    <w:p w14:paraId="6039499F" w14:textId="77777777" w:rsidR="00F903CE" w:rsidRDefault="00FB0299">
      <w:pPr>
        <w:pStyle w:val="FootnoteText"/>
      </w:pPr>
      <w:r>
        <w:rPr>
          <w:rStyle w:val="FootnoteReference"/>
        </w:rPr>
        <w:footnoteRef/>
      </w:r>
      <w:r>
        <w:t xml:space="preserve"> </w:t>
      </w:r>
      <w:hyperlink r:id="rId1">
        <w:r>
          <w:rPr>
            <w:rStyle w:val="Hyperlink"/>
          </w:rPr>
          <w:t>https://unstats.un.org/unsd/nationalaccount/sna.asp</w:t>
        </w:r>
      </w:hyperlink>
    </w:p>
  </w:footnote>
  <w:footnote w:id="2">
    <w:p w14:paraId="10CA408A" w14:textId="77777777" w:rsidR="00F903CE" w:rsidRDefault="00FB0299">
      <w:pPr>
        <w:pStyle w:val="FootnoteText"/>
      </w:pPr>
      <w:r>
        <w:rPr>
          <w:rStyle w:val="FootnoteReference"/>
        </w:rPr>
        <w:footnoteRef/>
      </w:r>
      <w:r>
        <w:t xml:space="preserve"> </w:t>
      </w:r>
      <w:hyperlink r:id="rId2">
        <w:r>
          <w:rPr>
            <w:rStyle w:val="Hyperlink"/>
          </w:rPr>
          <w:t>https://www.are.admin.ch/are/en/home/media/publications/sustainable-development/brundtland-report.html</w:t>
        </w:r>
      </w:hyperlink>
    </w:p>
  </w:footnote>
  <w:footnote w:id="3">
    <w:p w14:paraId="3A1AB790" w14:textId="77777777" w:rsidR="00F903CE" w:rsidRDefault="00FB0299">
      <w:pPr>
        <w:pStyle w:val="FootnoteText"/>
      </w:pPr>
      <w:r>
        <w:rPr>
          <w:rStyle w:val="FootnoteReference"/>
        </w:rPr>
        <w:footnoteRef/>
      </w:r>
      <w:r>
        <w:t xml:space="preserve"> (</w:t>
      </w:r>
      <w:hyperlink r:id="rId3">
        <w:r>
          <w:rPr>
            <w:rStyle w:val="Hyperlink"/>
          </w:rPr>
          <w:t>United Nations, European Union, Food et al., 2014</w:t>
        </w:r>
      </w:hyperlink>
      <w:r>
        <w:t>)</w:t>
      </w:r>
    </w:p>
  </w:footnote>
  <w:footnote w:id="4">
    <w:p w14:paraId="2E00E974" w14:textId="77777777" w:rsidR="00F903CE" w:rsidRDefault="00FB0299">
      <w:pPr>
        <w:pStyle w:val="FootnoteText"/>
      </w:pPr>
      <w:r>
        <w:rPr>
          <w:rStyle w:val="FootnoteReference"/>
        </w:rPr>
        <w:footnoteRef/>
      </w:r>
      <w:r>
        <w:t xml:space="preserve"> (</w:t>
      </w:r>
      <w:hyperlink r:id="rId4">
        <w:r>
          <w:rPr>
            <w:rStyle w:val="Hyperlink"/>
          </w:rPr>
          <w:t>Kiribati National Statistics Office and The Pacific Community, 2025</w:t>
        </w:r>
      </w:hyperlink>
      <w:r>
        <w:t>)</w:t>
      </w:r>
    </w:p>
  </w:footnote>
  <w:footnote w:id="5">
    <w:p w14:paraId="7408CE52" w14:textId="77777777" w:rsidR="00F903CE" w:rsidRDefault="00FB0299">
      <w:pPr>
        <w:pStyle w:val="FootnoteText"/>
      </w:pPr>
      <w:r>
        <w:rPr>
          <w:rStyle w:val="FootnoteReference"/>
        </w:rPr>
        <w:footnoteRef/>
      </w:r>
      <w:r>
        <w:t xml:space="preserve"> </w:t>
      </w:r>
      <w:hyperlink r:id="rId5">
        <w:r>
          <w:rPr>
            <w:rStyle w:val="Hyperlink"/>
          </w:rPr>
          <w:t>https://unstats.un.org/unsd/nationalaccount/sna.asp</w:t>
        </w:r>
      </w:hyperlink>
    </w:p>
  </w:footnote>
  <w:footnote w:id="6">
    <w:p w14:paraId="10E00F10" w14:textId="77777777" w:rsidR="00F903CE" w:rsidRDefault="00FB0299">
      <w:pPr>
        <w:pStyle w:val="FootnoteText"/>
      </w:pPr>
      <w:r>
        <w:rPr>
          <w:rStyle w:val="FootnoteReference"/>
        </w:rPr>
        <w:footnoteRef/>
      </w:r>
      <w:r>
        <w:t xml:space="preserve"> </w:t>
      </w:r>
      <w:hyperlink r:id="rId6">
        <w:r>
          <w:rPr>
            <w:rStyle w:val="Hyperlink"/>
          </w:rPr>
          <w:t>https://unstats.un.org/unsd/nationalaccount/docs/1993sna.pdf</w:t>
        </w:r>
      </w:hyperlink>
    </w:p>
  </w:footnote>
  <w:footnote w:id="7">
    <w:p w14:paraId="7EAE823F" w14:textId="77777777" w:rsidR="00F903CE" w:rsidRDefault="00FB0299">
      <w:pPr>
        <w:pStyle w:val="FootnoteText"/>
      </w:pPr>
      <w:r>
        <w:rPr>
          <w:rStyle w:val="FootnoteReference"/>
        </w:rPr>
        <w:footnoteRef/>
      </w:r>
      <w:r>
        <w:t xml:space="preserve"> </w:t>
      </w:r>
      <w:hyperlink r:id="rId7">
        <w:r>
          <w:rPr>
            <w:rStyle w:val="Hyperlink"/>
          </w:rPr>
          <w:t>https://unstats.un.org/unsd/nationalaccount/docs/2025_SNA_Pre-edit.pdf</w:t>
        </w:r>
      </w:hyperlink>
      <w:r>
        <w:t xml:space="preserve"> Chapter 2, section 5 “Measures concerning the environment”</w:t>
      </w:r>
    </w:p>
  </w:footnote>
  <w:footnote w:id="8">
    <w:p w14:paraId="07C795E3" w14:textId="77777777" w:rsidR="00F903CE" w:rsidRDefault="00FB0299">
      <w:pPr>
        <w:pStyle w:val="FootnoteText"/>
      </w:pPr>
      <w:r>
        <w:rPr>
          <w:rStyle w:val="FootnoteReference"/>
        </w:rPr>
        <w:footnoteRef/>
      </w:r>
      <w:r>
        <w:t xml:space="preserve"> (</w:t>
      </w:r>
      <w:hyperlink r:id="rId8">
        <w:r>
          <w:rPr>
            <w:rStyle w:val="Hyperlink"/>
          </w:rPr>
          <w:t>United Nations, European Union, Food et al., 2014</w:t>
        </w:r>
      </w:hyperlink>
      <w:r>
        <w:t>) section 2.17, page 13</w:t>
      </w:r>
    </w:p>
  </w:footnote>
  <w:footnote w:id="9">
    <w:p w14:paraId="0ECDE7A1" w14:textId="77777777" w:rsidR="00F903CE" w:rsidRDefault="00FB0299">
      <w:pPr>
        <w:pStyle w:val="FootnoteText"/>
      </w:pPr>
      <w:r>
        <w:rPr>
          <w:rStyle w:val="FootnoteReference"/>
        </w:rPr>
        <w:footnoteRef/>
      </w:r>
      <w:r>
        <w:t xml:space="preserve"> (</w:t>
      </w:r>
      <w:hyperlink r:id="rId9">
        <w:r>
          <w:rPr>
            <w:rStyle w:val="Hyperlink"/>
          </w:rPr>
          <w:t>United Nations, European Union, Food et al., 2014</w:t>
        </w:r>
      </w:hyperlink>
      <w:r>
        <w:t>) section 2.21, page 14</w:t>
      </w:r>
    </w:p>
  </w:footnote>
  <w:footnote w:id="10">
    <w:p w14:paraId="0C3BCDE1" w14:textId="77777777" w:rsidR="00F903CE" w:rsidRDefault="00FB0299">
      <w:pPr>
        <w:pStyle w:val="FootnoteText"/>
      </w:pPr>
      <w:r>
        <w:rPr>
          <w:rStyle w:val="FootnoteReference"/>
        </w:rPr>
        <w:footnoteRef/>
      </w:r>
      <w:r>
        <w:t xml:space="preserve"> The three flow measures captured through the SEEA-CF.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44060" w14:textId="77777777" w:rsidR="000625BA" w:rsidRPr="000625BA" w:rsidRDefault="00FB0299" w:rsidP="000625BA">
    <w:pPr>
      <w:pStyle w:val="Header"/>
      <w:jc w:val="right"/>
      <w:rPr>
        <w:color w:val="A6A6A6" w:themeColor="background1" w:themeShade="A6"/>
      </w:rPr>
    </w:pPr>
    <w:r>
      <w:rPr>
        <w:noProof/>
      </w:rPr>
      <w:pict w14:anchorId="3EF6935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4361954" o:spid="_x0000_s1026" type="#_x0000_t136" style="position:absolute;left:0;text-align:left;margin-left:0;margin-top:0;width:536.55pt;height:48.75pt;rotation:315;z-index:-251652608;mso-position-horizontal:center;mso-position-horizontal-relative:margin;mso-position-vertical:center;mso-position-vertical-relative:margin" o:allowincell="f" fillcolor="black [3213]" stroked="f">
          <v:fill opacity=".5"/>
          <v:textpath style="font-family:&quot;Calibri&quot;;font-size:1pt" string="Exceedingly Draft! Not close to complete!"/>
          <w10:wrap anchorx="margin" anchory="margin"/>
        </v:shape>
      </w:pict>
    </w:r>
    <w:r w:rsidR="00EC55E3">
      <w:rPr>
        <w:noProof/>
      </w:rPr>
      <w:drawing>
        <wp:anchor distT="0" distB="0" distL="114300" distR="114300" simplePos="0" relativeHeight="251659776" behindDoc="0" locked="0" layoutInCell="1" allowOverlap="1" wp14:anchorId="147F52D7" wp14:editId="7399BA99">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dataBinding w:prefixMappings="xmlns:ns0='http://purl.org/dc/elements/1.1/' xmlns:ns1='http://schemas.openxmlformats.org/package/2006/metadata/core-properties' " w:xpath="/ns1:coreProperties[1]/ns0:title[1]" w:storeItemID="{6C3C8BC8-F283-45AE-878A-BAB7291924A1}"/>
        <w:text/>
      </w:sdtPr>
      <w:sdtEndPr/>
      <w:sdtContent>
        <w:r>
          <w:rPr>
            <w:color w:val="A6A6A6" w:themeColor="background1" w:themeShade="A6"/>
          </w:rPr>
          <w:t>Pacific Regional Environmental Accounts Incorporating Ocean Accounts</w:t>
        </w:r>
      </w:sdtContent>
    </w:sdt>
  </w:p>
  <w:p w14:paraId="38169D9C" w14:textId="77777777"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8298F" w14:textId="77777777" w:rsidR="00FE0BE0" w:rsidRPr="000625BA" w:rsidRDefault="00FB0299">
    <w:pPr>
      <w:pStyle w:val="Header"/>
      <w:rPr>
        <w:color w:val="A6A6A6" w:themeColor="background1" w:themeShade="A6"/>
      </w:rPr>
    </w:pPr>
    <w:r>
      <w:rPr>
        <w:noProof/>
      </w:rPr>
      <w:pict w14:anchorId="6B987E2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4361955" o:spid="_x0000_s1027" type="#_x0000_t136" style="position:absolute;margin-left:0;margin-top:0;width:536.55pt;height:48.75pt;rotation:315;z-index:-251650560;mso-position-horizontal:center;mso-position-horizontal-relative:margin;mso-position-vertical:center;mso-position-vertical-relative:margin" o:allowincell="f" fillcolor="black [3213]" stroked="f">
          <v:fill opacity=".5"/>
          <v:textpath style="font-family:&quot;Calibri&quot;;font-size:1pt" string="Exceedingly Draft! Not close to complete!"/>
          <w10:wrap anchorx="margin" anchory="margin"/>
        </v:shape>
      </w:pict>
    </w:r>
    <w:r w:rsidR="00EC55E3">
      <w:rPr>
        <w:noProof/>
      </w:rPr>
      <w:drawing>
        <wp:anchor distT="0" distB="0" distL="114300" distR="114300" simplePos="0" relativeHeight="251657216" behindDoc="0" locked="0" layoutInCell="1" allowOverlap="1" wp14:anchorId="542BD69C" wp14:editId="30D50D0B">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dataBinding w:prefixMappings="xmlns:ns0='http://purl.org/dc/elements/1.1/' xmlns:ns1='http://schemas.openxmlformats.org/package/2006/metadata/core-properties' " w:xpath="/ns1:coreProperties[1]/ns0:title[1]" w:storeItemID="{6C3C8BC8-F283-45AE-878A-BAB7291924A1}"/>
        <w:text/>
      </w:sdtPr>
      <w:sdtEndPr/>
      <w:sdtContent>
        <w:r>
          <w:rPr>
            <w:color w:val="A6A6A6" w:themeColor="background1" w:themeShade="A6"/>
          </w:rPr>
          <w:t>Pacific Regional Environmental Accounts Incorporating Ocean Accounts</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49FF6" w14:textId="77777777" w:rsidR="00302AD9" w:rsidRDefault="00FB0299">
    <w:pPr>
      <w:pStyle w:val="Header"/>
    </w:pPr>
    <w:r>
      <w:rPr>
        <w:noProof/>
      </w:rPr>
      <w:pict w14:anchorId="786227D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4361953" o:spid="_x0000_s1025" type="#_x0000_t136" style="position:absolute;margin-left:0;margin-top:0;width:536.55pt;height:48.75pt;rotation:315;z-index:-251654656;mso-position-horizontal:center;mso-position-horizontal-relative:margin;mso-position-vertical:center;mso-position-vertical-relative:margin" o:allowincell="f" fillcolor="black [3213]" stroked="f">
          <v:fill opacity=".5"/>
          <v:textpath style="font-family:&quot;Calibri&quot;;font-size:1pt" string="Exceedingly Draft! Not close to complete!"/>
          <w10:wrap anchorx="margin" anchory="margin"/>
        </v:shape>
      </w:pict>
    </w:r>
    <w:r w:rsidR="004E7FA2">
      <w:rPr>
        <w:noProof/>
      </w:rPr>
      <w:drawing>
        <wp:anchor distT="0" distB="0" distL="114300" distR="114300" simplePos="0" relativeHeight="251657728" behindDoc="1" locked="0" layoutInCell="1" allowOverlap="1" wp14:anchorId="689EB8C5" wp14:editId="2C2345CB">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CA1C435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62A81FF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731"/>
    <w:multiLevelType w:val="multilevel"/>
    <w:tmpl w:val="2E1096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3" w15:restartNumberingAfterBreak="0">
    <w:nsid w:val="00A99732"/>
    <w:multiLevelType w:val="multilevel"/>
    <w:tmpl w:val="3C887B34"/>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4" w15:restartNumberingAfterBreak="0">
    <w:nsid w:val="00A99733"/>
    <w:multiLevelType w:val="multilevel"/>
    <w:tmpl w:val="577CAE6C"/>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5" w15:restartNumberingAfterBreak="0">
    <w:nsid w:val="108F69E8"/>
    <w:multiLevelType w:val="hybridMultilevel"/>
    <w:tmpl w:val="7AE877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4BD5A3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365741"/>
    <w:multiLevelType w:val="hybridMultilevel"/>
    <w:tmpl w:val="36E45372"/>
    <w:lvl w:ilvl="0" w:tplc="31169C08">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C1AE401"/>
    <w:multiLevelType w:val="multilevel"/>
    <w:tmpl w:val="A8E29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39890DBA"/>
    <w:multiLevelType w:val="hybridMultilevel"/>
    <w:tmpl w:val="9C68E5B2"/>
    <w:lvl w:ilvl="0" w:tplc="A9E2BE02">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A2C77C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E300DB"/>
    <w:multiLevelType w:val="hybridMultilevel"/>
    <w:tmpl w:val="DF0C931C"/>
    <w:lvl w:ilvl="0" w:tplc="7D386C7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6983B8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9B348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50667902">
    <w:abstractNumId w:val="8"/>
  </w:num>
  <w:num w:numId="2" w16cid:durableId="212280475">
    <w:abstractNumId w:val="5"/>
  </w:num>
  <w:num w:numId="3" w16cid:durableId="963316209">
    <w:abstractNumId w:val="6"/>
  </w:num>
  <w:num w:numId="4" w16cid:durableId="1063527880">
    <w:abstractNumId w:val="7"/>
  </w:num>
  <w:num w:numId="5" w16cid:durableId="1328440301">
    <w:abstractNumId w:val="12"/>
  </w:num>
  <w:num w:numId="6" w16cid:durableId="352875897">
    <w:abstractNumId w:val="13"/>
  </w:num>
  <w:num w:numId="7" w16cid:durableId="2064401553">
    <w:abstractNumId w:val="10"/>
  </w:num>
  <w:num w:numId="8" w16cid:durableId="770591970">
    <w:abstractNumId w:val="11"/>
  </w:num>
  <w:num w:numId="9" w16cid:durableId="117267032">
    <w:abstractNumId w:val="9"/>
  </w:num>
  <w:num w:numId="10" w16cid:durableId="131488279">
    <w:abstractNumId w:val="0"/>
  </w:num>
  <w:num w:numId="11" w16cid:durableId="3938566">
    <w:abstractNumId w:val="1"/>
  </w:num>
  <w:num w:numId="12" w16cid:durableId="1695380351">
    <w:abstractNumId w:val="1"/>
  </w:num>
  <w:num w:numId="13" w16cid:durableId="17944016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35903660">
    <w:abstractNumId w:val="1"/>
  </w:num>
  <w:num w:numId="15" w16cid:durableId="805927321">
    <w:abstractNumId w:val="1"/>
  </w:num>
  <w:num w:numId="16" w16cid:durableId="17860789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24290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729194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5456234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0" w16cid:durableId="81726653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 w16cid:durableId="13838697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00297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379659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508722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69893015">
    <w:abstractNumId w:val="1"/>
  </w:num>
  <w:num w:numId="26" w16cid:durableId="16272725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54001657">
    <w:abstractNumId w:val="1"/>
  </w:num>
  <w:num w:numId="28" w16cid:durableId="4514433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603712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666485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1D3C2B"/>
    <w:rsid w:val="00256D65"/>
    <w:rsid w:val="0029224F"/>
    <w:rsid w:val="002A7B38"/>
    <w:rsid w:val="002B42A8"/>
    <w:rsid w:val="002C6215"/>
    <w:rsid w:val="002D77EB"/>
    <w:rsid w:val="00302AD9"/>
    <w:rsid w:val="00307DAA"/>
    <w:rsid w:val="003346AA"/>
    <w:rsid w:val="003811D7"/>
    <w:rsid w:val="003836D8"/>
    <w:rsid w:val="003D4EC7"/>
    <w:rsid w:val="00427B3A"/>
    <w:rsid w:val="0047794B"/>
    <w:rsid w:val="004909C1"/>
    <w:rsid w:val="00492A21"/>
    <w:rsid w:val="004E29B3"/>
    <w:rsid w:val="004E7FA2"/>
    <w:rsid w:val="0054487E"/>
    <w:rsid w:val="00550F77"/>
    <w:rsid w:val="00582ED7"/>
    <w:rsid w:val="00590D07"/>
    <w:rsid w:val="005C6347"/>
    <w:rsid w:val="005E4326"/>
    <w:rsid w:val="00600F57"/>
    <w:rsid w:val="00602EF4"/>
    <w:rsid w:val="0061100D"/>
    <w:rsid w:val="00631E9C"/>
    <w:rsid w:val="00680D48"/>
    <w:rsid w:val="006951B6"/>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3354D"/>
    <w:rsid w:val="00E46F2B"/>
    <w:rsid w:val="00E719EA"/>
    <w:rsid w:val="00EC55E3"/>
    <w:rsid w:val="00ED2818"/>
    <w:rsid w:val="00F0766D"/>
    <w:rsid w:val="00F541A0"/>
    <w:rsid w:val="00F5717D"/>
    <w:rsid w:val="00F62245"/>
    <w:rsid w:val="00F85740"/>
    <w:rsid w:val="00F903CE"/>
    <w:rsid w:val="00FB0299"/>
    <w:rsid w:val="00FE0BE0"/>
    <w:rsid w:val="00FF1A42"/>
    <w:rsid w:val="00FF4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7046C6"/>
  <w15:docId w15:val="{1E9D9CDC-F58B-411B-BC19-80FA0A805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5060"/>
    <w:rPr>
      <w:rFonts w:ascii="Calibri" w:hAnsi="Calibri"/>
      <w:sz w:val="22"/>
    </w:rPr>
  </w:style>
  <w:style w:type="paragraph" w:styleId="Heading1">
    <w:name w:val="heading 1"/>
    <w:basedOn w:val="Normal"/>
    <w:next w:val="BodyText"/>
    <w:uiPriority w:val="9"/>
    <w:qFormat/>
    <w:rsid w:val="006951B6"/>
    <w:pPr>
      <w:keepNext/>
      <w:keepLines/>
      <w:spacing w:before="240" w:after="0"/>
      <w:outlineLvl w:val="0"/>
    </w:pPr>
    <w:rPr>
      <w:rFonts w:eastAsiaTheme="majorEastAsia" w:cstheme="majorBidi"/>
      <w:b/>
      <w:bCs/>
      <w:sz w:val="36"/>
      <w:szCs w:val="32"/>
    </w:rPr>
  </w:style>
  <w:style w:type="paragraph" w:styleId="Heading2">
    <w:name w:val="heading 2"/>
    <w:basedOn w:val="Heading1"/>
    <w:next w:val="BodyText"/>
    <w:uiPriority w:val="9"/>
    <w:unhideWhenUsed/>
    <w:qFormat/>
    <w:rsid w:val="006951B6"/>
    <w:pPr>
      <w:spacing w:before="200"/>
      <w:outlineLvl w:val="1"/>
    </w:pPr>
    <w:rPr>
      <w:b w:val="0"/>
      <w:bCs w:val="0"/>
      <w:i/>
      <w:sz w:val="28"/>
      <w:szCs w:val="28"/>
    </w:rPr>
  </w:style>
  <w:style w:type="paragraph" w:styleId="Heading3">
    <w:name w:val="heading 3"/>
    <w:basedOn w:val="Heading1"/>
    <w:next w:val="BodyText"/>
    <w:uiPriority w:val="9"/>
    <w:unhideWhenUsed/>
    <w:qFormat/>
    <w:rsid w:val="006951B6"/>
    <w:pPr>
      <w:spacing w:before="200"/>
      <w:outlineLvl w:val="2"/>
    </w:pPr>
    <w:rPr>
      <w:b w:val="0"/>
      <w:bCs w:val="0"/>
      <w:i/>
      <w:sz w:val="24"/>
    </w:rPr>
  </w:style>
  <w:style w:type="paragraph" w:styleId="Heading4">
    <w:name w:val="heading 4"/>
    <w:basedOn w:val="Normal"/>
    <w:next w:val="BodyText"/>
    <w:uiPriority w:val="9"/>
    <w:unhideWhenUsed/>
    <w:qFormat/>
    <w:rsid w:val="006951B6"/>
    <w:pPr>
      <w:keepNext/>
      <w:keepLines/>
      <w:spacing w:before="200" w:after="0"/>
      <w:outlineLvl w:val="3"/>
    </w:pPr>
    <w:rPr>
      <w:rFonts w:asciiTheme="majorHAnsi" w:eastAsiaTheme="majorEastAsia" w:hAnsiTheme="majorHAnsi"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E7FA2"/>
    <w:pPr>
      <w:spacing w:after="180" w:line="288" w:lineRule="auto"/>
      <w:jc w:val="both"/>
    </w:pPr>
    <w:rPr>
      <w:rFonts w:cs="Kalinga"/>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F541A0"/>
    <w:pPr>
      <w:keepNext/>
      <w:keepLines/>
      <w:spacing w:before="2280" w:after="600"/>
      <w:jc w:val="center"/>
    </w:pPr>
    <w:rPr>
      <w:rFonts w:eastAsiaTheme="majorEastAsia" w:cstheme="majorBidi"/>
      <w:bCs/>
      <w:sz w:val="5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265AF"/>
    <w:pPr>
      <w:keepNext/>
      <w:keepLines/>
      <w:jc w:val="center"/>
    </w:pPr>
    <w:rPr>
      <w:rFonts w:ascii="Calibri" w:hAnsi="Calibri"/>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F3583"/>
    <w:pPr>
      <w:spacing w:after="0"/>
    </w:pPr>
    <w:rPr>
      <w:sz w:val="18"/>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8408D6"/>
    <w:pPr>
      <w:spacing w:line="259" w:lineRule="auto"/>
      <w:outlineLvl w:val="9"/>
    </w:pPr>
    <w:rPr>
      <w:rFonts w:asciiTheme="majorHAnsi" w:hAnsiTheme="majorHAnsi"/>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FE0BE0"/>
    <w:pPr>
      <w:tabs>
        <w:tab w:val="center" w:pos="4513"/>
        <w:tab w:val="right" w:pos="9026"/>
      </w:tabs>
      <w:spacing w:after="0"/>
    </w:pPr>
  </w:style>
  <w:style w:type="character" w:customStyle="1" w:styleId="HeaderChar">
    <w:name w:val="Header Char"/>
    <w:basedOn w:val="DefaultParagraphFont"/>
    <w:link w:val="Header"/>
    <w:uiPriority w:val="99"/>
    <w:rsid w:val="00FE0BE0"/>
  </w:style>
  <w:style w:type="paragraph" w:styleId="Footer">
    <w:name w:val="footer"/>
    <w:basedOn w:val="Normal"/>
    <w:link w:val="FooterChar"/>
    <w:uiPriority w:val="99"/>
    <w:unhideWhenUsed/>
    <w:rsid w:val="00FE0BE0"/>
    <w:pPr>
      <w:tabs>
        <w:tab w:val="center" w:pos="4513"/>
        <w:tab w:val="right" w:pos="9026"/>
      </w:tabs>
      <w:spacing w:after="0"/>
    </w:pPr>
  </w:style>
  <w:style w:type="character" w:customStyle="1" w:styleId="FooterChar">
    <w:name w:val="Footer Char"/>
    <w:basedOn w:val="DefaultParagraphFont"/>
    <w:link w:val="Footer"/>
    <w:uiPriority w:val="99"/>
    <w:rsid w:val="00FE0BE0"/>
  </w:style>
  <w:style w:type="character" w:styleId="PlaceholderText">
    <w:name w:val="Placeholder Text"/>
    <w:basedOn w:val="DefaultParagraphFont"/>
    <w:semiHidden/>
    <w:rsid w:val="00FE0BE0"/>
    <w:rPr>
      <w:color w:val="808080"/>
    </w:rPr>
  </w:style>
  <w:style w:type="paragraph" w:styleId="TOC1">
    <w:name w:val="toc 1"/>
    <w:basedOn w:val="Normal"/>
    <w:next w:val="Normal"/>
    <w:autoRedefine/>
    <w:uiPriority w:val="39"/>
    <w:unhideWhenUsed/>
    <w:rsid w:val="00ED2818"/>
    <w:pPr>
      <w:spacing w:before="360" w:after="0"/>
    </w:pPr>
    <w:rPr>
      <w:rFonts w:asciiTheme="majorHAnsi" w:hAnsiTheme="majorHAnsi" w:cstheme="majorHAnsi"/>
      <w:b/>
      <w:bCs/>
      <w:caps/>
      <w:sz w:val="24"/>
    </w:rPr>
  </w:style>
  <w:style w:type="paragraph" w:styleId="TOC2">
    <w:name w:val="toc 2"/>
    <w:basedOn w:val="Normal"/>
    <w:next w:val="Normal"/>
    <w:autoRedefine/>
    <w:unhideWhenUsed/>
    <w:rsid w:val="00ED2818"/>
    <w:pPr>
      <w:spacing w:before="240" w:after="0"/>
    </w:pPr>
    <w:rPr>
      <w:rFonts w:asciiTheme="minorHAnsi" w:hAnsiTheme="minorHAnsi"/>
      <w:b/>
      <w:bCs/>
      <w:sz w:val="20"/>
      <w:szCs w:val="20"/>
    </w:rPr>
  </w:style>
  <w:style w:type="paragraph" w:styleId="TOC3">
    <w:name w:val="toc 3"/>
    <w:basedOn w:val="Normal"/>
    <w:next w:val="Normal"/>
    <w:autoRedefine/>
    <w:unhideWhenUsed/>
    <w:rsid w:val="00ED2818"/>
    <w:pPr>
      <w:spacing w:after="0"/>
      <w:ind w:left="220"/>
    </w:pPr>
    <w:rPr>
      <w:rFonts w:asciiTheme="minorHAnsi" w:hAnsiTheme="minorHAnsi"/>
      <w:sz w:val="20"/>
      <w:szCs w:val="20"/>
    </w:rPr>
  </w:style>
  <w:style w:type="paragraph" w:styleId="TOC4">
    <w:name w:val="toc 4"/>
    <w:basedOn w:val="Normal"/>
    <w:next w:val="Normal"/>
    <w:autoRedefine/>
    <w:unhideWhenUsed/>
    <w:rsid w:val="00ED2818"/>
    <w:pPr>
      <w:spacing w:after="0"/>
      <w:ind w:left="440"/>
    </w:pPr>
    <w:rPr>
      <w:rFonts w:asciiTheme="minorHAnsi" w:hAnsiTheme="minorHAnsi"/>
      <w:sz w:val="20"/>
      <w:szCs w:val="20"/>
    </w:rPr>
  </w:style>
  <w:style w:type="paragraph" w:styleId="TOC5">
    <w:name w:val="toc 5"/>
    <w:basedOn w:val="Normal"/>
    <w:next w:val="Normal"/>
    <w:autoRedefine/>
    <w:unhideWhenUsed/>
    <w:rsid w:val="00ED2818"/>
    <w:pPr>
      <w:spacing w:after="0"/>
      <w:ind w:left="660"/>
    </w:pPr>
    <w:rPr>
      <w:rFonts w:asciiTheme="minorHAnsi" w:hAnsiTheme="minorHAnsi"/>
      <w:sz w:val="20"/>
      <w:szCs w:val="20"/>
    </w:rPr>
  </w:style>
  <w:style w:type="paragraph" w:styleId="TOC6">
    <w:name w:val="toc 6"/>
    <w:basedOn w:val="Normal"/>
    <w:next w:val="Normal"/>
    <w:autoRedefine/>
    <w:unhideWhenUsed/>
    <w:rsid w:val="00ED2818"/>
    <w:pPr>
      <w:spacing w:after="0"/>
      <w:ind w:left="880"/>
    </w:pPr>
    <w:rPr>
      <w:rFonts w:asciiTheme="minorHAnsi" w:hAnsiTheme="minorHAnsi"/>
      <w:sz w:val="20"/>
      <w:szCs w:val="20"/>
    </w:rPr>
  </w:style>
  <w:style w:type="paragraph" w:styleId="TOC7">
    <w:name w:val="toc 7"/>
    <w:basedOn w:val="Normal"/>
    <w:next w:val="Normal"/>
    <w:autoRedefine/>
    <w:unhideWhenUsed/>
    <w:rsid w:val="00ED2818"/>
    <w:pPr>
      <w:spacing w:after="0"/>
      <w:ind w:left="1100"/>
    </w:pPr>
    <w:rPr>
      <w:rFonts w:asciiTheme="minorHAnsi" w:hAnsiTheme="minorHAnsi"/>
      <w:sz w:val="20"/>
      <w:szCs w:val="20"/>
    </w:rPr>
  </w:style>
  <w:style w:type="paragraph" w:styleId="TOC8">
    <w:name w:val="toc 8"/>
    <w:basedOn w:val="Normal"/>
    <w:next w:val="Normal"/>
    <w:autoRedefine/>
    <w:unhideWhenUsed/>
    <w:rsid w:val="00ED2818"/>
    <w:pPr>
      <w:spacing w:after="0"/>
      <w:ind w:left="1320"/>
    </w:pPr>
    <w:rPr>
      <w:rFonts w:asciiTheme="minorHAnsi" w:hAnsiTheme="minorHAnsi"/>
      <w:sz w:val="20"/>
      <w:szCs w:val="20"/>
    </w:rPr>
  </w:style>
  <w:style w:type="paragraph" w:styleId="TOC9">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cience.org/doi/10.1126/science.adl4019" TargetMode="External"/><Relationship Id="rId3" Type="http://schemas.openxmlformats.org/officeDocument/2006/relationships/settings" Target="settings.xml"/><Relationship Id="rId21" Type="http://schemas.openxmlformats.org/officeDocument/2006/relationships/hyperlink" Target="https://www.jstor.org/stable/1884513"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26%2Fscience.adl4019"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2307%2F1884513"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seea.un.org/sites/seea.un.org/files/seea_cf_final_en.pdf"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jstor.org/stable/1926047"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2307%2F1926047" TargetMode="External"/><Relationship Id="rId27" Type="http://schemas.openxmlformats.org/officeDocument/2006/relationships/hyperlink" Target="https://nso.gov.ki/download/151/2023-24-hies-reports/2167/kiribati-natural-disasters-and-climate-change-report-2023-2024"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www.science.org/doi/10.1126/science.adl401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eea.un.org/sites/seea.un.org/files/seea_cf_final_en.pdf" TargetMode="External"/><Relationship Id="rId3" Type="http://schemas.openxmlformats.org/officeDocument/2006/relationships/hyperlink" Target="https://seea.un.org/sites/seea.un.org/files/seea_cf_final_en.pdf" TargetMode="External"/><Relationship Id="rId7" Type="http://schemas.openxmlformats.org/officeDocument/2006/relationships/hyperlink" Target="https://unstats.un.org/unsd/nationalaccount/docs/2025_SNA_Pre-edit.pdf" TargetMode="External"/><Relationship Id="rId2" Type="http://schemas.openxmlformats.org/officeDocument/2006/relationships/hyperlink" Target="https://www.are.admin.ch/are/en/home/media/publications/sustainable-development/brundtland-report.html" TargetMode="External"/><Relationship Id="rId1" Type="http://schemas.openxmlformats.org/officeDocument/2006/relationships/hyperlink" Target="https://unstats.un.org/unsd/nationalaccount/sna.asp" TargetMode="External"/><Relationship Id="rId6" Type="http://schemas.openxmlformats.org/officeDocument/2006/relationships/hyperlink" Target="https://unstats.un.org/unsd/nationalaccount/docs/1993sna.pdf" TargetMode="External"/><Relationship Id="rId5" Type="http://schemas.openxmlformats.org/officeDocument/2006/relationships/hyperlink" Target="https://unstats.un.org/unsd/nationalaccount/sna.asp" TargetMode="External"/><Relationship Id="rId4" Type="http://schemas.openxmlformats.org/officeDocument/2006/relationships/hyperlink" Target="https://nso.gov.ki/download/151/2023-24-hies-reports/2167/kiribati-natural-disasters-and-climate-change-report-2023-2024" TargetMode="External"/><Relationship Id="rId9" Type="http://schemas.openxmlformats.org/officeDocument/2006/relationships/hyperlink" Target="https://seea.un.org/sites/seea.un.org/files/seea_cf_final_e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34</Pages>
  <Words>9565</Words>
  <Characters>54521</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 Incorporating Ocean Accounts</dc:title>
  <dc:creator>FAME Economics</dc:creator>
  <cp:keywords/>
  <cp:lastModifiedBy>James Hogan</cp:lastModifiedBy>
  <cp:revision>2</cp:revision>
  <dcterms:created xsi:type="dcterms:W3CDTF">2025-07-30T06:56:00Z</dcterms:created>
  <dcterms:modified xsi:type="dcterms:W3CDTF">2025-07-30T06:58:00Z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30 July 2025</vt:lpwstr>
  </property>
  <property fmtid="{D5CDD505-2E9C-101B-9397-08002B2CF9AE}" pid="3" name="output">
    <vt:lpwstr/>
  </property>
  <property fmtid="{D5CDD505-2E9C-101B-9397-08002B2CF9AE}" pid="4" name="subtitle">
    <vt:lpwstr>An SPC Digital Earth Pacific Data Source and Foundation Augmented with FAME and GEM Data</vt:lpwstr>
  </property>
</Properties>
</file>