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16.png" ContentType="image/png"/>
  <Override PartName="/word/media/rId81.png" ContentType="image/png"/>
  <Override PartName="/word/media/rId89.png" ContentType="image/png"/>
  <Override PartName="/word/media/rId103.png" ContentType="image/png"/>
  <Override PartName="/word/media/rId107.png" ContentType="image/png"/>
  <Override PartName="/word/media/rId63.png" ContentType="image/png"/>
  <Override PartName="/word/media/rId48.png" ContentType="image/png"/>
  <Override PartName="/word/media/rId111.png" ContentType="image/png"/>
  <Override PartName="/word/media/rId59.png" ContentType="image/png"/>
  <Override PartName="/word/media/rId26.png" ContentType="image/png"/>
  <Override PartName="/word/media/rId122.png" ContentType="image/png"/>
  <Override PartName="/word/media/rId93.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 Regional Environmental Accounts</w:t>
      </w:r>
      <w:r>
        <w:t xml:space="preserve"> </w:t>
      </w:r>
      <w:r>
        <w:t xml:space="preserve">Incorporating Ocean Accounts</w:t>
      </w:r>
    </w:p>
    <w:p>
      <w:pPr>
        <w:pStyle w:val="Subtitle"/>
      </w:pPr>
      <w:r>
        <w:t xml:space="preserve">Using Digital Earth Pacific and FAME Data Sources</w:t>
      </w:r>
    </w:p>
    <w:p>
      <w:pPr>
        <w:pStyle w:val="Author"/>
      </w:pPr>
      <w:r>
        <w:t xml:space="preserve">FAME Economics</w:t>
      </w:r>
    </w:p>
    <w:p>
      <w:pPr>
        <w:pStyle w:val="Date"/>
      </w:pPr>
      <w:r>
        <w:t xml:space="preserve">29 July 2025</w:t>
      </w:r>
    </w:p>
    <w:p>
      <w:r>
        <w:br w:type="page"/>
      </w:r>
    </w:p>
    <w:bookmarkStart w:id="45" w:name="introduction"/>
    <w:p>
      <w:pPr>
        <w:pStyle w:val="Heading1"/>
      </w:pPr>
      <w:r>
        <w:rPr>
          <w:rStyle w:val="SectionNumber"/>
        </w:rPr>
        <w:t xml:space="preserve">1</w:t>
      </w:r>
      <w:r>
        <w:tab/>
      </w:r>
      <w:r>
        <w:t xml:space="preserve">Introduction</w:t>
      </w:r>
    </w:p>
    <w:p>
      <w:pPr>
        <w:pStyle w:val="FirstParagraph"/>
      </w:pPr>
      <w:r>
        <w:t xml:space="preserve">For a long time, the environment received little economic attention and was not viewed as an essential input into the economic production process. Since its inception in 1947 up until 1987, the standard international economic measurement</w:t>
      </w:r>
      <w:r>
        <w:t xml:space="preserve"> </w:t>
      </w:r>
      <w:r>
        <w:t xml:space="preserve">“textbook”</w:t>
      </w:r>
      <w:r>
        <w:t xml:space="preserve">, the System of National Accounts</w:t>
      </w:r>
      <w:r>
        <w:rPr>
          <w:rStyle w:val="FootnoteReference"/>
        </w:rPr>
        <w:footnoteReference w:id="20"/>
      </w:r>
      <w:r>
        <w:t xml:space="preserve"> </w:t>
      </w:r>
      <w:r>
        <w:t xml:space="preserve">(SNA) continued its original focus of measuring how countries might recover from the 1930’s economic depression, and fund the second world war (WW2). For decades, its focus remained on measuring the economic fundimentals of production, consumption, and exchange. The environment was recognised to the extent it could be contained within property rights and capable of monetarised measurement. It was something ancillary-to the economy and within-which economies undertook the serious stuff of production, consumption and exchange.</w:t>
      </w:r>
    </w:p>
    <w:p>
      <w:pPr>
        <w:pStyle w:val="BodyText"/>
      </w:pPr>
      <w:r>
        <w:t xml:space="preserve">The limits of the environment moved the SNA’s focus beyond 1930’s depression and WW2 economics. Extractive processes from the environment were recognised as exhaustible and the feedback relationships between the environment and the economic systems were acknowledged.</w:t>
      </w:r>
      <w:r>
        <w:t xml:space="preserve"> </w:t>
      </w:r>
      <w:r>
        <w:t xml:space="preserve">“Sustainability”</w:t>
      </w:r>
      <w:r>
        <w:t xml:space="preserve"> </w:t>
      </w:r>
      <w:r>
        <w:t xml:space="preserve">and is material progress in an economic-based welfare system depends on</w:t>
      </w:r>
      <w:r>
        <w:t xml:space="preserve"> </w:t>
      </w:r>
      <w:r>
        <w:t xml:space="preserve">“non-exhaustibility”</w:t>
      </w:r>
      <w:r>
        <w:t xml:space="preserve"> </w:t>
      </w:r>
      <w:r>
        <w:t xml:space="preserve">within the environmental system that economies reside within. However, the environmental system is itself limited by economic-system-derived pollution and degradation. The feedback relationships between the two systems are binding constraints on each other. Climate change only reinforces the impact of this inter-dependency.</w:t>
      </w:r>
    </w:p>
    <w:bookmarkStart w:id="25" w:name="X61b7bfbcb754c82a54307c5292c6ec675268555"/>
    <w:p>
      <w:pPr>
        <w:pStyle w:val="Heading2"/>
      </w:pPr>
      <w:r>
        <w:rPr>
          <w:rStyle w:val="SectionNumber"/>
        </w:rPr>
        <w:t xml:space="preserve">1.1</w:t>
      </w:r>
      <w:r>
        <w:tab/>
      </w:r>
      <w:r>
        <w:t xml:space="preserve">The System of Environmental-Economic Accounts: a framework for measuring Environmental / Economic co-dependency</w:t>
      </w:r>
    </w:p>
    <w:p>
      <w:pPr>
        <w:pStyle w:val="FirstParagraph"/>
      </w:pPr>
      <w:r>
        <w:t xml:space="preserve">Within the System of Environmental-Economic Accounts - Central Framework (SEEA-CF), economic production, consumption, and exchange</w:t>
      </w:r>
      <w:r>
        <w:t xml:space="preserve"> </w:t>
      </w:r>
      <w:r>
        <w:rPr>
          <w:i/>
          <w:iCs/>
        </w:rPr>
        <w:t xml:space="preserve">a la</w:t>
      </w:r>
      <w:r>
        <w:t xml:space="preserve"> </w:t>
      </w:r>
      <w:r>
        <w:t xml:space="preserve">SNA remain important, but SEEA-CF also recognised the quantity and quality of the change in the environment is simultanously important. The SEEA-CF framework seeks to record each system</w:t>
      </w:r>
      <w:r>
        <w:t xml:space="preserve"> </w:t>
      </w:r>
      <w:r>
        <w:rPr>
          <w:i/>
          <w:iCs/>
        </w:rPr>
        <w:t xml:space="preserve">simultaneously</w:t>
      </w:r>
      <w:r>
        <w:t xml:space="preserve"> </w:t>
      </w:r>
      <w:r>
        <w:t xml:space="preserve">through companion economic and environmental supply/use tables reflecting simultanous changes within the two systems.</w:t>
      </w:r>
    </w:p>
    <w:p>
      <w:pPr>
        <w:pStyle w:val="BodyText"/>
      </w:pPr>
      <w:r>
        <w:t xml:space="preserve">The System of Environmental-Economic Accounts - Ecosystem Accounting (SEEA-EA) extends the environmental measurement framework by considering clusters of environmental assets grouped together as being collectively important to each other and the economy. In Ecosystem accounting,</w:t>
      </w:r>
    </w:p>
    <w:p>
      <w:pPr>
        <w:pStyle w:val="BodyText"/>
      </w:pPr>
      <w:r>
        <w:t xml:space="preserve">Changes in the</w:t>
      </w:r>
      <w:r>
        <w:t xml:space="preserve"> </w:t>
      </w:r>
      <w:r>
        <w:t xml:space="preserve">“stock”</w:t>
      </w:r>
      <w:r>
        <w:t xml:space="preserve"> </w:t>
      </w:r>
      <w:r>
        <w:t xml:space="preserve">of cultivated timber resources (otherwise known as</w:t>
      </w:r>
      <w:r>
        <w:t xml:space="preserve"> </w:t>
      </w:r>
      <w:r>
        <w:t xml:space="preserve">“forests”</w:t>
      </w:r>
      <w:r>
        <w:t xml:space="preserve">) over a period of time, are compared to the economic flows derived within the forestry industry through SNA supply/use tables, and the subsequent economic impact forestry activity has on the construction industry, employment, exports and economic welfare. The SNA system measures can be further extended into the related financial flows through the monetary/credit transmission mechanism and the economic levers of government policy.</w:t>
      </w:r>
    </w:p>
    <w:bookmarkStart w:id="24" w:name="Xf392fe7bf88e5b4f6c541fecedea7223711cd5b"/>
    <w:p>
      <w:pPr>
        <w:pStyle w:val="Heading3"/>
      </w:pPr>
      <w:r>
        <w:rPr>
          <w:rStyle w:val="SectionNumber"/>
        </w:rPr>
        <w:t xml:space="preserve">1.1.1</w:t>
      </w:r>
      <w:r>
        <w:tab/>
      </w:r>
      <w:r>
        <w:t xml:space="preserve">Two way traffic with co-dependency: the Dutch Disease</w:t>
      </w:r>
    </w:p>
    <w:p>
      <w:pPr>
        <w:pStyle w:val="FirstParagraph"/>
      </w:pPr>
      <w:r>
        <w:t xml:space="preserve">While the economic system is the overwhelming source of pollution and depopulation affecting the environmental system, the co-dependency between the systems means the direction of change isn’t all one-way, with many economic problems having their cause in the environment.</w:t>
      </w:r>
    </w:p>
    <w:p>
      <w:pPr>
        <w:pStyle w:val="BodyText"/>
      </w:pPr>
      <w:r>
        <w:t xml:space="preserve">The</w:t>
      </w:r>
      <w:r>
        <w:t xml:space="preserve"> </w:t>
      </w:r>
      <w:r>
        <w:t xml:space="preserve">“Dutch Disease”</w:t>
      </w:r>
      <w:r>
        <w:rPr>
          <w:rStyle w:val="FootnoteReference"/>
        </w:rPr>
        <w:footnoteReference w:id="22"/>
      </w:r>
      <w:r>
        <w:t xml:space="preserve"> </w:t>
      </w:r>
      <w:r>
        <w:t xml:space="preserve">is an example where the environmental component of the environment/economic co-relationship comes to dominate the mix of activity in the economic system component. Significant stocks of natural resources make extractive industries the overwhelming dominant industries within affected economics. Consequently, labour markets, and capital investment become biased towards those industries and away from other productive processes. In the long-run, affected economies become stunted through</w:t>
      </w:r>
      <w:r>
        <w:t xml:space="preserve"> </w:t>
      </w:r>
      <w:r>
        <w:t xml:space="preserve">“path-dependancy”</w:t>
      </w:r>
      <w:r>
        <w:t xml:space="preserve">, as unbalanced labour markets, and over-investment in single industries limiting the country’ ability to change economic direction from extraction other activities.</w:t>
      </w:r>
    </w:p>
    <w:p>
      <w:r>
        <w:br w:type="page"/>
      </w:r>
    </w:p>
    <w:bookmarkEnd w:id="24"/>
    <w:bookmarkEnd w:id="25"/>
    <w:bookmarkStart w:id="37" w:name="implications-for-pacific-countries"/>
    <w:p>
      <w:pPr>
        <w:pStyle w:val="Heading2"/>
      </w:pPr>
      <w:r>
        <w:rPr>
          <w:rStyle w:val="SectionNumber"/>
        </w:rPr>
        <w:t xml:space="preserve">1.2</w:t>
      </w:r>
      <w:r>
        <w:tab/>
      </w:r>
      <w:r>
        <w:t xml:space="preserve">Implications for Pacific Countries</w:t>
      </w:r>
    </w:p>
    <w:p>
      <w:pPr>
        <w:pStyle w:val="FirstParagraph"/>
      </w:pPr>
      <w:r>
        <w:t xml:space="preserve">Lacking the economic complexity of high income econonomies, Pacific Countries are more sensitive than others to the interactions of the environment into their economies.</w:t>
      </w:r>
    </w:p>
    <w:p>
      <w:pPr>
        <w:pStyle w:val="CaptionedFigure"/>
      </w:pPr>
      <w:r>
        <w:drawing>
          <wp:inline>
            <wp:extent cx="6588125" cy="4407983"/>
            <wp:effectExtent b="0" l="0" r="0" t="0"/>
            <wp:docPr descr="Figure 1: Distribution of countries, by land size relative to EEZ size (World Bank Groupings)" title="" id="27" name="Picture"/>
            <a:graphic>
              <a:graphicData uri="http://schemas.openxmlformats.org/drawingml/2006/picture">
                <pic:pic>
                  <pic:nvPicPr>
                    <pic:cNvPr descr="Graphical_Output/Relative%20Land%20Area%20to%20EEZ.png" id="28" name="Picture"/>
                    <pic:cNvPicPr>
                      <a:picLocks noChangeArrowheads="1" noChangeAspect="1"/>
                    </pic:cNvPicPr>
                  </pic:nvPicPr>
                  <pic:blipFill>
                    <a:blip r:embed="rId26"/>
                    <a:stretch>
                      <a:fillRect/>
                    </a:stretch>
                  </pic:blipFill>
                  <pic:spPr bwMode="auto">
                    <a:xfrm>
                      <a:off x="0" y="0"/>
                      <a:ext cx="6588125" cy="4407983"/>
                    </a:xfrm>
                    <a:prstGeom prst="rect">
                      <a:avLst/>
                    </a:prstGeom>
                    <a:noFill/>
                    <a:ln w="9525">
                      <a:noFill/>
                      <a:headEnd/>
                      <a:tailEnd/>
                    </a:ln>
                  </pic:spPr>
                </pic:pic>
              </a:graphicData>
            </a:graphic>
          </wp:inline>
        </w:drawing>
      </w:r>
    </w:p>
    <w:p>
      <w:pPr>
        <w:pStyle w:val="ImageCaption"/>
      </w:pPr>
      <w:bookmarkStart w:id="29" w:name="fig:unnamed-chunk-1"/>
      <w:bookmarkEnd w:id="29"/>
      <w:r>
        <w:t xml:space="preserve">Figure 1: Distribution of countries, by land size relative to EEZ size (World Bank Groupings)</w:t>
      </w:r>
    </w:p>
    <w:p>
      <w:pPr>
        <w:pStyle w:val="BodyText"/>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30"/>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p>
      <w:pPr>
        <w:pStyle w:val="FirstParagraph"/>
      </w:pPr>
      <w:r>
        <w:t xml:space="preserve">The SEEA Central Framework captures the relationship between the economy and the environment through measuring the quantity, change and value of environmental assets, energy</w:t>
      </w:r>
    </w:p>
    <w:p>
      <w:pPr>
        <w:pStyle w:val="BodyText"/>
      </w:pPr>
      <w:r>
        <w:t xml:space="preserve">The , introduced in 1947, pioneered the concept of National Accounting - the idea that you can express the economic activity and the progress of a country in a suite of statistical reports much like a map describes the contours of a landscape or a road. As initially, conceived the metrics focused on the income</w:t>
      </w:r>
      <w:r>
        <w:t xml:space="preserve"> </w:t>
      </w:r>
      <w:r>
        <w:t xml:space="preserve">“flow”</w:t>
      </w:r>
      <w:r>
        <w:t xml:space="preserve"> </w:t>
      </w:r>
      <w:r>
        <w:t xml:space="preserve">information needed to address economic problems of the great 1930 depression, financing the Second World War, and describing the</w:t>
      </w:r>
      <w:r>
        <w:t xml:space="preserve"> </w:t>
      </w:r>
      <w:r>
        <w:t xml:space="preserve">“flow”</w:t>
      </w:r>
      <w:r>
        <w:t xml:space="preserve"> </w:t>
      </w:r>
      <w:r>
        <w:t xml:space="preserve">of money and products</w:t>
      </w:r>
      <w:r>
        <w:t xml:space="preserve"> </w:t>
      </w:r>
      <w:r>
        <w:rPr>
          <w:i/>
          <w:iCs/>
        </w:rPr>
        <w:t xml:space="preserve">between</w:t>
      </w:r>
      <w:r>
        <w:t xml:space="preserve"> </w:t>
      </w:r>
      <w:r>
        <w:t xml:space="preserve">countries. The economic system had a</w:t>
      </w:r>
      <w:r>
        <w:t xml:space="preserve"> </w:t>
      </w:r>
      <w:r>
        <w:t xml:space="preserve">“cadence”</w:t>
      </w:r>
      <w:r>
        <w:t xml:space="preserve"> </w:t>
      </w:r>
      <w:r>
        <w:t xml:space="preserve">of boom-bust cycles. The role of national account was to support the developed of counter-cyclical policy advice which smoothed out these economic cycles which were so destructive to economies.</w:t>
      </w:r>
    </w:p>
    <w:p>
      <w:pPr>
        <w:pStyle w:val="BodyText"/>
      </w:pPr>
      <w:r>
        <w:t xml:space="preserve">Within the National Accounts, production economics - the relationship between economic output and labour/capital inputs - was expressed as</w:t>
      </w:r>
      <w:r>
        <w:t xml:space="preserve"> </w:t>
      </w:r>
      <w:r>
        <w:t xml:space="preserve">“flows”</w:t>
      </w:r>
      <w:r>
        <w:t xml:space="preserve">. Gross Domestic Production are the sums paid</w:t>
      </w:r>
      <w:r>
        <w:t xml:space="preserve"> </w:t>
      </w:r>
      <w:r>
        <w:rPr>
          <w:i/>
          <w:iCs/>
        </w:rPr>
        <w:t xml:space="preserve">over a specific period of time</w:t>
      </w:r>
      <w:r>
        <w:t xml:space="preserve"> </w:t>
      </w:r>
      <w:r>
        <w:t xml:space="preserve">to labour, the Government and capital owners through economic profit. The concept of a</w:t>
      </w:r>
      <w:r>
        <w:t xml:space="preserve"> </w:t>
      </w:r>
      <w:r>
        <w:t xml:space="preserve">“stock”</w:t>
      </w:r>
      <w:r>
        <w:t xml:space="preserve"> </w:t>
      </w:r>
      <w:r>
        <w:t xml:space="preserve">of capital and a stock of</w:t>
      </w:r>
      <w:r>
        <w:t xml:space="preserve"> </w:t>
      </w:r>
      <w:r>
        <w:t xml:space="preserve">“labour”</w:t>
      </w:r>
      <w:r>
        <w:t xml:space="preserve"> </w:t>
      </w:r>
      <w:r>
        <w:t xml:space="preserve">received less attention until Robert Solow’s seminal work into economic growth</w:t>
      </w:r>
      <w:r>
        <w:rPr>
          <w:rStyle w:val="FootnoteReference"/>
        </w:rPr>
        <w:footnoteReference w:id="32"/>
      </w:r>
      <w:r>
        <w:t xml:space="preserve"> </w:t>
      </w:r>
      <w:r>
        <w:t xml:space="preserve">- how countries economically grow.</w:t>
      </w:r>
    </w:p>
    <w:p>
      <w:pPr>
        <w:pStyle w:val="BodyText"/>
      </w:pPr>
      <w:r>
        <w:t xml:space="preserve">Understanding the nature of economic growth, and how growth generates development and welfare improvements is relates to the</w:t>
      </w:r>
      <w:r>
        <w:t xml:space="preserve"> </w:t>
      </w:r>
      <w:r>
        <w:rPr>
          <w:i/>
          <w:iCs/>
        </w:rPr>
        <w:t xml:space="preserve">quality</w:t>
      </w:r>
      <w:r>
        <w:t xml:space="preserve"> </w:t>
      </w:r>
      <w:r>
        <w:t xml:space="preserve">of the capital and labour services generated by the capital and labour stocks. The size of the</w:t>
      </w:r>
      <w:r>
        <w:t xml:space="preserve"> </w:t>
      </w:r>
      <w:r>
        <w:t xml:space="preserve">“flow”</w:t>
      </w:r>
      <w:r>
        <w:t xml:space="preserve"> </w:t>
      </w:r>
      <w:r>
        <w:t xml:space="preserve">measures captured in the National Accounts, directly reflected the quality of the labour and capital services derived from the stocks. High technology in both capital and labour generated the</w:t>
      </w:r>
    </w:p>
    <w:p>
      <w:pPr>
        <w:pStyle w:val="BodyText"/>
      </w:pPr>
      <w:r>
        <w:t xml:space="preserve">Measuring the</w:t>
      </w:r>
      <w:r>
        <w:t xml:space="preserve"> </w:t>
      </w:r>
      <w:r>
        <w:t xml:space="preserve">“net capital stock”</w:t>
      </w:r>
      <w:r>
        <w:t xml:space="preserve">, the physical quantity of productive capital available for production only become an explicit component of National Accounting in 1993.</w:t>
      </w:r>
      <w:r>
        <w:rPr>
          <w:rStyle w:val="FootnoteReference"/>
        </w:rPr>
        <w:footnoteReference w:id="35"/>
      </w:r>
    </w:p>
    <w:p>
      <w:pPr>
        <w:pStyle w:val="BodyText"/>
      </w:pPr>
      <w:r>
        <w:t xml:space="preserve">. It wasn’t until 1993</w:t>
      </w:r>
    </w:p>
    <w:p>
      <w:pPr>
        <w:pStyle w:val="BodyText"/>
      </w:pPr>
      <w:r>
        <w:t xml:space="preserve">The concept of a productive</w:t>
      </w:r>
      <w:r>
        <w:t xml:space="preserve"> </w:t>
      </w:r>
      <w:r>
        <w:t xml:space="preserve">“capital stock”</w:t>
      </w:r>
      <w:r>
        <w:t xml:space="preserve"> </w:t>
      </w:r>
      <w:r>
        <w:t xml:space="preserve">to estimate</w:t>
      </w:r>
      <w:r>
        <w:t xml:space="preserve"> </w:t>
      </w:r>
      <w:r>
        <w:t xml:space="preserve">“capital services”</w:t>
      </w:r>
      <w:r>
        <w:t xml:space="preserve"> </w:t>
      </w:r>
      <w:r>
        <w:t xml:space="preserve">used in the economic production process, only formally entered the SNA in 1993.</w:t>
      </w:r>
    </w:p>
    <w:p>
      <w:pPr>
        <w:pStyle w:val="BodyText"/>
      </w:pPr>
      <w:r>
        <w:t xml:space="preserve">Prior to 1993, capital inputs into production were either entire consumed in the production process (intermediate consumption), or were the</w:t>
      </w:r>
      <w:r>
        <w:t xml:space="preserve"> </w:t>
      </w:r>
      <w:r>
        <w:rPr>
          <w:i/>
          <w:iCs/>
        </w:rPr>
        <w:t xml:space="preserve">change in value</w:t>
      </w:r>
      <w:r>
        <w:t xml:space="preserve"> </w:t>
      </w:r>
      <w:r>
        <w:t xml:space="preserve">a measure of the</w:t>
      </w:r>
      <w:r>
        <w:t xml:space="preserve"> </w:t>
      </w:r>
      <w:r>
        <w:t xml:space="preserve">“consumption of fixed capital”</w:t>
      </w:r>
      <w:r>
        <w:t xml:space="preserve"> </w:t>
      </w:r>
      <w:r>
        <w:t xml:space="preserve">during production. Environmental assets were recognised but only as balance sheet items if property rights were established, and not as inputs into the production process.</w:t>
      </w:r>
    </w:p>
    <w:p>
      <w:pPr>
        <w:pStyle w:val="BodyText"/>
      </w:pPr>
      <w:r>
        <w:t xml:space="preserve">Since then, the metrics have expanded to fit different user needs.</w:t>
      </w:r>
    </w:p>
    <w:p>
      <w:pPr>
        <w:pStyle w:val="BodyText"/>
      </w:pPr>
      <w:r>
        <w:t xml:space="preserve">costs of maintaining intact the stock of fixed assets used in production</w:t>
      </w:r>
    </w:p>
    <w:p>
      <w:pPr>
        <w:pStyle w:val="BodyText"/>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p>
    <w:p>
      <w:pPr>
        <w:pStyle w:val="BodyText"/>
      </w:pP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End w:id="37"/>
    <w:bookmarkStart w:id="38" w:name="Xe1590464b2ecdd13dc6c4c210864dab590fcd4e"/>
    <w:p>
      <w:pPr>
        <w:pStyle w:val="Heading2"/>
      </w:pPr>
      <w:r>
        <w:rPr>
          <w:rStyle w:val="SectionNumber"/>
        </w:rPr>
        <w:t xml:space="preserve">1.3</w:t>
      </w:r>
      <w:r>
        <w:tab/>
      </w:r>
      <w:r>
        <w:t xml:space="preserve">Climate change destroys land-based capital</w:t>
      </w:r>
    </w:p>
    <w:bookmarkEnd w:id="38"/>
    <w:bookmarkStart w:id="39" w:name="Xecc9dabe100942a0242dd54246b3d645f5ab0ce"/>
    <w:p>
      <w:pPr>
        <w:pStyle w:val="Heading2"/>
      </w:pPr>
      <w:r>
        <w:rPr>
          <w:rStyle w:val="SectionNumber"/>
        </w:rPr>
        <w:t xml:space="preserve">1.4</w:t>
      </w:r>
      <w:r>
        <w:tab/>
      </w: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39"/>
    <w:bookmarkStart w:id="41" w:name="X196c7e912f92ec48f68ecad0cb414bbb9e43de2"/>
    <w:p>
      <w:pPr>
        <w:pStyle w:val="Heading2"/>
      </w:pPr>
      <w:r>
        <w:rPr>
          <w:rStyle w:val="SectionNumber"/>
        </w:rPr>
        <w:t xml:space="preserve">1.5</w:t>
      </w:r>
      <w:r>
        <w:tab/>
      </w: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$US0 million per year over the last 10 years from fishing license fees of tuna alone,</w:t>
      </w:r>
    </w:p>
    <w:p>
      <w:pPr>
        <w:pStyle w:val="TableCaption"/>
      </w:pPr>
      <w:bookmarkStart w:id="40" w:name="tab:LicenseRevenues"/>
      <w:bookmarkEnd w:id="40"/>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700"/>
        <w:gridCol w:w="540"/>
        <w:gridCol w:w="540"/>
        <w:gridCol w:w="540"/>
        <w:gridCol w:w="540"/>
        <w:gridCol w:w="540"/>
        <w:gridCol w:w="540"/>
        <w:gridCol w:w="450"/>
        <w:gridCol w:w="540"/>
        <w:gridCol w:w="540"/>
        <w:gridCol w:w="450"/>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Total Fishing License Revenue</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41"/>
    <w:bookmarkStart w:id="44" w:name="markets-in-biodiversity"/>
    <w:p>
      <w:pPr>
        <w:pStyle w:val="Heading2"/>
      </w:pPr>
      <w:r>
        <w:rPr>
          <w:rStyle w:val="SectionNumber"/>
        </w:rPr>
        <w:t xml:space="preserve">1.6</w:t>
      </w:r>
      <w:r>
        <w:tab/>
      </w: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42"/>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43">
        <w:r>
          <w:rPr>
            <w:rStyle w:val="Hyperlink"/>
          </w:rPr>
          <w:t xml:space="preserve">Villasenor-Derbez, Costello, and Plantinga, 2024</w:t>
        </w:r>
      </w:hyperlink>
      <w:r>
        <w:t xml:space="preserve">)</w:t>
      </w:r>
    </w:p>
    <w:bookmarkEnd w:id="44"/>
    <w:bookmarkEnd w:id="45"/>
    <w:bookmarkStart w:id="46" w:name="Xde7358b3e9909c8fc5810b1621c6b3c7731b540"/>
    <w:p>
      <w:pPr>
        <w:pStyle w:val="Heading1"/>
      </w:pPr>
      <w:r>
        <w:rPr>
          <w:rStyle w:val="SectionNumber"/>
        </w:rPr>
        <w:t xml:space="preserve">2</w:t>
      </w:r>
      <w:r>
        <w:tab/>
      </w:r>
      <w:r>
        <w:t xml:space="preserve">Ocean Accounts are numerically SEEA-CF and spatially SEEA-EA</w:t>
      </w:r>
    </w:p>
    <w:bookmarkEnd w:id="46"/>
    <w:bookmarkStart w:id="47" w:name="system-of-national-accounts-fundamentals"/>
    <w:p>
      <w:pPr>
        <w:pStyle w:val="Heading1"/>
      </w:pPr>
      <w:r>
        <w:rPr>
          <w:rStyle w:val="SectionNumber"/>
        </w:rPr>
        <w:t xml:space="preserve">3</w:t>
      </w:r>
      <w:r>
        <w:tab/>
      </w:r>
      <w:r>
        <w:t xml:space="preserve">System of National Accounts fundamentals</w:t>
      </w:r>
    </w:p>
    <w:bookmarkEnd w:id="47"/>
    <w:bookmarkStart w:id="57" w:name="X68c90b57aa3093575a5a1875ca7a0c1b5d2c619"/>
    <w:p>
      <w:pPr>
        <w:pStyle w:val="Heading1"/>
      </w:pPr>
      <w:r>
        <w:rPr>
          <w:rStyle w:val="SectionNumber"/>
        </w:rPr>
        <w:t xml:space="preserve">4</w:t>
      </w:r>
      <w:r>
        <w:tab/>
      </w: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2"/>
        </w:numPr>
      </w:pPr>
      <w:r>
        <w:t xml:space="preserve">the physical flows of materials and energy within the economy and between the economy and the environment;</w:t>
      </w:r>
    </w:p>
    <w:p>
      <w:pPr>
        <w:numPr>
          <w:ilvl w:val="0"/>
          <w:numId w:val="1002"/>
        </w:numPr>
      </w:pPr>
      <w:r>
        <w:t xml:space="preserve">the stocks of environmental assets and changes in these stocks; and</w:t>
      </w:r>
    </w:p>
    <w:p>
      <w:pPr>
        <w:numPr>
          <w:ilvl w:val="0"/>
          <w:numId w:val="1002"/>
        </w:numPr>
      </w:pPr>
      <w:r>
        <w:t xml:space="preserve">economic activity and transactions related to the environment.</w:t>
      </w:r>
    </w:p>
    <w:bookmarkStart w:id="52" w:name="economy-and-environment-dependency"/>
    <w:p>
      <w:pPr>
        <w:pStyle w:val="Heading2"/>
      </w:pPr>
      <w:r>
        <w:rPr>
          <w:rStyle w:val="SectionNumber"/>
        </w:rPr>
        <w:t xml:space="preserve">4.1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“stocks”</w:t>
      </w:r>
      <w:r>
        <w:t xml:space="preserve"> </w:t>
      </w:r>
      <w:r>
        <w:t xml:space="preserve">and</w:t>
      </w:r>
      <w:r>
        <w:t xml:space="preserve"> </w:t>
      </w:r>
      <w:r>
        <w:t xml:space="preserve">“flows”</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3"/>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3"/>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2: Physical flows of natural inputs, products and residuals" title="" id="49" name="Picture"/>
            <a:graphic>
              <a:graphicData uri="http://schemas.openxmlformats.org/drawingml/2006/picture">
                <pic:pic>
                  <pic:nvPicPr>
                    <pic:cNvPr descr="Graphical_Output/Physical%20flows%20of%20natural%20inputs,%20products%20and%20residuals.png" id="50" name="Picture"/>
                    <pic:cNvPicPr>
                      <a:picLocks noChangeArrowheads="1" noChangeAspect="1"/>
                    </pic:cNvPicPr>
                  </pic:nvPicPr>
                  <pic:blipFill>
                    <a:blip r:embed="rId48"/>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51" w:name="fig:unnamed-chunk-2"/>
      <w:bookmarkEnd w:id="51"/>
      <w:r>
        <w:t xml:space="preserve">Figure 2: Physical flows of natural inputs, products and residuals</w:t>
      </w:r>
    </w:p>
    <w:bookmarkEnd w:id="52"/>
    <w:bookmarkStart w:id="56" w:name="X64596ffeb4361bde35d006e46387200267cfe41"/>
    <w:p>
      <w:pPr>
        <w:pStyle w:val="Heading2"/>
      </w:pPr>
      <w:r>
        <w:rPr>
          <w:rStyle w:val="SectionNumber"/>
        </w:rPr>
        <w:t xml:space="preserve">4.2</w:t>
      </w:r>
      <w:r>
        <w:tab/>
      </w:r>
      <w:r>
        <w:t xml:space="preserve">Environmental assets and ecosystem services: Terminology</w:t>
      </w:r>
    </w:p>
    <w:p>
      <w:pPr>
        <w:numPr>
          <w:ilvl w:val="0"/>
          <w:numId w:val="1004"/>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53"/>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4"/>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4"/>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55"/>
      </w:r>
      <w:r>
        <w:t xml:space="preserve"> </w:t>
      </w:r>
      <w:r>
        <w:t xml:space="preserve">Ecosystems make three types of contributions to economic and other human activity:</w:t>
      </w:r>
    </w:p>
    <w:p>
      <w:pPr>
        <w:numPr>
          <w:ilvl w:val="1"/>
          <w:numId w:val="1005"/>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5"/>
        </w:numPr>
      </w:pPr>
      <w:r>
        <w:rPr>
          <w:i/>
          <w:iCs/>
        </w:rPr>
        <w:t xml:space="preserve">Regulating services</w:t>
      </w:r>
      <w:r>
        <w:t xml:space="preserve"> </w:t>
      </w:r>
      <w:r>
        <w:t xml:space="preserve">(provided, for example, by forests when they act as a sink for carbon); and</w:t>
      </w:r>
    </w:p>
    <w:p>
      <w:pPr>
        <w:numPr>
          <w:ilvl w:val="1"/>
          <w:numId w:val="1005"/>
        </w:numPr>
      </w:pPr>
      <w:r>
        <w:rPr>
          <w:i/>
          <w:iCs/>
        </w:rPr>
        <w:t xml:space="preserve">Cultural services</w:t>
      </w:r>
      <w:r>
        <w:t xml:space="preserve"> </w:t>
      </w:r>
      <w:r>
        <w:t xml:space="preserve">(such as the enjoyment provided to visitors to a national park).</w:t>
      </w:r>
    </w:p>
    <w:p>
      <w:pPr>
        <w:numPr>
          <w:ilvl w:val="0"/>
          <w:numId w:val="1004"/>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6"/>
        </w:numPr>
      </w:pPr>
      <w:r>
        <w:t xml:space="preserve">Natural resource inputs, such as mineral and energy resources or timber resources,</w:t>
      </w:r>
    </w:p>
    <w:p>
      <w:pPr>
        <w:numPr>
          <w:ilvl w:val="1"/>
          <w:numId w:val="1006"/>
        </w:numPr>
      </w:pPr>
      <w:r>
        <w:t xml:space="preserve">Inputs from renewable energy sources, such as solar energy captured by economic units, or</w:t>
      </w:r>
    </w:p>
    <w:p>
      <w:pPr>
        <w:numPr>
          <w:ilvl w:val="1"/>
          <w:numId w:val="1006"/>
        </w:numPr>
      </w:pPr>
      <w:r>
        <w:t xml:space="preserve">Other natural inputs such as inputs from soil (e.g., soil nutrients) and inputs from air (e.g., oxygen absorbed in combustion processes).</w:t>
      </w:r>
    </w:p>
    <w:p>
      <w:pPr>
        <w:numPr>
          <w:ilvl w:val="0"/>
          <w:numId w:val="1004"/>
        </w:numPr>
      </w:pPr>
      <w:r>
        <w:rPr>
          <w:i/>
          <w:iCs/>
        </w:rPr>
        <w:t xml:space="preserve">Products</w:t>
      </w:r>
      <w:r>
        <w:t xml:space="preserve"> </w:t>
      </w:r>
      <w:r>
        <w:t xml:space="preserve">are goods and services that result from a process of production in the economy.</w:t>
      </w:r>
    </w:p>
    <w:p>
      <w:pPr>
        <w:numPr>
          <w:ilvl w:val="0"/>
          <w:numId w:val="1004"/>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56"/>
    <w:bookmarkEnd w:id="57"/>
    <w:bookmarkStart w:id="72"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7"/>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58"/>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3: Physical Supply and Use Table" title="" id="60" name="Picture"/>
            <a:graphic>
              <a:graphicData uri="http://schemas.openxmlformats.org/drawingml/2006/picture">
                <pic:pic>
                  <pic:nvPicPr>
                    <pic:cNvPr descr="Graphical_Output/Physical_SUT.png" id="61" name="Picture"/>
                    <pic:cNvPicPr>
                      <a:picLocks noChangeArrowheads="1" noChangeAspect="1"/>
                    </pic:cNvPicPr>
                  </pic:nvPicPr>
                  <pic:blipFill>
                    <a:blip r:embed="rId59"/>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62" w:name="fig:unnamed-chunk-3"/>
      <w:bookmarkEnd w:id="62"/>
      <w:r>
        <w:t xml:space="preserve">Figure 3: Physical Supply and Use Table</w:t>
      </w:r>
    </w:p>
    <w:p>
      <w:pPr>
        <w:numPr>
          <w:ilvl w:val="0"/>
          <w:numId w:val="1008"/>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4: Connections between supply and use tables and asset accounts" title="" id="64" name="Picture"/>
            <a:graphic>
              <a:graphicData uri="http://schemas.openxmlformats.org/drawingml/2006/picture">
                <pic:pic>
                  <pic:nvPicPr>
                    <pic:cNvPr descr="Graphical_Output/PSUT_and_Asset_Accounts.png" id="65" name="Picture"/>
                    <pic:cNvPicPr>
                      <a:picLocks noChangeArrowheads="1" noChangeAspect="1"/>
                    </pic:cNvPicPr>
                  </pic:nvPicPr>
                  <pic:blipFill>
                    <a:blip r:embed="rId63"/>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66" w:name="fig:unnamed-chunk-4"/>
      <w:bookmarkEnd w:id="66"/>
      <w:r>
        <w:t xml:space="preserve">Figure 4: Connections between supply and use tables and asset accounts</w:t>
      </w:r>
    </w:p>
    <w:p>
      <w:pPr>
        <w:numPr>
          <w:ilvl w:val="0"/>
          <w:numId w:val="1009"/>
        </w:numPr>
      </w:pPr>
      <w:r>
        <w:t xml:space="preserve">A sequence of economic accounts highlighting depletion-adjusted economic aggregates; and</w:t>
      </w:r>
    </w:p>
    <w:p>
      <w:pPr>
        <w:numPr>
          <w:ilvl w:val="0"/>
          <w:numId w:val="1009"/>
        </w:numPr>
      </w:pPr>
      <w:r>
        <w:t xml:space="preserve">Functional accounts recording transactions and other information about economic activities undertaken for environmental purposes.</w:t>
      </w:r>
    </w:p>
    <w:bookmarkStart w:id="71" w:name="other-technical-bits"/>
    <w:p>
      <w:pPr>
        <w:pStyle w:val="Heading2"/>
      </w:pPr>
      <w:r>
        <w:rPr>
          <w:rStyle w:val="SectionNumber"/>
        </w:rPr>
        <w:t xml:space="preserve">4.3</w:t>
      </w:r>
      <w:r>
        <w:tab/>
      </w:r>
      <w:r>
        <w:t xml:space="preserve">Other technical bits</w:t>
      </w:r>
    </w:p>
    <w:bookmarkStart w:id="67" w:name="Xbb2c4b96dea24fa4f80815829416eba5ddaba18"/>
    <w:p>
      <w:pPr>
        <w:pStyle w:val="Heading3"/>
      </w:pPr>
      <w:r>
        <w:rPr>
          <w:rStyle w:val="SectionNumber"/>
        </w:rPr>
        <w:t xml:space="preserve">4.3.1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67"/>
    <w:bookmarkStart w:id="68" w:name="Xf2cdd3791669a4d97801d7fdb11291fc551e133"/>
    <w:p>
      <w:pPr>
        <w:pStyle w:val="Heading3"/>
      </w:pPr>
      <w:r>
        <w:rPr>
          <w:rStyle w:val="SectionNumber"/>
        </w:rPr>
        <w:t xml:space="preserve">4.3.2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68"/>
    <w:bookmarkStart w:id="69" w:name="Xba7bea4e64f02992df7bde36d92f21dd90169a9"/>
    <w:p>
      <w:pPr>
        <w:pStyle w:val="Heading3"/>
      </w:pPr>
      <w:r>
        <w:rPr>
          <w:rStyle w:val="SectionNumber"/>
        </w:rPr>
        <w:t xml:space="preserve">4.3.3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69"/>
    <w:bookmarkStart w:id="70" w:name="X15249a7bfc0eff46260a4bf04d5017d7457388c"/>
    <w:p>
      <w:pPr>
        <w:pStyle w:val="Heading3"/>
      </w:pPr>
      <w:r>
        <w:rPr>
          <w:rStyle w:val="SectionNumber"/>
        </w:rPr>
        <w:t xml:space="preserve">4.3.4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0"/>
        </w:numPr>
      </w:pPr>
      <w:r>
        <w:t xml:space="preserve">Units intending to operate in a country for less than a year, for example, specialized construction firms or aid and relief agencies. These are considered residents of their home country;</w:t>
      </w:r>
    </w:p>
    <w:p>
      <w:pPr>
        <w:numPr>
          <w:ilvl w:val="0"/>
          <w:numId w:val="1010"/>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0"/>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70"/>
    <w:bookmarkEnd w:id="71"/>
    <w:bookmarkEnd w:id="72"/>
    <w:bookmarkStart w:id="80" w:name="physical-flow-metrics"/>
    <w:p>
      <w:pPr>
        <w:pStyle w:val="Heading1"/>
      </w:pPr>
      <w:r>
        <w:rPr>
          <w:rStyle w:val="SectionNumber"/>
        </w:rPr>
        <w:t xml:space="preserve">5</w:t>
      </w:r>
      <w:r>
        <w:tab/>
      </w:r>
      <w:r>
        <w:t xml:space="preserve">Physical flow metrics</w:t>
      </w:r>
    </w:p>
    <w:p>
      <w:pPr>
        <w:pStyle w:val="FirstParagraph"/>
      </w:pPr>
      <w:r>
        <w:t xml:space="preserve">Related to the three metrics of energy, water and product. I’m just focusing on the ocean related dimensions.</w:t>
      </w:r>
    </w:p>
    <w:bookmarkStart w:id="77" w:name="physical-flow-accounts-for-energy"/>
    <w:p>
      <w:pPr>
        <w:pStyle w:val="Heading2"/>
      </w:pPr>
      <w:r>
        <w:t xml:space="preserve">Physical flow accounts for energy</w:t>
      </w:r>
    </w:p>
    <w:bookmarkStart w:id="73" w:name="Xebb460e92213afb186c8ff8d50a40711354bcfd"/>
    <w:p>
      <w:pPr>
        <w:pStyle w:val="Heading3"/>
      </w:pPr>
      <w:r>
        <w:rPr>
          <w:rStyle w:val="SectionNumber"/>
        </w:rPr>
        <w:t xml:space="preserve">5.0.1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1"/>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1"/>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73"/>
    <w:bookmarkStart w:id="74" w:name="tourist-activity"/>
    <w:p>
      <w:pPr>
        <w:pStyle w:val="Heading3"/>
      </w:pPr>
      <w:r>
        <w:rPr>
          <w:rStyle w:val="SectionNumber"/>
        </w:rPr>
        <w:t xml:space="preserve">5.0.2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74"/>
    <w:bookmarkStart w:id="75" w:name="illegal-harvesting"/>
    <w:p>
      <w:pPr>
        <w:pStyle w:val="Heading3"/>
      </w:pPr>
      <w:r>
        <w:rPr>
          <w:rStyle w:val="SectionNumber"/>
        </w:rPr>
        <w:t xml:space="preserve">5.0.3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75"/>
    <w:bookmarkStart w:id="76" w:name="X6604d7e576535eae4018b1c6bb60377755daba9"/>
    <w:p>
      <w:pPr>
        <w:pStyle w:val="Heading3"/>
      </w:pPr>
      <w:r>
        <w:rPr>
          <w:rStyle w:val="SectionNumber"/>
        </w:rPr>
        <w:t xml:space="preserve">5.0.4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2"/>
        </w:numPr>
      </w:pPr>
      <w:r>
        <w:t xml:space="preserve">returned to the original country,</w:t>
      </w:r>
    </w:p>
    <w:p>
      <w:pPr>
        <w:numPr>
          <w:ilvl w:val="0"/>
          <w:numId w:val="1012"/>
        </w:numPr>
      </w:pPr>
      <w:r>
        <w:t xml:space="preserve">sold in the processing country or</w:t>
      </w:r>
    </w:p>
    <w:p>
      <w:pPr>
        <w:numPr>
          <w:ilvl w:val="0"/>
          <w:numId w:val="1012"/>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76"/>
    <w:bookmarkEnd w:id="77"/>
    <w:bookmarkStart w:id="78"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3"/>
        </w:numPr>
      </w:pPr>
      <w:r>
        <w:t xml:space="preserve">abstraction of water from the environment;</w:t>
      </w:r>
    </w:p>
    <w:p>
      <w:pPr>
        <w:numPr>
          <w:ilvl w:val="0"/>
          <w:numId w:val="1013"/>
        </w:numPr>
      </w:pPr>
      <w:r>
        <w:t xml:space="preserve">distribution and use of abstracted water across enterprises and households;</w:t>
      </w:r>
    </w:p>
    <w:p>
      <w:pPr>
        <w:numPr>
          <w:ilvl w:val="0"/>
          <w:numId w:val="1013"/>
        </w:numPr>
      </w:pPr>
      <w:r>
        <w:t xml:space="preserve">flows of wastewater and reused water (between households and enterprises);</w:t>
      </w:r>
    </w:p>
    <w:p>
      <w:pPr>
        <w:numPr>
          <w:ilvl w:val="0"/>
          <w:numId w:val="1013"/>
        </w:numPr>
      </w:pPr>
      <w:r>
        <w:t xml:space="preserve">return flows of water to the environment; and</w:t>
      </w:r>
    </w:p>
    <w:p>
      <w:pPr>
        <w:numPr>
          <w:ilvl w:val="0"/>
          <w:numId w:val="1013"/>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4"/>
        </w:numPr>
      </w:pPr>
      <w:r>
        <w:t xml:space="preserve">ISIC divisions 01-03: Agriculture, forestry and fishing (it may be relevant to distinguish among the uses of water by these different industries)</w:t>
      </w:r>
    </w:p>
    <w:p>
      <w:pPr>
        <w:numPr>
          <w:ilvl w:val="0"/>
          <w:numId w:val="1014"/>
        </w:numPr>
      </w:pPr>
      <w:r>
        <w:t xml:space="preserve">ISIC divisions 05-33 and 41: Mining and quarrying; manufacturing; and construction, respectively</w:t>
      </w:r>
    </w:p>
    <w:p>
      <w:pPr>
        <w:numPr>
          <w:ilvl w:val="0"/>
          <w:numId w:val="1014"/>
        </w:numPr>
      </w:pPr>
      <w:r>
        <w:t xml:space="preserve">ISIC division 35: Electricity, gas, steam and air conditioning supply</w:t>
      </w:r>
    </w:p>
    <w:p>
      <w:pPr>
        <w:numPr>
          <w:ilvl w:val="0"/>
          <w:numId w:val="1014"/>
        </w:numPr>
      </w:pPr>
      <w:r>
        <w:t xml:space="preserve">ISIC division 36: Water collection, treatment and supply; sewerage, waste management and remediation activities</w:t>
      </w:r>
    </w:p>
    <w:p>
      <w:pPr>
        <w:numPr>
          <w:ilvl w:val="0"/>
          <w:numId w:val="1014"/>
        </w:numPr>
      </w:pPr>
      <w:r>
        <w:t xml:space="preserve">ISIC division 37: Sewerage</w:t>
      </w:r>
    </w:p>
    <w:p>
      <w:pPr>
        <w:numPr>
          <w:ilvl w:val="0"/>
          <w:numId w:val="1014"/>
        </w:numPr>
      </w:pPr>
      <w:r>
        <w:t xml:space="preserve">ISIC divisions: 38, 39 and 45-99: Other industries</w:t>
      </w:r>
    </w:p>
    <w:bookmarkEnd w:id="78"/>
    <w:bookmarkStart w:id="79"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5"/>
        </w:numPr>
      </w:pPr>
      <w:r>
        <w:t xml:space="preserve">product flow accounting,</w:t>
      </w:r>
    </w:p>
    <w:p>
      <w:pPr>
        <w:numPr>
          <w:ilvl w:val="0"/>
          <w:numId w:val="1015"/>
        </w:numPr>
      </w:pPr>
      <w:r>
        <w:t xml:space="preserve">accounting for air emissions,</w:t>
      </w:r>
    </w:p>
    <w:p>
      <w:pPr>
        <w:numPr>
          <w:ilvl w:val="0"/>
          <w:numId w:val="1015"/>
        </w:numPr>
      </w:pPr>
      <w:r>
        <w:t xml:space="preserve">accounting for emissions to water and associated releases to economic units,</w:t>
      </w:r>
    </w:p>
    <w:p>
      <w:pPr>
        <w:numPr>
          <w:ilvl w:val="0"/>
          <w:numId w:val="1015"/>
        </w:numPr>
      </w:pPr>
      <w:r>
        <w:t xml:space="preserve">accounting for solid waste and</w:t>
      </w:r>
    </w:p>
    <w:p>
      <w:pPr>
        <w:numPr>
          <w:ilvl w:val="0"/>
          <w:numId w:val="1015"/>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79"/>
    <w:bookmarkEnd w:id="80"/>
    <w:bookmarkStart w:id="88"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86"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6"/>
        </w:numPr>
      </w:pPr>
      <w:r>
        <w:t xml:space="preserve">The prevention, reduction or treatment of waste and wastewater;</w:t>
      </w:r>
    </w:p>
    <w:p>
      <w:pPr>
        <w:numPr>
          <w:ilvl w:val="0"/>
          <w:numId w:val="1016"/>
        </w:numPr>
      </w:pPr>
      <w:r>
        <w:t xml:space="preserve">The prevention, reduction or elimination of air emissions;</w:t>
      </w:r>
    </w:p>
    <w:p>
      <w:pPr>
        <w:numPr>
          <w:ilvl w:val="0"/>
          <w:numId w:val="1016"/>
        </w:numPr>
      </w:pPr>
      <w:r>
        <w:t xml:space="preserve">The treatment and disposal of contaminated soil and groundwater;</w:t>
      </w:r>
    </w:p>
    <w:p>
      <w:pPr>
        <w:numPr>
          <w:ilvl w:val="0"/>
          <w:numId w:val="1016"/>
        </w:numPr>
      </w:pPr>
      <w:r>
        <w:t xml:space="preserve">The prevention or reduction of noise and vibration levels;</w:t>
      </w:r>
    </w:p>
    <w:p>
      <w:pPr>
        <w:numPr>
          <w:ilvl w:val="0"/>
          <w:numId w:val="1016"/>
        </w:numPr>
      </w:pPr>
      <w:r>
        <w:t xml:space="preserve">The protection of biodiversity and landscapes, including of their ecological functions;</w:t>
      </w:r>
    </w:p>
    <w:p>
      <w:pPr>
        <w:numPr>
          <w:ilvl w:val="0"/>
          <w:numId w:val="1016"/>
        </w:numPr>
      </w:pPr>
      <w:r>
        <w:t xml:space="preserve">Monitoring of the quality of the natural environment (air, water, soil and groundwater);</w:t>
      </w:r>
    </w:p>
    <w:p>
      <w:pPr>
        <w:numPr>
          <w:ilvl w:val="0"/>
          <w:numId w:val="1016"/>
        </w:numPr>
      </w:pPr>
      <w:r>
        <w:t xml:space="preserve">Research and development on environmental protection; and</w:t>
      </w:r>
    </w:p>
    <w:p>
      <w:pPr>
        <w:numPr>
          <w:ilvl w:val="0"/>
          <w:numId w:val="1016"/>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85" w:name="Xa03c15cce38eecbf40a7051de1f41061780082f"/>
    <w:p>
      <w:pPr>
        <w:pStyle w:val="Heading4"/>
      </w:pPr>
      <w:r>
        <w:rPr>
          <w:rStyle w:val="SectionNumber"/>
        </w:rPr>
        <w:t xml:space="preserve">5.0.4.1</w:t>
      </w:r>
      <w:r>
        <w:tab/>
      </w:r>
      <w:r>
        <w:t xml:space="preserve">Classification of environmental activities</w:t>
      </w:r>
    </w:p>
    <w:p>
      <w:pPr>
        <w:pStyle w:val="CaptionedFigure"/>
      </w:pPr>
      <w:r>
        <w:drawing>
          <wp:inline>
            <wp:extent cx="5270500" cy="3395758"/>
            <wp:effectExtent b="0" l="0" r="0" t="0"/>
            <wp:docPr descr="Figure 5: Classification of Environmental Activities: overview of groups and classes" title="" id="82" name="Picture"/>
            <a:graphic>
              <a:graphicData uri="http://schemas.openxmlformats.org/drawingml/2006/picture">
                <pic:pic>
                  <pic:nvPicPr>
                    <pic:cNvPr descr="Graphical_Output/ClassificationEnvironmentActivities.png" id="83" name="Picture"/>
                    <pic:cNvPicPr>
                      <a:picLocks noChangeArrowheads="1" noChangeAspect="1"/>
                    </pic:cNvPicPr>
                  </pic:nvPicPr>
                  <pic:blipFill>
                    <a:blip r:embed="rId81"/>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84" w:name="fig:unnamed-chunk-5"/>
      <w:bookmarkEnd w:id="84"/>
      <w:r>
        <w:t xml:space="preserve">Figure 5: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85"/>
    <w:bookmarkEnd w:id="86"/>
    <w:bookmarkStart w:id="87"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87"/>
    <w:bookmarkEnd w:id="88"/>
    <w:bookmarkStart w:id="101"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6: Classification of environmental assets in the SEEA Central Framework" title="" id="90" name="Picture"/>
            <a:graphic>
              <a:graphicData uri="http://schemas.openxmlformats.org/drawingml/2006/picture">
                <pic:pic>
                  <pic:nvPicPr>
                    <pic:cNvPr descr="Graphical_Output/ClassificationofEnvironmentalAssets.png" id="91" name="Picture"/>
                    <pic:cNvPicPr>
                      <a:picLocks noChangeArrowheads="1" noChangeAspect="1"/>
                    </pic:cNvPicPr>
                  </pic:nvPicPr>
                  <pic:blipFill>
                    <a:blip r:embed="rId89"/>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92" w:name="fig:unnamed-chunk-6"/>
      <w:bookmarkEnd w:id="92"/>
      <w:r>
        <w:t xml:space="preserve">Figure 6: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7: General structure of the physical asset account for environmental assets (physical units)" title="" id="94" name="Picture"/>
            <a:graphic>
              <a:graphicData uri="http://schemas.openxmlformats.org/drawingml/2006/picture">
                <pic:pic>
                  <pic:nvPicPr>
                    <pic:cNvPr descr="Graphical_Output/Structure%20of%20physical%20assets%20accounts.png" id="95" name="Picture"/>
                    <pic:cNvPicPr>
                      <a:picLocks noChangeArrowheads="1" noChangeAspect="1"/>
                    </pic:cNvPicPr>
                  </pic:nvPicPr>
                  <pic:blipFill>
                    <a:blip r:embed="rId93"/>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96" w:name="fig:unnamed-chunk-7"/>
      <w:bookmarkEnd w:id="96"/>
      <w:r>
        <w:t xml:space="preserve">Figure 7: General structure of the physical asset account for environmental assets (physical units)</w:t>
      </w:r>
    </w:p>
    <w:bookmarkStart w:id="97"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97"/>
    <w:bookmarkStart w:id="98"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98"/>
    <w:bookmarkStart w:id="99"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99"/>
    <w:bookmarkStart w:id="100"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7"/>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7"/>
        </w:numPr>
      </w:pPr>
      <w:r>
        <w:t xml:space="preserve">Estimate resource rent as GOS less specific subsidies plus specific taxes less user cost of produced assets;</w:t>
      </w:r>
    </w:p>
    <w:p>
      <w:pPr>
        <w:numPr>
          <w:ilvl w:val="0"/>
          <w:numId w:val="1017"/>
        </w:numPr>
      </w:pPr>
      <w:r>
        <w:t xml:space="preserve">Estimate the asset life based on physical assessment of the stock and projected rates of extraction and growth;</w:t>
      </w:r>
    </w:p>
    <w:p>
      <w:pPr>
        <w:numPr>
          <w:ilvl w:val="0"/>
          <w:numId w:val="1017"/>
        </w:numPr>
      </w:pPr>
      <w:r>
        <w:t xml:space="preserve">Project the estimate of resource rent over the life of the asset, taking into account any expected changes in extraction pattern;</w:t>
      </w:r>
    </w:p>
    <w:p>
      <w:pPr>
        <w:numPr>
          <w:ilvl w:val="0"/>
          <w:numId w:val="1017"/>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100"/>
    <w:bookmarkEnd w:id="101"/>
    <w:bookmarkStart w:id="102"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8"/>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8"/>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8"/>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102"/>
    <w:bookmarkStart w:id="114"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8: Land use classification" title="" id="104" name="Picture"/>
            <a:graphic>
              <a:graphicData uri="http://schemas.openxmlformats.org/drawingml/2006/picture">
                <pic:pic>
                  <pic:nvPicPr>
                    <pic:cNvPr descr="Graphical_Output/LandUse.png" id="105" name="Picture"/>
                    <pic:cNvPicPr>
                      <a:picLocks noChangeArrowheads="1" noChangeAspect="1"/>
                    </pic:cNvPicPr>
                  </pic:nvPicPr>
                  <pic:blipFill>
                    <a:blip r:embed="rId103"/>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106" w:name="fig:unnamed-chunk-8"/>
      <w:bookmarkEnd w:id="106"/>
      <w:r>
        <w:t xml:space="preserve">Figure 8: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9: Land cover classification" title="" id="108" name="Picture"/>
            <a:graphic>
              <a:graphicData uri="http://schemas.openxmlformats.org/drawingml/2006/picture">
                <pic:pic>
                  <pic:nvPicPr>
                    <pic:cNvPr descr="Graphical_Output/LandcoverClassification.png" id="109" name="Picture"/>
                    <pic:cNvPicPr>
                      <a:picLocks noChangeArrowheads="1" noChangeAspect="1"/>
                    </pic:cNvPicPr>
                  </pic:nvPicPr>
                  <pic:blipFill>
                    <a:blip r:embed="rId107"/>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110" w:name="fig:unnamed-chunk-9"/>
      <w:bookmarkEnd w:id="110"/>
      <w:r>
        <w:t xml:space="preserve">Figure 9: Land cover classification</w:t>
      </w:r>
    </w:p>
    <w:p>
      <w:pPr>
        <w:pStyle w:val="BodyText"/>
      </w:pPr>
      <w:r>
        <w:drawing>
          <wp:inline>
            <wp:extent cx="5270500" cy="2552611"/>
            <wp:effectExtent b="0" l="0" r="0" t="0"/>
            <wp:docPr descr="Figure 10: Physical account for land cover (hectares)" title="" id="112" name="Picture"/>
            <a:graphic>
              <a:graphicData uri="http://schemas.openxmlformats.org/drawingml/2006/picture">
                <pic:pic>
                  <pic:nvPicPr>
                    <pic:cNvPr descr="Graphical_Output/Physical_Account_for_Land.png" id="113" name="Picture"/>
                    <pic:cNvPicPr>
                      <a:picLocks noChangeArrowheads="1" noChangeAspect="1"/>
                    </pic:cNvPicPr>
                  </pic:nvPicPr>
                  <pic:blipFill>
                    <a:blip r:embed="rId111"/>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114"/>
    <w:bookmarkStart w:id="131"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115"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115"/>
    <w:bookmarkStart w:id="120"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1: Physical asset account for aquatic resources (tonnes)" title="" id="117" name="Picture"/>
            <a:graphic>
              <a:graphicData uri="http://schemas.openxmlformats.org/drawingml/2006/picture">
                <pic:pic>
                  <pic:nvPicPr>
                    <pic:cNvPr descr="Graphical_Output/Aquatic_Physical_Asset_Accounts.png" id="118" name="Picture"/>
                    <pic:cNvPicPr>
                      <a:picLocks noChangeArrowheads="1" noChangeAspect="1"/>
                    </pic:cNvPicPr>
                  </pic:nvPicPr>
                  <pic:blipFill>
                    <a:blip r:embed="rId116"/>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19" w:name="fig:unnamed-chunk-11"/>
      <w:bookmarkEnd w:id="119"/>
      <w:r>
        <w:t xml:space="preserve">Figure 11: Physical asset account for aquatic resources (tonnes)</w:t>
      </w:r>
    </w:p>
    <w:bookmarkEnd w:id="120"/>
    <w:bookmarkStart w:id="121"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21"/>
    <w:bookmarkStart w:id="126"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2: Catch concepts: a diagrammatic presentation" title="" id="123" name="Picture"/>
            <a:graphic>
              <a:graphicData uri="http://schemas.openxmlformats.org/drawingml/2006/picture">
                <pic:pic>
                  <pic:nvPicPr>
                    <pic:cNvPr descr="Graphical_Output/SEEA_AnnexA5_4.png" id="124" name="Picture"/>
                    <pic:cNvPicPr>
                      <a:picLocks noChangeArrowheads="1" noChangeAspect="1"/>
                    </pic:cNvPicPr>
                  </pic:nvPicPr>
                  <pic:blipFill>
                    <a:blip r:embed="rId122"/>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25" w:name="fig:SEEAAnnexA54"/>
      <w:bookmarkEnd w:id="125"/>
      <w:r>
        <w:t xml:space="preserve">Figure 12: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12</w:t>
      </w:r>
      <w:r>
        <w:t xml:space="preserve">.</w:t>
      </w:r>
    </w:p>
    <w:p>
      <w:pPr>
        <w:numPr>
          <w:ilvl w:val="0"/>
          <w:numId w:val="1019"/>
        </w:numPr>
      </w:pPr>
      <w:r>
        <w:t xml:space="preserve">Gross removal: the total live weight of fish caught or killed during fishing operations;</w:t>
      </w:r>
    </w:p>
    <w:p>
      <w:pPr>
        <w:numPr>
          <w:ilvl w:val="0"/>
          <w:numId w:val="1019"/>
        </w:numPr>
      </w:pPr>
      <w:r>
        <w:t xml:space="preserve">Gross catch: the total live weight of fish caught (gross removal less pre-catch losses);</w:t>
      </w:r>
    </w:p>
    <w:p>
      <w:pPr>
        <w:numPr>
          <w:ilvl w:val="0"/>
          <w:numId w:val="1019"/>
        </w:numPr>
      </w:pPr>
      <w:r>
        <w:t xml:space="preserve">Retained catch: the total live weight of fish retained (gross catch less discarded catch);</w:t>
      </w:r>
    </w:p>
    <w:p>
      <w:pPr>
        <w:numPr>
          <w:ilvl w:val="0"/>
          <w:numId w:val="1019"/>
        </w:numPr>
      </w:pPr>
      <w:r>
        <w:t xml:space="preserve">Landings: the net weight of the quantities landed as recorded at the time of landing;</w:t>
      </w:r>
    </w:p>
    <w:p>
      <w:pPr>
        <w:numPr>
          <w:ilvl w:val="0"/>
          <w:numId w:val="1019"/>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26"/>
    <w:bookmarkStart w:id="127"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27"/>
    <w:bookmarkStart w:id="128"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28"/>
    <w:bookmarkStart w:id="129"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29"/>
    <w:bookmarkStart w:id="130" w:name="valuation-of-natural-aquatic-resources"/>
    <w:p>
      <w:pPr>
        <w:pStyle w:val="Heading2"/>
      </w:pPr>
      <w:r>
        <w:rPr>
          <w:rStyle w:val="SectionNumber"/>
        </w:rPr>
        <w:t xml:space="preserve">5.1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30"/>
    <w:bookmarkEnd w:id="131"/>
    <w:bookmarkStart w:id="135" w:name="references"/>
    <w:p>
      <w:pPr>
        <w:pStyle w:val="Heading1"/>
      </w:pPr>
      <w:r>
        <w:rPr>
          <w:rStyle w:val="SectionNumber"/>
        </w:rPr>
        <w:t xml:space="preserve">6</w:t>
      </w:r>
      <w:r>
        <w:tab/>
      </w:r>
      <w:r>
        <w:t xml:space="preserve">References</w:t>
      </w:r>
    </w:p>
    <w:p>
      <w:pPr>
        <w:pStyle w:val="FirstParagraph"/>
      </w:pPr>
      <w:hyperlink w:anchor="cite-solow_contribution_1956">
        <w:r>
          <w:rPr>
            <w:rStyle w:val="Hyperlink"/>
          </w:rPr>
          <w:t xml:space="preserve">[1]</w:t>
        </w:r>
      </w:hyperlink>
      <w:r>
        <w:t xml:space="preserve"> </w:t>
      </w:r>
      <w:r>
        <w:t xml:space="preserve">R. M. Solow.</w:t>
      </w:r>
      <w:r>
        <w:t xml:space="preserve"> </w:t>
      </w:r>
      <w:r>
        <w:t xml:space="preserve">“A Contribution to the Theory of</w:t>
      </w:r>
      <w:r>
        <w:t xml:space="preserve"> </w:t>
      </w:r>
      <w:r>
        <w:t xml:space="preserve">Economic Growth”</w:t>
      </w:r>
      <w:r>
        <w:t xml:space="preserve">. In:</w:t>
      </w:r>
      <w:r>
        <w:t xml:space="preserve"> </w:t>
      </w:r>
      <w:r>
        <w:rPr>
          <w:i/>
          <w:iCs/>
        </w:rPr>
        <w:t xml:space="preserve">The Quarterly Journal of Economics</w:t>
      </w:r>
      <w:r>
        <w:t xml:space="preserve"> </w:t>
      </w:r>
      <w:r>
        <w:t xml:space="preserve">70.1 (1956). Publisher: Oxford University Press, pp. 65-94. ISSN:</w:t>
      </w:r>
      <w:r>
        <w:t xml:space="preserve"> </w:t>
      </w:r>
      <w:r>
        <w:t xml:space="preserve">0033-5533. DOI:</w:t>
      </w:r>
      <w:r>
        <w:t xml:space="preserve"> </w:t>
      </w:r>
      <w:hyperlink r:id="rId132">
        <w:r>
          <w:rPr>
            <w:rStyle w:val="Hyperlink"/>
          </w:rPr>
          <w:t xml:space="preserve">10.2307/1884513</w:t>
        </w:r>
      </w:hyperlink>
      <w:r>
        <w:t xml:space="preserve">. URL:</w:t>
      </w:r>
      <w:r>
        <w:t xml:space="preserve"> </w:t>
      </w:r>
      <w:hyperlink r:id="rId33">
        <w:r>
          <w:rPr>
            <w:rStyle w:val="Hyperlink"/>
          </w:rPr>
          <w:t xml:space="preserve">https://www.jstor.org/stable/1884513</w:t>
        </w:r>
      </w:hyperlink>
      <w:r>
        <w:t xml:space="preserve"> </w:t>
      </w:r>
      <w:r>
        <w:t xml:space="preserve">(visited on 07/24/2025).</w:t>
      </w:r>
    </w:p>
    <w:p>
      <w:pPr>
        <w:pStyle w:val="BodyText"/>
      </w:pPr>
      <w:hyperlink w:anchor="cite-solow_technical_1957">
        <w:r>
          <w:rPr>
            <w:rStyle w:val="Hyperlink"/>
          </w:rPr>
          <w:t xml:space="preserve">[2]</w:t>
        </w:r>
      </w:hyperlink>
      <w:r>
        <w:t xml:space="preserve"> </w:t>
      </w:r>
      <w:r>
        <w:t xml:space="preserve">R. M. Solow.</w:t>
      </w:r>
      <w:r>
        <w:t xml:space="preserve"> </w:t>
      </w:r>
      <w:r>
        <w:t xml:space="preserve">“Technical Change and the Aggregate</w:t>
      </w:r>
      <w:r>
        <w:t xml:space="preserve"> </w:t>
      </w:r>
      <w:r>
        <w:t xml:space="preserve">Production Function”</w:t>
      </w:r>
      <w:r>
        <w:t xml:space="preserve">. In:</w:t>
      </w:r>
      <w:r>
        <w:t xml:space="preserve"> </w:t>
      </w:r>
      <w:r>
        <w:rPr>
          <w:i/>
          <w:iCs/>
        </w:rPr>
        <w:t xml:space="preserve">The Review of Economics and Statistics</w:t>
      </w:r>
      <w:r>
        <w:t xml:space="preserve"> </w:t>
      </w:r>
      <w:r>
        <w:t xml:space="preserve">39.3 (1957). Publisher: The MIT Press, pp. 312-320. ISSN:</w:t>
      </w:r>
      <w:r>
        <w:t xml:space="preserve"> </w:t>
      </w:r>
      <w:r>
        <w:t xml:space="preserve">0034-6535. DOI:</w:t>
      </w:r>
      <w:r>
        <w:t xml:space="preserve"> </w:t>
      </w:r>
      <w:hyperlink r:id="rId133">
        <w:r>
          <w:rPr>
            <w:rStyle w:val="Hyperlink"/>
          </w:rPr>
          <w:t xml:space="preserve">10.2307/1926047</w:t>
        </w:r>
      </w:hyperlink>
      <w:r>
        <w:t xml:space="preserve">. URL:</w:t>
      </w:r>
      <w:r>
        <w:t xml:space="preserve"> </w:t>
      </w:r>
      <w:hyperlink r:id="rId34">
        <w:r>
          <w:rPr>
            <w:rStyle w:val="Hyperlink"/>
          </w:rPr>
          <w:t xml:space="preserve">https://www.jstor.org/stable/1926047</w:t>
        </w:r>
      </w:hyperlink>
      <w:r>
        <w:t xml:space="preserve"> </w:t>
      </w:r>
      <w:r>
        <w:t xml:space="preserve">(visited on 07/24/2025).</w:t>
      </w:r>
    </w:p>
    <w:p>
      <w:pPr>
        <w:pStyle w:val="BodyText"/>
      </w:pPr>
      <w:hyperlink w:anchor="cite-united_nations_system_2014">
        <w:r>
          <w:rPr>
            <w:rStyle w:val="Hyperlink"/>
          </w:rPr>
          <w:t xml:space="preserve">[3]</w:t>
        </w:r>
      </w:hyperlink>
      <w:r>
        <w:t xml:space="preserve"> </w:t>
      </w:r>
      <w:r>
        <w:t xml:space="preserve">United Nations, European Union, Food, et</w:t>
      </w:r>
      <w:r>
        <w:t xml:space="preserve"> </w:t>
      </w:r>
      <w:r>
        <w:t xml:space="preserve">al. </w:t>
      </w:r>
      <w:r>
        <w:rPr>
          <w:i/>
          <w:iCs/>
        </w:rPr>
        <w:t xml:space="preserve">System of Environmental-Economic Accounting 2012 Central Framework</w:t>
      </w:r>
      <w:r>
        <w:t xml:space="preserve">. New York: United Nations, 2014. ISBN:</w:t>
      </w:r>
      <w:r>
        <w:t xml:space="preserve"> </w:t>
      </w:r>
      <w:r>
        <w:t xml:space="preserve">978-92-1-055926-3. URL:</w:t>
      </w:r>
      <w:r>
        <w:t xml:space="preserve"> </w:t>
      </w:r>
      <w:hyperlink r:id="rId54">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[4]</w:t>
        </w:r>
      </w:hyperlink>
      <w:r>
        <w:t xml:space="preserve"> </w:t>
      </w:r>
      <w:r>
        <w:t xml:space="preserve">J. C. Villasenor-Derbez, C.</w:t>
      </w:r>
      <w:r>
        <w:t xml:space="preserve"> </w:t>
      </w:r>
      <w:r>
        <w:t xml:space="preserve">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 2024). Publisher: American</w:t>
      </w:r>
      <w:r>
        <w:t xml:space="preserve"> </w:t>
      </w:r>
      <w:r>
        <w:t xml:space="preserve">Association for the Advancement of Science. DOI:</w:t>
      </w:r>
      <w:r>
        <w:t xml:space="preserve"> </w:t>
      </w:r>
      <w:hyperlink r:id="rId134">
        <w:r>
          <w:rPr>
            <w:rStyle w:val="Hyperlink"/>
          </w:rPr>
          <w:t xml:space="preserve">10.1126/science.adl4019</w:t>
        </w:r>
      </w:hyperlink>
      <w:r>
        <w:t xml:space="preserve">. URL:</w:t>
      </w:r>
      <w:r>
        <w:t xml:space="preserve"> </w:t>
      </w:r>
      <w:hyperlink r:id="rId43">
        <w:r>
          <w:rPr>
            <w:rStyle w:val="Hyperlink"/>
          </w:rPr>
          <w:t xml:space="preserve">https://www.science.org/doi/10.1126/science.adl4019</w:t>
        </w:r>
      </w:hyperlink>
      <w:r>
        <w:t xml:space="preserve"> </w:t>
      </w:r>
      <w:r>
        <w:t xml:space="preserve">(visited on</w:t>
      </w:r>
      <w:r>
        <w:t xml:space="preserve"> </w:t>
      </w:r>
      <w:r>
        <w:t xml:space="preserve">07/17/2025).</w:t>
      </w:r>
    </w:p>
    <w:p>
      <w:pPr>
        <w:pStyle w:val="BodyText"/>
      </w:pPr>
      <w:hyperlink w:anchor="X5007387318eee89cad05af1f915294e6bec10e0">
        <w:r>
          <w:rPr>
            <w:rStyle w:val="Hyperlink"/>
          </w:rPr>
          <w:t xml:space="preserve">[5]</w:t>
        </w:r>
      </w:hyperlink>
      <w:r>
        <w:t xml:space="preserve"> </w:t>
      </w:r>
      <w:r>
        <w:t xml:space="preserve">Kiribati National Statistics Office and The Pacific Community.</w:t>
      </w:r>
      <w:r>
        <w:t xml:space="preserve"> </w:t>
      </w:r>
      <w:r>
        <w:rPr>
          <w:i/>
          <w:iCs/>
        </w:rPr>
        <w:t xml:space="preserve">Kiribati Natural Disasters and Climate Change Survey Report</w:t>
      </w:r>
      <w:r>
        <w:rPr>
          <w:i/>
          <w:iCs/>
        </w:rPr>
        <w:t xml:space="preserve"> </w:t>
      </w:r>
      <w:r>
        <w:rPr>
          <w:i/>
          <w:iCs/>
        </w:rPr>
        <w:t xml:space="preserve">2023–2024</w:t>
      </w:r>
      <w:r>
        <w:t xml:space="preserve">. Tech. rep. Kiribati National Statistics Office, Jun. 2025. URL:</w:t>
      </w:r>
      <w:r>
        <w:t xml:space="preserve"> </w:t>
      </w:r>
      <w:hyperlink r:id="rId31">
        <w:r>
          <w:rPr>
            <w:rStyle w:val="Hyperlink"/>
          </w:rPr>
          <w:t xml:space="preserve">https://nso.gov.ki/download/151/2023-24-hies-reports/2167/kiribati-natural-disasters-and-climate-change-report-2023-2024</w:t>
        </w:r>
      </w:hyperlink>
      <w:r>
        <w:t xml:space="preserve">.</w:t>
      </w:r>
    </w:p>
    <w:bookmarkEnd w:id="135"/>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https://unstats.un.org/unsd/nationalaccount/sna.asp[https://unstats.un.org/unsd/nationalaccount/sna.asp</w:t>
        </w:r>
      </w:hyperlink>
      <w:r>
        <w:t xml:space="preserve">]</w:t>
      </w:r>
    </w:p>
  </w:footnote>
  <w:footnote w:id="22">
    <w:p>
      <w:pPr>
        <w:pStyle w:val="FootnoteText"/>
      </w:pPr>
      <w:r>
        <w:rPr>
          <w:rStyle w:val="FootnoteReference"/>
        </w:rPr>
        <w:footnoteRef/>
      </w:r>
      <w:r>
        <w:t xml:space="preserve"> </w:t>
      </w:r>
      <w:hyperlink r:id="rId23">
        <w:r>
          <w:rPr>
            <w:rStyle w:val="Hyperlink"/>
          </w:rPr>
          <w:t xml:space="preserve">https://en.wikipedia.org/wiki/Dutch_disease</w:t>
        </w:r>
      </w:hyperlink>
    </w:p>
  </w:footnote>
  <w:footnote w:id="30">
    <w:p>
      <w:pPr>
        <w:pStyle w:val="FootnoteText"/>
      </w:pPr>
      <w:r>
        <w:rPr>
          <w:rStyle w:val="FootnoteReference"/>
        </w:rPr>
        <w:footnoteRef/>
      </w:r>
      <w:r>
        <w:t xml:space="preserve"> </w:t>
      </w:r>
      <w:r>
        <w:t xml:space="preserve">(</w:t>
      </w:r>
      <w:hyperlink r:id="rId31">
        <w:r>
          <w:rPr>
            <w:rStyle w:val="Hyperlink"/>
          </w:rPr>
          <w:t xml:space="preserve">Kiribati National Statistics Office and The Pacific Community, 2025</w:t>
        </w:r>
      </w:hyperlink>
      <w:r>
        <w:t xml:space="preserve">)</w:t>
      </w:r>
    </w:p>
  </w:footnote>
  <w:footnote w:id="32">
    <w:p>
      <w:pPr>
        <w:pStyle w:val="FootnoteText"/>
      </w:pPr>
      <w:r>
        <w:rPr>
          <w:rStyle w:val="FootnoteReference"/>
        </w:rPr>
        <w:footnoteRef/>
      </w:r>
      <w:r>
        <w:t xml:space="preserve"> </w:t>
      </w:r>
      <w:r>
        <w:t xml:space="preserve">(</w:t>
      </w:r>
      <w:hyperlink r:id="rId33">
        <w:r>
          <w:rPr>
            <w:rStyle w:val="Hyperlink"/>
          </w:rPr>
          <w:t xml:space="preserve">Solow, 1956</w:t>
        </w:r>
      </w:hyperlink>
      <w:r>
        <w:t xml:space="preserve">) (</w:t>
      </w:r>
      <w:hyperlink r:id="rId34">
        <w:r>
          <w:rPr>
            <w:rStyle w:val="Hyperlink"/>
          </w:rPr>
          <w:t xml:space="preserve">Solow, 1957</w:t>
        </w:r>
      </w:hyperlink>
      <w:r>
        <w:t xml:space="preserve">)</w:t>
      </w:r>
    </w:p>
  </w:footnote>
  <w:footnote w:id="35">
    <w:p>
      <w:pPr>
        <w:pStyle w:val="FootnoteText"/>
      </w:pPr>
      <w:r>
        <w:rPr>
          <w:rStyle w:val="FootnoteReference"/>
        </w:rPr>
        <w:footnoteRef/>
      </w:r>
      <w:r>
        <w:t xml:space="preserve"> </w:t>
      </w:r>
      <w:hyperlink r:id="rId36">
        <w:r>
          <w:rPr>
            <w:rStyle w:val="Hyperlink"/>
          </w:rPr>
          <w:t xml:space="preserve">https://unstats.un.org/unsd/nationalaccount/docs/1993sna.pdf[https://unstats.un.org/unsd/nationalaccount/docs/1993sna.pdf</w:t>
        </w:r>
      </w:hyperlink>
      <w:r>
        <w:t xml:space="preserve">]</w:t>
      </w:r>
    </w:p>
  </w:footnote>
  <w:footnote w:id="42">
    <w:p>
      <w:pPr>
        <w:pStyle w:val="FootnoteText"/>
      </w:pPr>
      <w:r>
        <w:rPr>
          <w:rStyle w:val="FootnoteReference"/>
        </w:rPr>
        <w:footnoteRef/>
      </w:r>
      <w:r>
        <w:t xml:space="preserve"> </w:t>
      </w:r>
      <w:r>
        <w:t xml:space="preserve">(</w:t>
      </w:r>
      <w:hyperlink r:id="rId43">
        <w:r>
          <w:rPr>
            <w:rStyle w:val="Hyperlink"/>
          </w:rPr>
          <w:t xml:space="preserve">Villasenor-Derbez, Costello, and Plantinga, 2024</w:t>
        </w:r>
      </w:hyperlink>
      <w:r>
        <w:t xml:space="preserve">)</w:t>
      </w:r>
    </w:p>
  </w:footnote>
  <w:footnote w:id="53">
    <w:p>
      <w:pPr>
        <w:pStyle w:val="FootnoteText"/>
      </w:pPr>
      <w:r>
        <w:rPr>
          <w:rStyle w:val="FootnoteReference"/>
        </w:rPr>
        <w:footnoteRef/>
      </w:r>
      <w:r>
        <w:t xml:space="preserve"> </w:t>
      </w:r>
      <w:r>
        <w:t xml:space="preserve">(</w:t>
      </w:r>
      <w:hyperlink r:id="rId54">
        <w:r>
          <w:rPr>
            <w:rStyle w:val="Hyperlink"/>
          </w:rPr>
          <w:t xml:space="preserve">United Nations, European Union, Food et al., 2014</w:t>
        </w:r>
      </w:hyperlink>
      <w:r>
        <w:t xml:space="preserve">) section 2.17, page 13</w:t>
      </w:r>
    </w:p>
  </w:footnote>
  <w:footnote w:id="55">
    <w:p>
      <w:pPr>
        <w:pStyle w:val="FootnoteText"/>
      </w:pPr>
      <w:r>
        <w:rPr>
          <w:rStyle w:val="FootnoteReference"/>
        </w:rPr>
        <w:footnoteRef/>
      </w:r>
      <w:r>
        <w:t xml:space="preserve"> </w:t>
      </w:r>
      <w:r>
        <w:t xml:space="preserve">(</w:t>
      </w:r>
      <w:hyperlink r:id="rId54">
        <w:r>
          <w:rPr>
            <w:rStyle w:val="Hyperlink"/>
          </w:rPr>
          <w:t xml:space="preserve">United Nations, European Union, Food et al., 2014</w:t>
        </w:r>
      </w:hyperlink>
      <w:r>
        <w:t xml:space="preserve">) section 2.21, page 14</w:t>
      </w:r>
    </w:p>
  </w:footnote>
  <w:footnote w:id="58">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32">
    <w:nsid w:val="00A9973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33">
    <w:nsid w:val="00A9973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16" Target="media/rId116.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111" Target="media/rId111.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122" Target="media/rId122.png" /><Relationship Type="http://schemas.openxmlformats.org/officeDocument/2006/relationships/image" Id="rId93" Target="media/rId93.png" /><Relationship Type="http://schemas.openxmlformats.org/officeDocument/2006/relationships/hyperlink" Id="rId134" Target="https://doi.org/10.1126%2Fscience.adl4019" TargetMode="External" /><Relationship Type="http://schemas.openxmlformats.org/officeDocument/2006/relationships/hyperlink" Id="rId132" Target="https://doi.org/10.2307%2F1884513" TargetMode="External" /><Relationship Type="http://schemas.openxmlformats.org/officeDocument/2006/relationships/hyperlink" Id="rId133" Target="https://doi.org/10.2307%2F1926047" TargetMode="External" /><Relationship Type="http://schemas.openxmlformats.org/officeDocument/2006/relationships/hyperlink" Id="rId23" Target="https://en.wikipedia.org/wiki/Dutch_disease" TargetMode="External" /><Relationship Type="http://schemas.openxmlformats.org/officeDocument/2006/relationships/hyperlink" Id="rId31" Target="https://nso.gov.ki/download/151/2023-24-hies-reports/2167/kiribati-natural-disasters-and-climate-change-report-2023-2024" TargetMode="External" /><Relationship Type="http://schemas.openxmlformats.org/officeDocument/2006/relationships/hyperlink" Id="rId54" Target="https://seea.un.org/sites/seea.un.org/files/seea_cf_final_en.pdf" TargetMode="External" /><Relationship Type="http://schemas.openxmlformats.org/officeDocument/2006/relationships/hyperlink" Id="rId36" Target="https://unstats.un.org/unsd/nationalaccount/docs/1993sna.pdf%5Bhttps://unstats.un.org/unsd/nationalaccount/docs/1993sna.pdf" TargetMode="External" /><Relationship Type="http://schemas.openxmlformats.org/officeDocument/2006/relationships/hyperlink" Id="rId21" Target="https://unstats.un.org/unsd/nationalaccount/sna.asp%5Bhttps://unstats.un.org/unsd/nationalaccount/sna.asp" TargetMode="External" /><Relationship Type="http://schemas.openxmlformats.org/officeDocument/2006/relationships/hyperlink" Id="rId33" Target="https://www.jstor.org/stable/1884513" TargetMode="External" /><Relationship Type="http://schemas.openxmlformats.org/officeDocument/2006/relationships/hyperlink" Id="rId34" Target="https://www.jstor.org/stable/1926047" TargetMode="External" /><Relationship Type="http://schemas.openxmlformats.org/officeDocument/2006/relationships/hyperlink" Id="rId43"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34" Target="https://doi.org/10.1126%2Fscience.adl4019" TargetMode="External" /><Relationship Type="http://schemas.openxmlformats.org/officeDocument/2006/relationships/hyperlink" Id="rId132" Target="https://doi.org/10.2307%2F1884513" TargetMode="External" /><Relationship Type="http://schemas.openxmlformats.org/officeDocument/2006/relationships/hyperlink" Id="rId133" Target="https://doi.org/10.2307%2F1926047" TargetMode="External" /><Relationship Type="http://schemas.openxmlformats.org/officeDocument/2006/relationships/hyperlink" Id="rId23" Target="https://en.wikipedia.org/wiki/Dutch_disease" TargetMode="External" /><Relationship Type="http://schemas.openxmlformats.org/officeDocument/2006/relationships/hyperlink" Id="rId31" Target="https://nso.gov.ki/download/151/2023-24-hies-reports/2167/kiribati-natural-disasters-and-climate-change-report-2023-2024" TargetMode="External" /><Relationship Type="http://schemas.openxmlformats.org/officeDocument/2006/relationships/hyperlink" Id="rId54" Target="https://seea.un.org/sites/seea.un.org/files/seea_cf_final_en.pdf" TargetMode="External" /><Relationship Type="http://schemas.openxmlformats.org/officeDocument/2006/relationships/hyperlink" Id="rId36" Target="https://unstats.un.org/unsd/nationalaccount/docs/1993sna.pdf%5Bhttps://unstats.un.org/unsd/nationalaccount/docs/1993sna.pdf" TargetMode="External" /><Relationship Type="http://schemas.openxmlformats.org/officeDocument/2006/relationships/hyperlink" Id="rId21" Target="https://unstats.un.org/unsd/nationalaccount/sna.asp%5Bhttps://unstats.un.org/unsd/nationalaccount/sna.asp" TargetMode="External" /><Relationship Type="http://schemas.openxmlformats.org/officeDocument/2006/relationships/hyperlink" Id="rId33" Target="https://www.jstor.org/stable/1884513" TargetMode="External" /><Relationship Type="http://schemas.openxmlformats.org/officeDocument/2006/relationships/hyperlink" Id="rId34" Target="https://www.jstor.org/stable/1926047" TargetMode="External" /><Relationship Type="http://schemas.openxmlformats.org/officeDocument/2006/relationships/hyperlink" Id="rId43"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dcterms:created xsi:type="dcterms:W3CDTF">2025-07-29T01:05:55Z</dcterms:created>
  <dcterms:modified xsi:type="dcterms:W3CDTF">2025-07-29T01:05:55Z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 July 2025</vt:lpwstr>
  </property>
  <property fmtid="{D5CDD505-2E9C-101B-9397-08002B2CF9AE}" pid="3" name="output">
    <vt:lpwstr/>
  </property>
  <property fmtid="{D5CDD505-2E9C-101B-9397-08002B2CF9AE}" pid="4" name="subtitle">
    <vt:lpwstr>Using Digital Earth Pacific and FAME Data Sources</vt:lpwstr>
  </property>
</Properties>
</file>