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98.png" ContentType="image/png"/>
  <Override PartName="/word/media/rId63.png" ContentType="image/png"/>
  <Override PartName="/word/media/rId71.png" ContentType="image/png"/>
  <Override PartName="/word/media/rId85.png" ContentType="image/png"/>
  <Override PartName="/word/media/rId89.png" ContentType="image/png"/>
  <Override PartName="/word/media/rId45.png" ContentType="image/png"/>
  <Override PartName="/word/media/rId30.png" ContentType="image/png"/>
  <Override PartName="/word/media/rId93.png" ContentType="image/png"/>
  <Override PartName="/word/media/rId41.png" ContentType="image/png"/>
  <Override PartName="/word/media/rId104.png" ContentType="image/png"/>
  <Override PartName="/word/media/rId75.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Ocean Accounts</w:t>
      </w:r>
    </w:p>
    <w:p>
      <w:pPr>
        <w:pStyle w:val="Subtitle"/>
      </w:pPr>
      <w:r>
        <w:t xml:space="preserve">Ocean-Specific Components of the</w:t>
      </w:r>
      <w:r>
        <w:t xml:space="preserve"> </w:t>
      </w:r>
      <w:r>
        <w:rPr>
          <w:i/>
          <w:iCs/>
        </w:rPr>
        <w:t xml:space="preserve">System of Environmental-Economic Accounting - Central Framework</w:t>
      </w:r>
    </w:p>
    <w:p>
      <w:pPr>
        <w:pStyle w:val="Author"/>
      </w:pPr>
      <w:r>
        <w:t xml:space="preserve">FAME Economics</w:t>
      </w:r>
    </w:p>
    <w:p>
      <w:pPr>
        <w:pStyle w:val="Date"/>
      </w:pPr>
      <w:r>
        <w:t xml:space="preserve">17 July 2025</w:t>
      </w:r>
    </w:p>
    <w:p>
      <w:r>
        <w:br w:type="page"/>
      </w:r>
    </w:p>
    <w:bookmarkStart w:id="29" w:name="introduction"/>
    <w:p>
      <w:pPr>
        <w:pStyle w:val="Heading1"/>
      </w:pPr>
      <w:r>
        <w:rPr>
          <w:rStyle w:val="SectionNumber"/>
        </w:rPr>
        <w:t xml:space="preserve">1</w:t>
      </w:r>
      <w:r>
        <w:tab/>
      </w:r>
      <w:r>
        <w:t xml:space="preserve">Introduction</w:t>
      </w:r>
    </w:p>
    <w:p>
      <w:pPr>
        <w:pStyle w:val="FirstParagraph"/>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r>
        <w:t xml:space="preserve"> </w:t>
      </w: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Start w:id="22" w:name="Xe1590464b2ecdd13dc6c4c210864dab590fcd4e"/>
    <w:p>
      <w:pPr>
        <w:pStyle w:val="Heading2"/>
      </w:pPr>
      <w:r>
        <w:rPr>
          <w:rStyle w:val="SectionNumber"/>
        </w:rPr>
        <w:t xml:space="preserve">1.1</w:t>
      </w:r>
      <w:r>
        <w:tab/>
      </w:r>
      <w:r>
        <w:t xml:space="preserve">Climate change destroys land-based capital</w:t>
      </w:r>
    </w:p>
    <w:p>
      <w:pPr>
        <w:pStyle w:val="FirstParagraph"/>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20"/>
      </w:r>
    </w:p>
    <w:p>
      <w:pPr>
        <w:numPr>
          <w:ilvl w:val="0"/>
          <w:numId w:val="1001"/>
        </w:numPr>
      </w:pPr>
      <w:r>
        <w:t xml:space="preserve">A quarter (25%) of households reported being impacted by at least one natural disaster.</w:t>
      </w:r>
    </w:p>
    <w:p>
      <w:pPr>
        <w:numPr>
          <w:ilvl w:val="0"/>
          <w:numId w:val="1001"/>
        </w:numPr>
      </w:pPr>
      <w:r>
        <w:t xml:space="preserve">The estimated economic losses from climate change totaled $1.25 million (AUD), with housing and agriculture most affected.</w:t>
      </w:r>
    </w:p>
    <w:p>
      <w:pPr>
        <w:numPr>
          <w:ilvl w:val="0"/>
          <w:numId w:val="1001"/>
        </w:numPr>
      </w:pPr>
      <w:r>
        <w:t xml:space="preserve">Three-fifths (60%) of affected households experienced damage to their homes — mostly due to strong winds and heavy rain.</w:t>
      </w:r>
    </w:p>
    <w:p>
      <w:pPr>
        <w:numPr>
          <w:ilvl w:val="0"/>
          <w:numId w:val="1001"/>
        </w:numPr>
      </w:pPr>
      <w:r>
        <w:t xml:space="preserve">A quarter (26%) of households affected by disasters reported agricultural losses, with drought the leading cause.</w:t>
      </w:r>
    </w:p>
    <w:p>
      <w:pPr>
        <w:numPr>
          <w:ilvl w:val="0"/>
          <w:numId w:val="1001"/>
        </w:numPr>
      </w:pPr>
      <w:r>
        <w:t xml:space="preserve">One in 10 (10%) of households affected by disasters experienced health issues linked to climate events, including extreme heat and flooding.</w:t>
      </w:r>
    </w:p>
    <w:p>
      <w:pPr>
        <w:numPr>
          <w:ilvl w:val="0"/>
          <w:numId w:val="1001"/>
        </w:numPr>
      </w:pPr>
      <w:r>
        <w:t xml:space="preserve">Nearly 4,000 people were temporarily relocated due to natural disasters.</w:t>
      </w:r>
    </w:p>
    <w:bookmarkEnd w:id="22"/>
    <w:bookmarkStart w:id="23" w:name="Xecc9dabe100942a0242dd54246b3d645f5ab0ce"/>
    <w:p>
      <w:pPr>
        <w:pStyle w:val="Heading2"/>
      </w:pPr>
      <w:r>
        <w:rPr>
          <w:rStyle w:val="SectionNumber"/>
        </w:rPr>
        <w:t xml:space="preserve">1.2</w:t>
      </w:r>
      <w:r>
        <w:tab/>
      </w: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23"/>
    <w:bookmarkStart w:id="25" w:name="X196c7e912f92ec48f68ecad0cb414bbb9e43de2"/>
    <w:p>
      <w:pPr>
        <w:pStyle w:val="Heading2"/>
      </w:pPr>
      <w:r>
        <w:rPr>
          <w:rStyle w:val="SectionNumber"/>
        </w:rPr>
        <w:t xml:space="preserve">1.3</w:t>
      </w:r>
      <w:r>
        <w:tab/>
      </w: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$US463.66 million per year over the last 10 years from fishing license fees of tuna alone,</w:t>
      </w:r>
    </w:p>
    <w:p>
      <w:pPr>
        <w:pStyle w:val="TableCaption"/>
      </w:pPr>
      <w:bookmarkStart w:id="24" w:name="tab:LicenseRevenues"/>
      <w:bookmarkEnd w:id="24"/>
      <w:r>
        <w:t xml:space="preserve">Table 1: Tuna Revenues: Access fees for offshore fishing 2014–2023 - $US Millions</w:t>
      </w:r>
    </w:p>
    <w:tbl>
      <w:tblPr>
        <w:tblStyle w:val="Table"/>
        <w:tblW w:type="pct" w:w="5000"/>
        <w:tblLayout w:type="fixed"/>
        <w:tblLook w:firstRow="1" w:lastRow="0" w:firstColumn="0" w:lastColumn="0" w:noHBand="0" w:noVBand="0" w:val="0020"/>
        <w:tblCaption w:val="Table 1: Tuna Revenues: Access fees for offshore fishing 2014–2023 - $US Millions"/>
      </w:tblPr>
      <w:tblGrid>
        <w:gridCol w:w="2698"/>
        <w:gridCol w:w="522"/>
        <w:gridCol w:w="522"/>
        <w:gridCol w:w="522"/>
        <w:gridCol w:w="522"/>
        <w:gridCol w:w="522"/>
        <w:gridCol w:w="522"/>
        <w:gridCol w:w="522"/>
        <w:gridCol w:w="522"/>
        <w:gridCol w:w="522"/>
        <w:gridCol w:w="522"/>
      </w:tblGrid>
      <w:tr>
        <w:trPr>
          <w:tblHeader w:val="on"/>
        </w:trPr>
        <w:tc>
          <w:tcPr/>
          <w:p>
            <w:pPr>
              <w:pStyle w:val="Compact"/>
              <w:jc w:val="left"/>
            </w:pPr>
            <w:r>
              <w:t xml:space="preserve">Country</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c>
          <w:tcPr/>
          <w:p>
            <w:pPr>
              <w:pStyle w:val="Compact"/>
              <w:jc w:val="right"/>
            </w:pPr>
            <w:r>
              <w:t xml:space="preserve">2022</w:t>
            </w:r>
          </w:p>
        </w:tc>
        <w:tc>
          <w:tcPr/>
          <w:p>
            <w:pPr>
              <w:pStyle w:val="Compact"/>
              <w:jc w:val="right"/>
            </w:pPr>
            <w:r>
              <w:t xml:space="preserve">2023</w:t>
            </w:r>
          </w:p>
        </w:tc>
      </w:tr>
      <w:tr>
        <w:tc>
          <w:tcPr/>
          <w:p>
            <w:pPr>
              <w:pStyle w:val="Compact"/>
              <w:jc w:val="left"/>
            </w:pPr>
            <w:r>
              <w:t xml:space="preserve">Kiribati</w:t>
            </w:r>
          </w:p>
        </w:tc>
        <w:tc>
          <w:tcPr/>
          <w:p>
            <w:pPr>
              <w:pStyle w:val="Compact"/>
              <w:jc w:val="right"/>
            </w:pPr>
            <w:r>
              <w:t xml:space="preserve">127.9</w:t>
            </w:r>
          </w:p>
        </w:tc>
        <w:tc>
          <w:tcPr/>
          <w:p>
            <w:pPr>
              <w:pStyle w:val="Compact"/>
              <w:jc w:val="right"/>
            </w:pPr>
            <w:r>
              <w:t xml:space="preserve">148.8</w:t>
            </w:r>
          </w:p>
        </w:tc>
        <w:tc>
          <w:tcPr/>
          <w:p>
            <w:pPr>
              <w:pStyle w:val="Compact"/>
              <w:jc w:val="right"/>
            </w:pPr>
            <w:r>
              <w:t xml:space="preserve">106.7</w:t>
            </w:r>
          </w:p>
        </w:tc>
        <w:tc>
          <w:tcPr/>
          <w:p>
            <w:pPr>
              <w:pStyle w:val="Compact"/>
              <w:jc w:val="right"/>
            </w:pPr>
            <w:r>
              <w:t xml:space="preserve">129.8</w:t>
            </w:r>
          </w:p>
        </w:tc>
        <w:tc>
          <w:tcPr/>
          <w:p>
            <w:pPr>
              <w:pStyle w:val="Compact"/>
              <w:jc w:val="right"/>
            </w:pPr>
            <w:r>
              <w:t xml:space="preserve">127.3</w:t>
            </w:r>
          </w:p>
        </w:tc>
        <w:tc>
          <w:tcPr/>
          <w:p>
            <w:pPr>
              <w:pStyle w:val="Compact"/>
              <w:jc w:val="right"/>
            </w:pPr>
            <w:r>
              <w:t xml:space="preserve">146.4</w:t>
            </w:r>
          </w:p>
        </w:tc>
        <w:tc>
          <w:tcPr/>
          <w:p>
            <w:pPr>
              <w:pStyle w:val="Compact"/>
              <w:jc w:val="right"/>
            </w:pPr>
            <w:r>
              <w:t xml:space="preserve">117.8</w:t>
            </w:r>
          </w:p>
        </w:tc>
        <w:tc>
          <w:tcPr/>
          <w:p>
            <w:pPr>
              <w:pStyle w:val="Compact"/>
              <w:jc w:val="right"/>
            </w:pPr>
            <w:r>
              <w:t xml:space="preserve">121.3</w:t>
            </w:r>
          </w:p>
        </w:tc>
        <w:tc>
          <w:tcPr/>
          <w:p>
            <w:pPr>
              <w:pStyle w:val="Compact"/>
              <w:jc w:val="right"/>
            </w:pPr>
            <w:r>
              <w:t xml:space="preserve">98.8</w:t>
            </w:r>
          </w:p>
        </w:tc>
        <w:tc>
          <w:tcPr/>
          <w:p>
            <w:pPr>
              <w:pStyle w:val="Compact"/>
              <w:jc w:val="right"/>
            </w:pPr>
            <w:r>
              <w:t xml:space="preserve">141.9</w:t>
            </w:r>
          </w:p>
        </w:tc>
      </w:tr>
      <w:tr>
        <w:tc>
          <w:tcPr/>
          <w:p>
            <w:pPr>
              <w:pStyle w:val="Compact"/>
              <w:jc w:val="left"/>
            </w:pPr>
            <w:r>
              <w:t xml:space="preserve">Papua New Guinea</w:t>
            </w:r>
          </w:p>
        </w:tc>
        <w:tc>
          <w:tcPr/>
          <w:p>
            <w:pPr>
              <w:pStyle w:val="Compact"/>
              <w:jc w:val="right"/>
            </w:pPr>
            <w:r>
              <w:t xml:space="preserve">92.0</w:t>
            </w:r>
          </w:p>
        </w:tc>
        <w:tc>
          <w:tcPr/>
          <w:p>
            <w:pPr>
              <w:pStyle w:val="Compact"/>
              <w:jc w:val="right"/>
            </w:pPr>
            <w:r>
              <w:t xml:space="preserve">95.7</w:t>
            </w:r>
          </w:p>
        </w:tc>
        <w:tc>
          <w:tcPr/>
          <w:p>
            <w:pPr>
              <w:pStyle w:val="Compact"/>
              <w:jc w:val="right"/>
            </w:pPr>
            <w:r>
              <w:t xml:space="preserve">119.5</w:t>
            </w:r>
          </w:p>
        </w:tc>
        <w:tc>
          <w:tcPr/>
          <w:p>
            <w:pPr>
              <w:pStyle w:val="Compact"/>
              <w:jc w:val="right"/>
            </w:pPr>
            <w:r>
              <w:t xml:space="preserve">94.1</w:t>
            </w:r>
          </w:p>
        </w:tc>
        <w:tc>
          <w:tcPr/>
          <w:p>
            <w:pPr>
              <w:pStyle w:val="Compact"/>
              <w:jc w:val="right"/>
            </w:pPr>
            <w:r>
              <w:t xml:space="preserve">114.4</w:t>
            </w:r>
          </w:p>
        </w:tc>
        <w:tc>
          <w:tcPr/>
          <w:p>
            <w:pPr>
              <w:pStyle w:val="Compact"/>
              <w:jc w:val="right"/>
            </w:pPr>
            <w:r>
              <w:t xml:space="preserve">93.3</w:t>
            </w:r>
          </w:p>
        </w:tc>
        <w:tc>
          <w:tcPr/>
          <w:p>
            <w:pPr>
              <w:pStyle w:val="Compact"/>
              <w:jc w:val="right"/>
            </w:pPr>
            <w:r>
              <w:t xml:space="preserve">110.3</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97.1</w:t>
            </w:r>
          </w:p>
        </w:tc>
      </w:tr>
      <w:tr>
        <w:tc>
          <w:tcPr/>
          <w:p>
            <w:pPr>
              <w:pStyle w:val="Compact"/>
              <w:jc w:val="left"/>
            </w:pPr>
            <w:r>
              <w:t xml:space="preserve">Federated States of Micronesia</w:t>
            </w:r>
          </w:p>
        </w:tc>
        <w:tc>
          <w:tcPr/>
          <w:p>
            <w:pPr>
              <w:pStyle w:val="Compact"/>
              <w:jc w:val="right"/>
            </w:pPr>
            <w:r>
              <w:t xml:space="preserve">47.7</w:t>
            </w:r>
          </w:p>
        </w:tc>
        <w:tc>
          <w:tcPr/>
          <w:p>
            <w:pPr>
              <w:pStyle w:val="Compact"/>
              <w:jc w:val="right"/>
            </w:pPr>
            <w:r>
              <w:t xml:space="preserve">65.5</w:t>
            </w:r>
          </w:p>
        </w:tc>
        <w:tc>
          <w:tcPr/>
          <w:p>
            <w:pPr>
              <w:pStyle w:val="Compact"/>
              <w:jc w:val="right"/>
            </w:pPr>
            <w:r>
              <w:t xml:space="preserve">63.7</w:t>
            </w:r>
          </w:p>
        </w:tc>
        <w:tc>
          <w:tcPr/>
          <w:p>
            <w:pPr>
              <w:pStyle w:val="Compact"/>
              <w:jc w:val="right"/>
            </w:pPr>
            <w:r>
              <w:t xml:space="preserve">72.7</w:t>
            </w:r>
          </w:p>
        </w:tc>
        <w:tc>
          <w:tcPr/>
          <w:p>
            <w:pPr>
              <w:pStyle w:val="Compact"/>
              <w:jc w:val="right"/>
            </w:pPr>
            <w:r>
              <w:t xml:space="preserve">72.4</w:t>
            </w:r>
          </w:p>
        </w:tc>
        <w:tc>
          <w:tcPr/>
          <w:p>
            <w:pPr>
              <w:pStyle w:val="Compact"/>
              <w:jc w:val="right"/>
            </w:pPr>
            <w:r>
              <w:t xml:space="preserve">72.7</w:t>
            </w:r>
          </w:p>
        </w:tc>
        <w:tc>
          <w:tcPr/>
          <w:p>
            <w:pPr>
              <w:pStyle w:val="Compact"/>
              <w:jc w:val="right"/>
            </w:pPr>
            <w:r>
              <w:t xml:space="preserve">70.2</w:t>
            </w:r>
          </w:p>
        </w:tc>
        <w:tc>
          <w:tcPr/>
          <w:p>
            <w:pPr>
              <w:pStyle w:val="Compact"/>
              <w:jc w:val="right"/>
            </w:pPr>
            <w:r>
              <w:t xml:space="preserve">69.0</w:t>
            </w:r>
          </w:p>
        </w:tc>
        <w:tc>
          <w:tcPr/>
          <w:p>
            <w:pPr>
              <w:pStyle w:val="Compact"/>
              <w:jc w:val="right"/>
            </w:pPr>
            <w:r>
              <w:t xml:space="preserve">73.0</w:t>
            </w:r>
          </w:p>
        </w:tc>
        <w:tc>
          <w:tcPr/>
          <w:p>
            <w:pPr>
              <w:pStyle w:val="Compact"/>
              <w:jc w:val="right"/>
            </w:pPr>
            <w:r>
              <w:t xml:space="preserve">71.0</w:t>
            </w:r>
          </w:p>
        </w:tc>
      </w:tr>
      <w:tr>
        <w:tc>
          <w:tcPr/>
          <w:p>
            <w:pPr>
              <w:pStyle w:val="Compact"/>
              <w:jc w:val="left"/>
            </w:pPr>
            <w:r>
              <w:t xml:space="preserve">Nauru</w:t>
            </w:r>
          </w:p>
        </w:tc>
        <w:tc>
          <w:tcPr/>
          <w:p>
            <w:pPr>
              <w:pStyle w:val="Compact"/>
              <w:jc w:val="right"/>
            </w:pPr>
            <w:r>
              <w:t xml:space="preserve">17.0</w:t>
            </w:r>
          </w:p>
        </w:tc>
        <w:tc>
          <w:tcPr/>
          <w:p>
            <w:pPr>
              <w:pStyle w:val="Compact"/>
              <w:jc w:val="right"/>
            </w:pPr>
            <w:r>
              <w:t xml:space="preserve">21.7</w:t>
            </w:r>
          </w:p>
        </w:tc>
        <w:tc>
          <w:tcPr/>
          <w:p>
            <w:pPr>
              <w:pStyle w:val="Compact"/>
              <w:jc w:val="right"/>
            </w:pPr>
            <w:r>
              <w:t xml:space="preserve">27.8</w:t>
            </w:r>
          </w:p>
        </w:tc>
        <w:tc>
          <w:tcPr/>
          <w:p>
            <w:pPr>
              <w:pStyle w:val="Compact"/>
              <w:jc w:val="right"/>
            </w:pPr>
            <w:r>
              <w:t xml:space="preserve">36.0</w:t>
            </w:r>
          </w:p>
        </w:tc>
        <w:tc>
          <w:tcPr/>
          <w:p>
            <w:pPr>
              <w:pStyle w:val="Compact"/>
              <w:jc w:val="right"/>
            </w:pPr>
            <w:r>
              <w:t xml:space="preserve">34.7</w:t>
            </w:r>
          </w:p>
        </w:tc>
        <w:tc>
          <w:tcPr/>
          <w:p>
            <w:pPr>
              <w:pStyle w:val="Compact"/>
              <w:jc w:val="right"/>
            </w:pPr>
            <w:r>
              <w:t xml:space="preserve">46.7</w:t>
            </w:r>
          </w:p>
        </w:tc>
        <w:tc>
          <w:tcPr/>
          <w:p>
            <w:pPr>
              <w:pStyle w:val="Compact"/>
              <w:jc w:val="right"/>
            </w:pPr>
            <w:r>
              <w:t xml:space="preserve">45.8</w:t>
            </w:r>
          </w:p>
        </w:tc>
        <w:tc>
          <w:tcPr/>
          <w:p>
            <w:pPr>
              <w:pStyle w:val="Compact"/>
              <w:jc w:val="right"/>
            </w:pPr>
            <w:r>
              <w:t xml:space="preserve">44.9</w:t>
            </w:r>
          </w:p>
        </w:tc>
        <w:tc>
          <w:tcPr/>
          <w:p>
            <w:pPr>
              <w:pStyle w:val="Compact"/>
              <w:jc w:val="right"/>
            </w:pPr>
            <w:r>
              <w:t xml:space="preserve">39.2</w:t>
            </w:r>
          </w:p>
        </w:tc>
        <w:tc>
          <w:tcPr/>
          <w:p>
            <w:pPr>
              <w:pStyle w:val="Compact"/>
              <w:jc w:val="right"/>
            </w:pPr>
            <w:r>
              <w:t xml:space="preserve">35.1</w:t>
            </w:r>
          </w:p>
        </w:tc>
      </w:tr>
      <w:tr>
        <w:tc>
          <w:tcPr/>
          <w:p>
            <w:pPr>
              <w:pStyle w:val="Compact"/>
              <w:jc w:val="left"/>
            </w:pPr>
            <w:r>
              <w:t xml:space="preserve">Marshall Islands</w:t>
            </w:r>
          </w:p>
        </w:tc>
        <w:tc>
          <w:tcPr/>
          <w:p>
            <w:pPr>
              <w:pStyle w:val="Compact"/>
              <w:jc w:val="right"/>
            </w:pPr>
            <w:r>
              <w:t xml:space="preserve">17.3</w:t>
            </w:r>
          </w:p>
        </w:tc>
        <w:tc>
          <w:tcPr/>
          <w:p>
            <w:pPr>
              <w:pStyle w:val="Compact"/>
              <w:jc w:val="right"/>
            </w:pPr>
            <w:r>
              <w:t xml:space="preserve">27.4</w:t>
            </w:r>
          </w:p>
        </w:tc>
        <w:tc>
          <w:tcPr/>
          <w:p>
            <w:pPr>
              <w:pStyle w:val="Compact"/>
              <w:jc w:val="right"/>
            </w:pPr>
            <w:r>
              <w:t xml:space="preserve">31.5</w:t>
            </w:r>
          </w:p>
        </w:tc>
        <w:tc>
          <w:tcPr/>
          <w:p>
            <w:pPr>
              <w:pStyle w:val="Compact"/>
              <w:jc w:val="right"/>
            </w:pPr>
            <w:r>
              <w:t xml:space="preserve">33.1</w:t>
            </w:r>
          </w:p>
        </w:tc>
        <w:tc>
          <w:tcPr/>
          <w:p>
            <w:pPr>
              <w:pStyle w:val="Compact"/>
              <w:jc w:val="right"/>
            </w:pPr>
            <w:r>
              <w:t xml:space="preserve">32.2</w:t>
            </w:r>
          </w:p>
        </w:tc>
        <w:tc>
          <w:tcPr/>
          <w:p>
            <w:pPr>
              <w:pStyle w:val="Compact"/>
              <w:jc w:val="right"/>
            </w:pPr>
            <w:r>
              <w:t xml:space="preserve">33.0</w:t>
            </w:r>
          </w:p>
        </w:tc>
        <w:tc>
          <w:tcPr/>
          <w:p>
            <w:pPr>
              <w:pStyle w:val="Compact"/>
              <w:jc w:val="right"/>
            </w:pPr>
            <w:r>
              <w:t xml:space="preserve">30.3</w:t>
            </w:r>
          </w:p>
        </w:tc>
        <w:tc>
          <w:tcPr/>
          <w:p>
            <w:pPr>
              <w:pStyle w:val="Compact"/>
              <w:jc w:val="right"/>
            </w:pPr>
            <w:r>
              <w:t xml:space="preserve">32.8</w:t>
            </w:r>
          </w:p>
        </w:tc>
        <w:tc>
          <w:tcPr/>
          <w:p>
            <w:pPr>
              <w:pStyle w:val="Compact"/>
              <w:jc w:val="right"/>
            </w:pPr>
            <w:r>
              <w:t xml:space="preserve">33.8</w:t>
            </w:r>
          </w:p>
        </w:tc>
        <w:tc>
          <w:tcPr/>
          <w:p>
            <w:pPr>
              <w:pStyle w:val="Compact"/>
              <w:jc w:val="right"/>
            </w:pPr>
            <w:r>
              <w:t xml:space="preserve">32.8</w:t>
            </w:r>
          </w:p>
        </w:tc>
      </w:tr>
      <w:tr>
        <w:tc>
          <w:tcPr/>
          <w:p>
            <w:pPr>
              <w:pStyle w:val="Compact"/>
              <w:jc w:val="left"/>
            </w:pPr>
            <w:r>
              <w:t xml:space="preserve">Tuvalu</w:t>
            </w:r>
          </w:p>
        </w:tc>
        <w:tc>
          <w:tcPr/>
          <w:p>
            <w:pPr>
              <w:pStyle w:val="Compact"/>
              <w:jc w:val="right"/>
            </w:pPr>
            <w:r>
              <w:t xml:space="preserve">14.4</w:t>
            </w:r>
          </w:p>
        </w:tc>
        <w:tc>
          <w:tcPr/>
          <w:p>
            <w:pPr>
              <w:pStyle w:val="Compact"/>
              <w:jc w:val="right"/>
            </w:pPr>
            <w:r>
              <w:t xml:space="preserve">22.9</w:t>
            </w:r>
          </w:p>
        </w:tc>
        <w:tc>
          <w:tcPr/>
          <w:p>
            <w:pPr>
              <w:pStyle w:val="Compact"/>
              <w:jc w:val="right"/>
            </w:pPr>
            <w:r>
              <w:t xml:space="preserve">24.6</w:t>
            </w:r>
          </w:p>
        </w:tc>
        <w:tc>
          <w:tcPr/>
          <w:p>
            <w:pPr>
              <w:pStyle w:val="Compact"/>
              <w:jc w:val="right"/>
            </w:pPr>
            <w:r>
              <w:t xml:space="preserve">20.6</w:t>
            </w:r>
          </w:p>
        </w:tc>
        <w:tc>
          <w:tcPr/>
          <w:p>
            <w:pPr>
              <w:pStyle w:val="Compact"/>
              <w:jc w:val="right"/>
            </w:pPr>
            <w:r>
              <w:t xml:space="preserve">37.5</w:t>
            </w:r>
          </w:p>
        </w:tc>
        <w:tc>
          <w:tcPr/>
          <w:p>
            <w:pPr>
              <w:pStyle w:val="Compact"/>
              <w:jc w:val="right"/>
            </w:pPr>
            <w:r>
              <w:t xml:space="preserve">25.8</w:t>
            </w:r>
          </w:p>
        </w:tc>
        <w:tc>
          <w:tcPr/>
          <w:p>
            <w:pPr>
              <w:pStyle w:val="Compact"/>
              <w:jc w:val="right"/>
            </w:pPr>
            <w:r>
              <w:t xml:space="preserve">30.4</w:t>
            </w:r>
          </w:p>
        </w:tc>
        <w:tc>
          <w:tcPr/>
          <w:p>
            <w:pPr>
              <w:pStyle w:val="Compact"/>
              <w:jc w:val="right"/>
            </w:pPr>
            <w:r>
              <w:t xml:space="preserve">32.3</w:t>
            </w:r>
          </w:p>
        </w:tc>
        <w:tc>
          <w:tcPr/>
          <w:p>
            <w:pPr>
              <w:pStyle w:val="Compact"/>
              <w:jc w:val="right"/>
            </w:pPr>
            <w:r>
              <w:t xml:space="preserve">30.6</w:t>
            </w:r>
          </w:p>
        </w:tc>
        <w:tc>
          <w:tcPr/>
          <w:p>
            <w:pPr>
              <w:pStyle w:val="Compact"/>
              <w:jc w:val="right"/>
            </w:pPr>
            <w:r>
              <w:t xml:space="preserve">29.2</w:t>
            </w:r>
          </w:p>
        </w:tc>
      </w:tr>
      <w:tr>
        <w:tc>
          <w:tcPr/>
          <w:p>
            <w:pPr>
              <w:pStyle w:val="Compact"/>
              <w:jc w:val="left"/>
            </w:pPr>
            <w:r>
              <w:t xml:space="preserve">Solomon Islands</w:t>
            </w:r>
          </w:p>
        </w:tc>
        <w:tc>
          <w:tcPr/>
          <w:p>
            <w:pPr>
              <w:pStyle w:val="Compact"/>
              <w:jc w:val="right"/>
            </w:pPr>
            <w:r>
              <w:t xml:space="preserve">29.0</w:t>
            </w:r>
          </w:p>
        </w:tc>
        <w:tc>
          <w:tcPr/>
          <w:p>
            <w:pPr>
              <w:pStyle w:val="Compact"/>
              <w:jc w:val="right"/>
            </w:pPr>
            <w:r>
              <w:t xml:space="preserve">39.5</w:t>
            </w:r>
          </w:p>
        </w:tc>
        <w:tc>
          <w:tcPr/>
          <w:p>
            <w:pPr>
              <w:pStyle w:val="Compact"/>
              <w:jc w:val="right"/>
            </w:pPr>
            <w:r>
              <w:t xml:space="preserve">33.4</w:t>
            </w:r>
          </w:p>
        </w:tc>
        <w:tc>
          <w:tcPr/>
          <w:p>
            <w:pPr>
              <w:pStyle w:val="Compact"/>
              <w:jc w:val="right"/>
            </w:pPr>
            <w:r>
              <w:t xml:space="preserve">60.2</w:t>
            </w:r>
          </w:p>
        </w:tc>
        <w:tc>
          <w:tcPr/>
          <w:p>
            <w:pPr>
              <w:pStyle w:val="Compact"/>
              <w:jc w:val="right"/>
            </w:pPr>
            <w:r>
              <w:t xml:space="preserve">35.1</w:t>
            </w:r>
          </w:p>
        </w:tc>
        <w:tc>
          <w:tcPr/>
          <w:p>
            <w:pPr>
              <w:pStyle w:val="Compact"/>
              <w:jc w:val="right"/>
            </w:pPr>
            <w:r>
              <w:t xml:space="preserve">26.8</w:t>
            </w:r>
          </w:p>
        </w:tc>
        <w:tc>
          <w:tcPr/>
          <w:p>
            <w:pPr>
              <w:pStyle w:val="Compact"/>
              <w:jc w:val="right"/>
            </w:pPr>
            <w:r>
              <w:t xml:space="preserve">38.2</w:t>
            </w:r>
          </w:p>
        </w:tc>
        <w:tc>
          <w:tcPr/>
          <w:p>
            <w:pPr>
              <w:pStyle w:val="Compact"/>
              <w:jc w:val="right"/>
            </w:pPr>
            <w:r>
              <w:t xml:space="preserve">28.5</w:t>
            </w:r>
          </w:p>
        </w:tc>
        <w:tc>
          <w:tcPr/>
          <w:p>
            <w:pPr>
              <w:pStyle w:val="Compact"/>
              <w:jc w:val="right"/>
            </w:pPr>
            <w:r>
              <w:t xml:space="preserve">24.2</w:t>
            </w:r>
          </w:p>
        </w:tc>
        <w:tc>
          <w:tcPr/>
          <w:p>
            <w:pPr>
              <w:pStyle w:val="Compact"/>
              <w:jc w:val="right"/>
            </w:pPr>
            <w:r>
              <w:t xml:space="preserve">25.5</w:t>
            </w:r>
          </w:p>
        </w:tc>
      </w:tr>
      <w:tr>
        <w:tc>
          <w:tcPr/>
          <w:p>
            <w:pPr>
              <w:pStyle w:val="Compact"/>
              <w:jc w:val="left"/>
            </w:pPr>
            <w:r>
              <w:t xml:space="preserve">Palau</w:t>
            </w:r>
          </w:p>
        </w:tc>
        <w:tc>
          <w:tcPr/>
          <w:p>
            <w:pPr>
              <w:pStyle w:val="Compact"/>
              <w:jc w:val="right"/>
            </w:pPr>
            <w:r>
              <w:t xml:space="preserve">3.5</w:t>
            </w:r>
          </w:p>
        </w:tc>
        <w:tc>
          <w:tcPr/>
          <w:p>
            <w:pPr>
              <w:pStyle w:val="Compact"/>
              <w:jc w:val="right"/>
            </w:pPr>
            <w:r>
              <w:t xml:space="preserve">7.2</w:t>
            </w:r>
          </w:p>
        </w:tc>
        <w:tc>
          <w:tcPr/>
          <w:p>
            <w:pPr>
              <w:pStyle w:val="Compact"/>
              <w:jc w:val="right"/>
            </w:pPr>
            <w:r>
              <w:t xml:space="preserve">6.1</w:t>
            </w:r>
          </w:p>
        </w:tc>
        <w:tc>
          <w:tcPr/>
          <w:p>
            <w:pPr>
              <w:pStyle w:val="Compact"/>
              <w:jc w:val="right"/>
            </w:pPr>
            <w:r>
              <w:t xml:space="preserve">9.7</w:t>
            </w:r>
          </w:p>
        </w:tc>
        <w:tc>
          <w:tcPr/>
          <w:p>
            <w:pPr>
              <w:pStyle w:val="Compact"/>
              <w:jc w:val="right"/>
            </w:pPr>
            <w:r>
              <w:t xml:space="preserve">9.4</w:t>
            </w:r>
          </w:p>
        </w:tc>
        <w:tc>
          <w:tcPr/>
          <w:p>
            <w:pPr>
              <w:pStyle w:val="Compact"/>
              <w:jc w:val="right"/>
            </w:pPr>
            <w:r>
              <w:t xml:space="preserve">9.8</w:t>
            </w:r>
          </w:p>
        </w:tc>
        <w:tc>
          <w:tcPr/>
          <w:p>
            <w:pPr>
              <w:pStyle w:val="Compact"/>
              <w:jc w:val="right"/>
            </w:pPr>
            <w:r>
              <w:t xml:space="preserve">8.4</w:t>
            </w:r>
          </w:p>
        </w:tc>
        <w:tc>
          <w:tcPr/>
          <w:p>
            <w:pPr>
              <w:pStyle w:val="Compact"/>
              <w:jc w:val="right"/>
            </w:pPr>
            <w:r>
              <w:t xml:space="preserve">7.1</w:t>
            </w:r>
          </w:p>
        </w:tc>
        <w:tc>
          <w:tcPr/>
          <w:p>
            <w:pPr>
              <w:pStyle w:val="Compact"/>
              <w:jc w:val="right"/>
            </w:pPr>
            <w:r>
              <w:t xml:space="preserve">10.6</w:t>
            </w:r>
          </w:p>
        </w:tc>
        <w:tc>
          <w:tcPr/>
          <w:p>
            <w:pPr>
              <w:pStyle w:val="Compact"/>
              <w:jc w:val="right"/>
            </w:pPr>
            <w:r>
              <w:t xml:space="preserve">9.2</w:t>
            </w:r>
          </w:p>
        </w:tc>
      </w:tr>
      <w:tr>
        <w:tc>
          <w:tcPr/>
          <w:p>
            <w:pPr>
              <w:pStyle w:val="Compact"/>
              <w:jc w:val="left"/>
            </w:pPr>
            <w:r>
              <w:t xml:space="preserve">Cook Islands</w:t>
            </w:r>
          </w:p>
        </w:tc>
        <w:tc>
          <w:tcPr/>
          <w:p>
            <w:pPr>
              <w:pStyle w:val="Compact"/>
              <w:jc w:val="right"/>
            </w:pPr>
            <w:r>
              <w:t xml:space="preserve">6.8</w:t>
            </w:r>
          </w:p>
        </w:tc>
        <w:tc>
          <w:tcPr/>
          <w:p>
            <w:pPr>
              <w:pStyle w:val="Compact"/>
              <w:jc w:val="right"/>
            </w:pPr>
            <w:r>
              <w:t xml:space="preserve">8.3</w:t>
            </w:r>
          </w:p>
        </w:tc>
        <w:tc>
          <w:tcPr/>
          <w:p>
            <w:pPr>
              <w:pStyle w:val="Compact"/>
              <w:jc w:val="right"/>
            </w:pPr>
            <w:r>
              <w:t xml:space="preserve">12.8</w:t>
            </w:r>
          </w:p>
        </w:tc>
        <w:tc>
          <w:tcPr/>
          <w:p>
            <w:pPr>
              <w:pStyle w:val="Compact"/>
              <w:jc w:val="right"/>
            </w:pPr>
            <w:r>
              <w:t xml:space="preserve">17.7</w:t>
            </w:r>
          </w:p>
        </w:tc>
        <w:tc>
          <w:tcPr/>
          <w:p>
            <w:pPr>
              <w:pStyle w:val="Compact"/>
              <w:jc w:val="right"/>
            </w:pPr>
            <w:r>
              <w:t xml:space="preserve">12.6</w:t>
            </w:r>
          </w:p>
        </w:tc>
        <w:tc>
          <w:tcPr/>
          <w:p>
            <w:pPr>
              <w:pStyle w:val="Compact"/>
              <w:jc w:val="right"/>
            </w:pPr>
            <w:r>
              <w:t xml:space="preserve">14.0</w:t>
            </w:r>
          </w:p>
        </w:tc>
        <w:tc>
          <w:tcPr/>
          <w:p>
            <w:pPr>
              <w:pStyle w:val="Compact"/>
              <w:jc w:val="right"/>
            </w:pPr>
            <w:r>
              <w:t xml:space="preserve">7.5</w:t>
            </w:r>
          </w:p>
        </w:tc>
        <w:tc>
          <w:tcPr/>
          <w:p>
            <w:pPr>
              <w:pStyle w:val="Compact"/>
              <w:jc w:val="right"/>
            </w:pPr>
            <w:r>
              <w:t xml:space="preserve">4.5</w:t>
            </w:r>
          </w:p>
        </w:tc>
        <w:tc>
          <w:tcPr/>
          <w:p>
            <w:pPr>
              <w:pStyle w:val="Compact"/>
              <w:jc w:val="right"/>
            </w:pPr>
            <w:r>
              <w:t xml:space="preserve">6.3</w:t>
            </w:r>
          </w:p>
        </w:tc>
        <w:tc>
          <w:tcPr/>
          <w:p>
            <w:pPr>
              <w:pStyle w:val="Compact"/>
              <w:jc w:val="right"/>
            </w:pPr>
            <w:r>
              <w:t xml:space="preserve">5.6</w:t>
            </w:r>
          </w:p>
        </w:tc>
      </w:tr>
      <w:tr>
        <w:tc>
          <w:tcPr/>
          <w:p>
            <w:pPr>
              <w:pStyle w:val="Compact"/>
              <w:jc w:val="left"/>
            </w:pPr>
            <w:r>
              <w:t xml:space="preserve">Tokelau</w:t>
            </w:r>
          </w:p>
        </w:tc>
        <w:tc>
          <w:tcPr/>
          <w:p>
            <w:pPr>
              <w:pStyle w:val="Compact"/>
              <w:jc w:val="right"/>
            </w:pPr>
            <w:r>
              <w:t xml:space="preserve">9.1</w:t>
            </w:r>
          </w:p>
        </w:tc>
        <w:tc>
          <w:tcPr/>
          <w:p>
            <w:pPr>
              <w:pStyle w:val="Compact"/>
              <w:jc w:val="right"/>
            </w:pPr>
            <w:r>
              <w:t xml:space="preserve">10.4</w:t>
            </w:r>
          </w:p>
        </w:tc>
        <w:tc>
          <w:tcPr/>
          <w:p>
            <w:pPr>
              <w:pStyle w:val="Compact"/>
              <w:jc w:val="right"/>
            </w:pPr>
            <w:r>
              <w:t xml:space="preserve">13.3</w:t>
            </w:r>
          </w:p>
        </w:tc>
        <w:tc>
          <w:tcPr/>
          <w:p>
            <w:pPr>
              <w:pStyle w:val="Compact"/>
              <w:jc w:val="right"/>
            </w:pPr>
            <w:r>
              <w:t xml:space="preserve">12.8</w:t>
            </w:r>
          </w:p>
        </w:tc>
        <w:tc>
          <w:tcPr/>
          <w:p>
            <w:pPr>
              <w:pStyle w:val="Compact"/>
              <w:jc w:val="right"/>
            </w:pPr>
            <w:r>
              <w:t xml:space="preserve">12.7</w:t>
            </w:r>
          </w:p>
        </w:tc>
        <w:tc>
          <w:tcPr/>
          <w:p>
            <w:pPr>
              <w:pStyle w:val="Compact"/>
              <w:jc w:val="right"/>
            </w:pPr>
            <w:r>
              <w:t xml:space="preserve">12.8</w:t>
            </w:r>
          </w:p>
        </w:tc>
        <w:tc>
          <w:tcPr/>
          <w:p>
            <w:pPr>
              <w:pStyle w:val="Compact"/>
              <w:jc w:val="right"/>
            </w:pPr>
            <w:r>
              <w:t xml:space="preserve">13.0</w:t>
            </w:r>
          </w:p>
        </w:tc>
        <w:tc>
          <w:tcPr/>
          <w:p>
            <w:pPr>
              <w:pStyle w:val="Compact"/>
              <w:jc w:val="right"/>
            </w:pPr>
            <w:r>
              <w:t xml:space="preserve">12.6</w:t>
            </w:r>
          </w:p>
        </w:tc>
        <w:tc>
          <w:tcPr/>
          <w:p>
            <w:pPr>
              <w:pStyle w:val="Compact"/>
              <w:jc w:val="right"/>
            </w:pPr>
            <w:r>
              <w:t xml:space="preserve">8.7</w:t>
            </w:r>
          </w:p>
        </w:tc>
        <w:tc>
          <w:tcPr/>
          <w:p>
            <w:pPr>
              <w:pStyle w:val="Compact"/>
              <w:jc w:val="right"/>
            </w:pPr>
            <w:r>
              <w:t xml:space="preserve">3.9</w:t>
            </w:r>
          </w:p>
        </w:tc>
      </w:tr>
      <w:tr>
        <w:tc>
          <w:tcPr/>
          <w:p>
            <w:pPr>
              <w:pStyle w:val="Compact"/>
              <w:jc w:val="left"/>
            </w:pPr>
            <w:r>
              <w:t xml:space="preserve">Vanuatu</w:t>
            </w:r>
          </w:p>
        </w:tc>
        <w:tc>
          <w:tcPr/>
          <w:p>
            <w:pPr>
              <w:pStyle w:val="Compact"/>
              <w:jc w:val="right"/>
            </w:pPr>
            <w:r>
              <w:t xml:space="preserve">2.0</w:t>
            </w:r>
          </w:p>
        </w:tc>
        <w:tc>
          <w:tcPr/>
          <w:p>
            <w:pPr>
              <w:pStyle w:val="Compact"/>
              <w:jc w:val="right"/>
            </w:pPr>
            <w:r>
              <w:t xml:space="preserve">2.3</w:t>
            </w:r>
          </w:p>
        </w:tc>
        <w:tc>
          <w:tcPr/>
          <w:p>
            <w:pPr>
              <w:pStyle w:val="Compact"/>
              <w:jc w:val="right"/>
            </w:pPr>
            <w:r>
              <w:t xml:space="preserve">2.9</w:t>
            </w:r>
          </w:p>
        </w:tc>
        <w:tc>
          <w:tcPr/>
          <w:p>
            <w:pPr>
              <w:pStyle w:val="Compact"/>
              <w:jc w:val="right"/>
            </w:pPr>
            <w:r>
              <w:t xml:space="preserve">3.4</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2.6</w:t>
            </w:r>
          </w:p>
        </w:tc>
        <w:tc>
          <w:tcPr/>
          <w:p>
            <w:pPr>
              <w:pStyle w:val="Compact"/>
              <w:jc w:val="right"/>
            </w:pPr>
            <w:r>
              <w:t xml:space="preserve">1.6</w:t>
            </w:r>
          </w:p>
        </w:tc>
        <w:tc>
          <w:tcPr/>
          <w:p>
            <w:pPr>
              <w:pStyle w:val="Compact"/>
              <w:jc w:val="right"/>
            </w:pPr>
            <w:r>
              <w:t xml:space="preserve">2.5</w:t>
            </w:r>
          </w:p>
        </w:tc>
        <w:tc>
          <w:tcPr/>
          <w:p>
            <w:pPr>
              <w:pStyle w:val="Compact"/>
              <w:jc w:val="right"/>
            </w:pPr>
            <w:r>
              <w:t xml:space="preserve">1.9</w:t>
            </w:r>
          </w:p>
        </w:tc>
      </w:tr>
      <w:tr>
        <w:tc>
          <w:tcPr/>
          <w:p>
            <w:pPr>
              <w:pStyle w:val="Compact"/>
              <w:jc w:val="left"/>
            </w:pPr>
            <w:r>
              <w:t xml:space="preserve">Fiji</w:t>
            </w:r>
          </w:p>
        </w:tc>
        <w:tc>
          <w:tcPr/>
          <w:p>
            <w:pPr>
              <w:pStyle w:val="Compact"/>
              <w:jc w:val="right"/>
            </w:pPr>
            <w:r>
              <w:t xml:space="preserve">1.6</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2.3</w:t>
            </w:r>
          </w:p>
        </w:tc>
        <w:tc>
          <w:tcPr/>
          <w:p>
            <w:pPr>
              <w:pStyle w:val="Compact"/>
              <w:jc w:val="right"/>
            </w:pPr>
            <w:r>
              <w:t xml:space="preserve">2.1</w:t>
            </w:r>
          </w:p>
        </w:tc>
        <w:tc>
          <w:tcPr/>
          <w:p>
            <w:pPr>
              <w:pStyle w:val="Compact"/>
              <w:jc w:val="right"/>
            </w:pPr>
            <w:r>
              <w:t xml:space="preserve">2.2</w:t>
            </w:r>
          </w:p>
        </w:tc>
        <w:tc>
          <w:tcPr/>
          <w:p>
            <w:pPr>
              <w:pStyle w:val="Compact"/>
              <w:jc w:val="right"/>
            </w:pPr>
            <w:r>
              <w:t xml:space="preserve">2.3</w:t>
            </w:r>
          </w:p>
        </w:tc>
        <w:tc>
          <w:tcPr/>
          <w:p>
            <w:pPr>
              <w:pStyle w:val="Compact"/>
              <w:jc w:val="right"/>
            </w:pPr>
            <w:r>
              <w:t xml:space="preserve">1.9</w:t>
            </w:r>
          </w:p>
        </w:tc>
        <w:tc>
          <w:tcPr/>
          <w:p>
            <w:pPr>
              <w:pStyle w:val="Compact"/>
              <w:jc w:val="right"/>
            </w:pPr>
            <w:r>
              <w:t xml:space="preserve">2.1</w:t>
            </w:r>
          </w:p>
        </w:tc>
        <w:tc>
          <w:tcPr/>
          <w:p>
            <w:pPr>
              <w:pStyle w:val="Compact"/>
              <w:jc w:val="right"/>
            </w:pPr>
            <w:r>
              <w:t xml:space="preserve">1.8</w:t>
            </w:r>
          </w:p>
        </w:tc>
      </w:tr>
      <w:tr>
        <w:tc>
          <w:tcPr/>
          <w:p>
            <w:pPr>
              <w:pStyle w:val="Compact"/>
              <w:jc w:val="left"/>
            </w:pPr>
            <w:r>
              <w:t xml:space="preserve">Tonga</w:t>
            </w:r>
          </w:p>
        </w:tc>
        <w:tc>
          <w:tcPr/>
          <w:p>
            <w:pPr>
              <w:pStyle w:val="Compact"/>
              <w:jc w:val="right"/>
            </w:pPr>
            <w:r>
              <w:t xml:space="preserve">0.8</w:t>
            </w:r>
          </w:p>
        </w:tc>
        <w:tc>
          <w:tcPr/>
          <w:p>
            <w:pPr>
              <w:pStyle w:val="Compact"/>
              <w:jc w:val="right"/>
            </w:pPr>
            <w:r>
              <w:t xml:space="preserve">1.0</w:t>
            </w:r>
          </w:p>
        </w:tc>
        <w:tc>
          <w:tcPr/>
          <w:p>
            <w:pPr>
              <w:pStyle w:val="Compact"/>
              <w:jc w:val="right"/>
            </w:pPr>
            <w:r>
              <w:t xml:space="preserve">1.1</w:t>
            </w:r>
          </w:p>
        </w:tc>
        <w:tc>
          <w:tcPr/>
          <w:p>
            <w:pPr>
              <w:pStyle w:val="Compact"/>
              <w:jc w:val="right"/>
            </w:pPr>
            <w:r>
              <w:t xml:space="preserve">1.5</w:t>
            </w:r>
          </w:p>
        </w:tc>
        <w:tc>
          <w:tcPr/>
          <w:p>
            <w:pPr>
              <w:pStyle w:val="Compact"/>
              <w:jc w:val="right"/>
            </w:pPr>
            <w:r>
              <w:t xml:space="preserve">1.4</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1.7</w:t>
            </w:r>
          </w:p>
        </w:tc>
        <w:tc>
          <w:tcPr/>
          <w:p>
            <w:pPr>
              <w:pStyle w:val="Compact"/>
              <w:jc w:val="right"/>
            </w:pPr>
            <w:r>
              <w:t xml:space="preserve">1.6</w:t>
            </w:r>
          </w:p>
        </w:tc>
        <w:tc>
          <w:tcPr/>
          <w:p>
            <w:pPr>
              <w:pStyle w:val="Compact"/>
              <w:jc w:val="right"/>
            </w:pPr>
            <w:r>
              <w:t xml:space="preserve">1.7</w:t>
            </w:r>
          </w:p>
        </w:tc>
      </w:tr>
      <w:tr>
        <w:tc>
          <w:tcPr/>
          <w:p>
            <w:pPr>
              <w:pStyle w:val="Compact"/>
              <w:jc w:val="left"/>
            </w:pPr>
            <w:r>
              <w:t xml:space="preserve">Samoa</w:t>
            </w:r>
          </w:p>
        </w:tc>
        <w:tc>
          <w:tcPr/>
          <w:p>
            <w:pPr>
              <w:pStyle w:val="Compact"/>
              <w:jc w:val="right"/>
            </w:pPr>
            <w:r>
              <w:t xml:space="preserve">0.7</w:t>
            </w:r>
          </w:p>
        </w:tc>
        <w:tc>
          <w:tcPr/>
          <w:p>
            <w:pPr>
              <w:pStyle w:val="Compact"/>
              <w:jc w:val="right"/>
            </w:pPr>
            <w:r>
              <w:t xml:space="preserve">1.3</w:t>
            </w:r>
          </w:p>
        </w:tc>
        <w:tc>
          <w:tcPr/>
          <w:p>
            <w:pPr>
              <w:pStyle w:val="Compact"/>
              <w:jc w:val="right"/>
            </w:pPr>
            <w:r>
              <w:t xml:space="preserve">0.7</w:t>
            </w:r>
          </w:p>
        </w:tc>
        <w:tc>
          <w:tcPr/>
          <w:p>
            <w:pPr>
              <w:pStyle w:val="Compact"/>
              <w:jc w:val="right"/>
            </w:pPr>
            <w:r>
              <w:t xml:space="preserve">1.2</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r>
      <w:tr>
        <w:tc>
          <w:tcPr/>
          <w:p>
            <w:pPr>
              <w:pStyle w:val="Compact"/>
              <w:jc w:val="left"/>
            </w:pPr>
            <w:r>
              <w:t xml:space="preserve">Niue</w:t>
            </w:r>
          </w:p>
        </w:tc>
        <w:tc>
          <w:tcPr/>
          <w:p>
            <w:pPr>
              <w:pStyle w:val="Compact"/>
              <w:jc w:val="right"/>
            </w:pPr>
            <w:r>
              <w:t xml:space="preserve">0.8</w:t>
            </w:r>
          </w:p>
        </w:tc>
        <w:tc>
          <w:tcPr/>
          <w:p>
            <w:pPr>
              <w:pStyle w:val="Compact"/>
              <w:jc w:val="right"/>
            </w:pPr>
            <w:r>
              <w:t xml:space="preserve">0.7</w:t>
            </w:r>
          </w:p>
        </w:tc>
        <w:tc>
          <w:tcPr/>
          <w:p>
            <w:pPr>
              <w:pStyle w:val="Compact"/>
              <w:jc w:val="right"/>
            </w:pPr>
            <w:r>
              <w:t xml:space="preserve">0.7</w:t>
            </w:r>
          </w:p>
        </w:tc>
        <w:tc>
          <w:tcPr/>
          <w:p>
            <w:pPr>
              <w:pStyle w:val="Compact"/>
              <w:jc w:val="right"/>
            </w:pPr>
            <w:r>
              <w:t xml:space="preserve">1.0</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1.2</w:t>
            </w:r>
          </w:p>
        </w:tc>
        <w:tc>
          <w:tcPr/>
          <w:p>
            <w:pPr>
              <w:pStyle w:val="Compact"/>
              <w:jc w:val="right"/>
            </w:pPr>
            <w:r>
              <w:t xml:space="preserve">1.1</w:t>
            </w:r>
          </w:p>
        </w:tc>
        <w:tc>
          <w:tcPr/>
          <w:p>
            <w:pPr>
              <w:pStyle w:val="Compact"/>
              <w:jc w:val="right"/>
            </w:pPr>
            <w:r>
              <w:t xml:space="preserve">1.1</w:t>
            </w:r>
          </w:p>
        </w:tc>
        <w:tc>
          <w:tcPr/>
          <w:p>
            <w:pPr>
              <w:pStyle w:val="Compact"/>
              <w:jc w:val="right"/>
            </w:pPr>
            <w:r>
              <w:t xml:space="preserve">1.1</w:t>
            </w:r>
          </w:p>
        </w:tc>
      </w:tr>
      <w:tr>
        <w:tc>
          <w:tcPr/>
          <w:p>
            <w:pPr>
              <w:pStyle w:val="Compact"/>
              <w:jc w:val="left"/>
            </w:pPr>
            <w:r>
              <w:t xml:space="preserve">Total</w:t>
            </w:r>
          </w:p>
        </w:tc>
        <w:tc>
          <w:tcPr/>
          <w:p>
            <w:pPr>
              <w:pStyle w:val="Compact"/>
              <w:jc w:val="right"/>
            </w:pPr>
            <w:r>
              <w:t xml:space="preserve">370.6</w:t>
            </w:r>
          </w:p>
        </w:tc>
        <w:tc>
          <w:tcPr/>
          <w:p>
            <w:pPr>
              <w:pStyle w:val="Compact"/>
              <w:jc w:val="right"/>
            </w:pPr>
            <w:r>
              <w:t xml:space="preserve">454.4</w:t>
            </w:r>
          </w:p>
        </w:tc>
        <w:tc>
          <w:tcPr/>
          <w:p>
            <w:pPr>
              <w:pStyle w:val="Compact"/>
              <w:jc w:val="right"/>
            </w:pPr>
            <w:r>
              <w:t xml:space="preserve">446.5</w:t>
            </w:r>
          </w:p>
        </w:tc>
        <w:tc>
          <w:tcPr/>
          <w:p>
            <w:pPr>
              <w:pStyle w:val="Compact"/>
              <w:jc w:val="right"/>
            </w:pPr>
            <w:r>
              <w:t xml:space="preserve">496.1</w:t>
            </w:r>
          </w:p>
        </w:tc>
        <w:tc>
          <w:tcPr/>
          <w:p>
            <w:pPr>
              <w:pStyle w:val="Compact"/>
              <w:jc w:val="right"/>
            </w:pPr>
            <w:r>
              <w:t xml:space="preserve">496.9</w:t>
            </w:r>
          </w:p>
        </w:tc>
        <w:tc>
          <w:tcPr/>
          <w:p>
            <w:pPr>
              <w:pStyle w:val="Compact"/>
              <w:jc w:val="right"/>
            </w:pPr>
            <w:r>
              <w:t xml:space="preserve">490.3</w:t>
            </w:r>
          </w:p>
        </w:tc>
        <w:tc>
          <w:tcPr/>
          <w:p>
            <w:pPr>
              <w:pStyle w:val="Compact"/>
              <w:jc w:val="right"/>
            </w:pPr>
            <w:r>
              <w:t xml:space="preserve">481.0</w:t>
            </w:r>
          </w:p>
        </w:tc>
        <w:tc>
          <w:tcPr/>
          <w:p>
            <w:pPr>
              <w:pStyle w:val="Compact"/>
              <w:jc w:val="right"/>
            </w:pPr>
            <w:r>
              <w:t xml:space="preserve">483.5</w:t>
            </w:r>
          </w:p>
        </w:tc>
        <w:tc>
          <w:tcPr/>
          <w:p>
            <w:pPr>
              <w:pStyle w:val="Compact"/>
              <w:jc w:val="right"/>
            </w:pPr>
            <w:r>
              <w:t xml:space="preserve">458.3</w:t>
            </w:r>
          </w:p>
        </w:tc>
        <w:tc>
          <w:tcPr/>
          <w:p>
            <w:pPr>
              <w:pStyle w:val="Compact"/>
              <w:jc w:val="right"/>
            </w:pPr>
            <w:r>
              <w:t xml:space="preserve">459.0</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25"/>
    <w:bookmarkStart w:id="28" w:name="markets-in-biodiversity"/>
    <w:p>
      <w:pPr>
        <w:pStyle w:val="Heading2"/>
      </w:pPr>
      <w:r>
        <w:rPr>
          <w:rStyle w:val="SectionNumber"/>
        </w:rPr>
        <w:t xml:space="preserve">1.4</w:t>
      </w:r>
      <w:r>
        <w:tab/>
      </w: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26"/>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“Blue Bonds for Ocean Conservation”</w:t>
      </w:r>
      <w:r>
        <w:rPr>
          <w:i/>
          <w:iCs/>
        </w:rPr>
        <w:t xml:space="preserve"> </w:t>
      </w:r>
      <w:r>
        <w:rPr>
          <w:i/>
          <w:iCs/>
        </w:rPr>
        <w:t xml:space="preserve">program, or the</w:t>
      </w:r>
      <w:r>
        <w:rPr>
          <w:i/>
          <w:iCs/>
        </w:rPr>
        <w:t xml:space="preserve"> </w:t>
      </w:r>
      <w:r>
        <w:rPr>
          <w:i/>
          <w:iCs/>
        </w:rPr>
        <w:t xml:space="preserve">“Ocean Conservation Commitments”</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27">
        <w:r>
          <w:rPr>
            <w:rStyle w:val="Hyperlink"/>
          </w:rPr>
          <w:t xml:space="preserve">Villasenor-Derbez, Costello, and Plantinga, 2024</w:t>
        </w:r>
      </w:hyperlink>
      <w:r>
        <w:t xml:space="preserve">)</w:t>
      </w:r>
    </w:p>
    <w:bookmarkEnd w:id="28"/>
    <w:bookmarkEnd w:id="29"/>
    <w:bookmarkStart w:id="39" w:name="X68c90b57aa3093575a5a1875ca7a0c1b5d2c619"/>
    <w:p>
      <w:pPr>
        <w:pStyle w:val="Heading1"/>
      </w:pPr>
      <w:r>
        <w:rPr>
          <w:rStyle w:val="SectionNumber"/>
        </w:rPr>
        <w:t xml:space="preserve">2</w:t>
      </w:r>
      <w:r>
        <w:tab/>
      </w: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2"/>
        </w:numPr>
      </w:pPr>
      <w:r>
        <w:t xml:space="preserve">the physical flows of materials and energy within the economy and between the economy and the environment;</w:t>
      </w:r>
    </w:p>
    <w:p>
      <w:pPr>
        <w:numPr>
          <w:ilvl w:val="0"/>
          <w:numId w:val="1002"/>
        </w:numPr>
      </w:pPr>
      <w:r>
        <w:t xml:space="preserve">the stocks of environmental assets and changes in these stocks; and</w:t>
      </w:r>
    </w:p>
    <w:p>
      <w:pPr>
        <w:numPr>
          <w:ilvl w:val="0"/>
          <w:numId w:val="1002"/>
        </w:numPr>
      </w:pPr>
      <w:r>
        <w:t xml:space="preserve">economic activity and transactions related to the environment.</w:t>
      </w:r>
    </w:p>
    <w:bookmarkStart w:id="34" w:name="economy-and-environment-dependency"/>
    <w:p>
      <w:pPr>
        <w:pStyle w:val="Heading2"/>
      </w:pPr>
      <w:r>
        <w:rPr>
          <w:rStyle w:val="SectionNumber"/>
        </w:rPr>
        <w:t xml:space="preserve">2.1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“stocks”</w:t>
      </w:r>
      <w:r>
        <w:t xml:space="preserve"> </w:t>
      </w:r>
      <w:r>
        <w:t xml:space="preserve">and</w:t>
      </w:r>
      <w:r>
        <w:t xml:space="preserve"> </w:t>
      </w:r>
      <w:r>
        <w:t xml:space="preserve">“flows”</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3"/>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3"/>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1: Physical flows of natural inputs, products and residuals" title="" id="31" name="Picture"/>
            <a:graphic>
              <a:graphicData uri="http://schemas.openxmlformats.org/drawingml/2006/picture">
                <pic:pic>
                  <pic:nvPicPr>
                    <pic:cNvPr descr="Graphical_Output/Physical%20flows%20of%20natural%20inputs,%20products%20and%20residuals.png" id="32" name="Picture"/>
                    <pic:cNvPicPr>
                      <a:picLocks noChangeArrowheads="1" noChangeAspect="1"/>
                    </pic:cNvPicPr>
                  </pic:nvPicPr>
                  <pic:blipFill>
                    <a:blip r:embed="rId30"/>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33" w:name="fig:unnamed-chunk-1"/>
      <w:bookmarkEnd w:id="33"/>
      <w:r>
        <w:t xml:space="preserve">Figure 1: Physical flows of natural inputs, products and residuals</w:t>
      </w:r>
    </w:p>
    <w:bookmarkEnd w:id="34"/>
    <w:bookmarkStart w:id="38" w:name="X64596ffeb4361bde35d006e46387200267cfe41"/>
    <w:p>
      <w:pPr>
        <w:pStyle w:val="Heading2"/>
      </w:pPr>
      <w:r>
        <w:rPr>
          <w:rStyle w:val="SectionNumber"/>
        </w:rPr>
        <w:t xml:space="preserve">2.2</w:t>
      </w:r>
      <w:r>
        <w:tab/>
      </w:r>
      <w:r>
        <w:t xml:space="preserve">Environmental assets and ecosystem services: Terminology</w:t>
      </w:r>
    </w:p>
    <w:p>
      <w:pPr>
        <w:numPr>
          <w:ilvl w:val="0"/>
          <w:numId w:val="1004"/>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35"/>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4"/>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4"/>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37"/>
      </w:r>
      <w:r>
        <w:t xml:space="preserve"> </w:t>
      </w:r>
      <w:r>
        <w:t xml:space="preserve">Ecosystems make three types of contributions to economic and other human activity:</w:t>
      </w:r>
    </w:p>
    <w:p>
      <w:pPr>
        <w:numPr>
          <w:ilvl w:val="1"/>
          <w:numId w:val="1005"/>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5"/>
        </w:numPr>
      </w:pPr>
      <w:r>
        <w:rPr>
          <w:i/>
          <w:iCs/>
        </w:rPr>
        <w:t xml:space="preserve">Regulating services</w:t>
      </w:r>
      <w:r>
        <w:t xml:space="preserve"> </w:t>
      </w:r>
      <w:r>
        <w:t xml:space="preserve">(provided, for example, by forests when they act as a sink for carbon); and</w:t>
      </w:r>
    </w:p>
    <w:p>
      <w:pPr>
        <w:numPr>
          <w:ilvl w:val="1"/>
          <w:numId w:val="1005"/>
        </w:numPr>
      </w:pPr>
      <w:r>
        <w:rPr>
          <w:i/>
          <w:iCs/>
        </w:rPr>
        <w:t xml:space="preserve">Cultural services</w:t>
      </w:r>
      <w:r>
        <w:t xml:space="preserve"> </w:t>
      </w:r>
      <w:r>
        <w:t xml:space="preserve">(such as the enjoyment provided to visitors to a national park).</w:t>
      </w:r>
    </w:p>
    <w:p>
      <w:pPr>
        <w:numPr>
          <w:ilvl w:val="0"/>
          <w:numId w:val="1004"/>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6"/>
        </w:numPr>
      </w:pPr>
      <w:r>
        <w:t xml:space="preserve">Natural resource inputs, such as mineral and energy resources or timber resources,</w:t>
      </w:r>
    </w:p>
    <w:p>
      <w:pPr>
        <w:numPr>
          <w:ilvl w:val="1"/>
          <w:numId w:val="1006"/>
        </w:numPr>
      </w:pPr>
      <w:r>
        <w:t xml:space="preserve">Inputs from renewable energy sources, such as solar energy captured by economic units, or</w:t>
      </w:r>
    </w:p>
    <w:p>
      <w:pPr>
        <w:numPr>
          <w:ilvl w:val="1"/>
          <w:numId w:val="1006"/>
        </w:numPr>
      </w:pPr>
      <w:r>
        <w:t xml:space="preserve">Other natural inputs such as inputs from soil (e.g., soil nutrients) and inputs from air (e.g., oxygen absorbed in combustion processes).</w:t>
      </w:r>
    </w:p>
    <w:p>
      <w:pPr>
        <w:numPr>
          <w:ilvl w:val="0"/>
          <w:numId w:val="1004"/>
        </w:numPr>
      </w:pPr>
      <w:r>
        <w:rPr>
          <w:i/>
          <w:iCs/>
        </w:rPr>
        <w:t xml:space="preserve">Products</w:t>
      </w:r>
      <w:r>
        <w:t xml:space="preserve"> </w:t>
      </w:r>
      <w:r>
        <w:t xml:space="preserve">are goods and services that result from a process of production in the economy.</w:t>
      </w:r>
    </w:p>
    <w:p>
      <w:pPr>
        <w:numPr>
          <w:ilvl w:val="0"/>
          <w:numId w:val="1004"/>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38"/>
    <w:bookmarkEnd w:id="39"/>
    <w:bookmarkStart w:id="54"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7"/>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40"/>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2: Physical Supply and Use Table" title="" id="42" name="Picture"/>
            <a:graphic>
              <a:graphicData uri="http://schemas.openxmlformats.org/drawingml/2006/picture">
                <pic:pic>
                  <pic:nvPicPr>
                    <pic:cNvPr descr="Graphical_Output/Physical_SUT.png" id="43" name="Picture"/>
                    <pic:cNvPicPr>
                      <a:picLocks noChangeArrowheads="1" noChangeAspect="1"/>
                    </pic:cNvPicPr>
                  </pic:nvPicPr>
                  <pic:blipFill>
                    <a:blip r:embed="rId41"/>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44" w:name="fig:unnamed-chunk-2"/>
      <w:bookmarkEnd w:id="44"/>
      <w:r>
        <w:t xml:space="preserve">Figure 2: Physical Supply and Use Table</w:t>
      </w:r>
    </w:p>
    <w:p>
      <w:pPr>
        <w:numPr>
          <w:ilvl w:val="0"/>
          <w:numId w:val="1008"/>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3: Connections between supply and use tables and asset accounts" title="" id="46" name="Picture"/>
            <a:graphic>
              <a:graphicData uri="http://schemas.openxmlformats.org/drawingml/2006/picture">
                <pic:pic>
                  <pic:nvPicPr>
                    <pic:cNvPr descr="Graphical_Output/PSUT_and_Asset_Accounts.png" id="47" name="Picture"/>
                    <pic:cNvPicPr>
                      <a:picLocks noChangeArrowheads="1" noChangeAspect="1"/>
                    </pic:cNvPicPr>
                  </pic:nvPicPr>
                  <pic:blipFill>
                    <a:blip r:embed="rId45"/>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48" w:name="fig:unnamed-chunk-3"/>
      <w:bookmarkEnd w:id="48"/>
      <w:r>
        <w:t xml:space="preserve">Figure 3: Connections between supply and use tables and asset accounts</w:t>
      </w:r>
    </w:p>
    <w:p>
      <w:pPr>
        <w:numPr>
          <w:ilvl w:val="0"/>
          <w:numId w:val="1009"/>
        </w:numPr>
      </w:pPr>
      <w:r>
        <w:t xml:space="preserve">A sequence of economic accounts highlighting depletion-adjusted economic aggregates; and</w:t>
      </w:r>
    </w:p>
    <w:p>
      <w:pPr>
        <w:numPr>
          <w:ilvl w:val="0"/>
          <w:numId w:val="1009"/>
        </w:numPr>
      </w:pPr>
      <w:r>
        <w:t xml:space="preserve">Functional accounts recording transactions and other information about economic activities undertaken for environmental purposes.</w:t>
      </w:r>
    </w:p>
    <w:bookmarkStart w:id="53" w:name="other-technical-bits"/>
    <w:p>
      <w:pPr>
        <w:pStyle w:val="Heading2"/>
      </w:pPr>
      <w:r>
        <w:rPr>
          <w:rStyle w:val="SectionNumber"/>
        </w:rPr>
        <w:t xml:space="preserve">2.3</w:t>
      </w:r>
      <w:r>
        <w:tab/>
      </w:r>
      <w:r>
        <w:t xml:space="preserve">Other technical bits</w:t>
      </w:r>
    </w:p>
    <w:bookmarkStart w:id="49" w:name="Xbb2c4b96dea24fa4f80815829416eba5ddaba18"/>
    <w:p>
      <w:pPr>
        <w:pStyle w:val="Heading3"/>
      </w:pPr>
      <w:r>
        <w:rPr>
          <w:rStyle w:val="SectionNumber"/>
        </w:rPr>
        <w:t xml:space="preserve">2.3.1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49"/>
    <w:bookmarkStart w:id="50" w:name="Xf2cdd3791669a4d97801d7fdb11291fc551e133"/>
    <w:p>
      <w:pPr>
        <w:pStyle w:val="Heading3"/>
      </w:pPr>
      <w:r>
        <w:rPr>
          <w:rStyle w:val="SectionNumber"/>
        </w:rPr>
        <w:t xml:space="preserve">2.3.2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50"/>
    <w:bookmarkStart w:id="51" w:name="Xba7bea4e64f02992df7bde36d92f21dd90169a9"/>
    <w:p>
      <w:pPr>
        <w:pStyle w:val="Heading3"/>
      </w:pPr>
      <w:r>
        <w:rPr>
          <w:rStyle w:val="SectionNumber"/>
        </w:rPr>
        <w:t xml:space="preserve">2.3.3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51"/>
    <w:bookmarkStart w:id="52" w:name="X15249a7bfc0eff46260a4bf04d5017d7457388c"/>
    <w:p>
      <w:pPr>
        <w:pStyle w:val="Heading3"/>
      </w:pPr>
      <w:r>
        <w:rPr>
          <w:rStyle w:val="SectionNumber"/>
        </w:rPr>
        <w:t xml:space="preserve">2.3.4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0"/>
        </w:numPr>
      </w:pPr>
      <w:r>
        <w:t xml:space="preserve">Units intending to operate in a country for less than a year, for example, specialized construction firms or aid and relief agencies. These are considered residents of their home country;</w:t>
      </w:r>
    </w:p>
    <w:p>
      <w:pPr>
        <w:numPr>
          <w:ilvl w:val="0"/>
          <w:numId w:val="1010"/>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0"/>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52"/>
    <w:bookmarkEnd w:id="53"/>
    <w:bookmarkEnd w:id="54"/>
    <w:bookmarkStart w:id="62" w:name="physical-flow-metrics"/>
    <w:p>
      <w:pPr>
        <w:pStyle w:val="Heading1"/>
      </w:pPr>
      <w:r>
        <w:rPr>
          <w:rStyle w:val="SectionNumber"/>
        </w:rPr>
        <w:t xml:space="preserve">3</w:t>
      </w:r>
      <w:r>
        <w:tab/>
      </w:r>
      <w:r>
        <w:t xml:space="preserve">Physical flow metrics</w:t>
      </w:r>
    </w:p>
    <w:p>
      <w:pPr>
        <w:pStyle w:val="FirstParagraph"/>
      </w:pPr>
      <w:r>
        <w:t xml:space="preserve">Related to the three metrics of energy, water and product. I’m just focusing on the ocean related dimensions.</w:t>
      </w:r>
    </w:p>
    <w:bookmarkStart w:id="59" w:name="physical-flow-accounts-for-energy"/>
    <w:p>
      <w:pPr>
        <w:pStyle w:val="Heading2"/>
      </w:pPr>
      <w:r>
        <w:t xml:space="preserve">Physical flow accounts for energy</w:t>
      </w:r>
    </w:p>
    <w:bookmarkStart w:id="55" w:name="Xebb460e92213afb186c8ff8d50a40711354bcfd"/>
    <w:p>
      <w:pPr>
        <w:pStyle w:val="Heading3"/>
      </w:pPr>
      <w:r>
        <w:rPr>
          <w:rStyle w:val="SectionNumber"/>
        </w:rPr>
        <w:t xml:space="preserve">3.0.1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1"/>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1"/>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55"/>
    <w:bookmarkStart w:id="56" w:name="tourist-activity"/>
    <w:p>
      <w:pPr>
        <w:pStyle w:val="Heading3"/>
      </w:pPr>
      <w:r>
        <w:rPr>
          <w:rStyle w:val="SectionNumber"/>
        </w:rPr>
        <w:t xml:space="preserve">3.0.2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56"/>
    <w:bookmarkStart w:id="57" w:name="illegal-harvesting"/>
    <w:p>
      <w:pPr>
        <w:pStyle w:val="Heading3"/>
      </w:pPr>
      <w:r>
        <w:rPr>
          <w:rStyle w:val="SectionNumber"/>
        </w:rPr>
        <w:t xml:space="preserve">3.0.3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57"/>
    <w:bookmarkStart w:id="58" w:name="X6604d7e576535eae4018b1c6bb60377755daba9"/>
    <w:p>
      <w:pPr>
        <w:pStyle w:val="Heading3"/>
      </w:pPr>
      <w:r>
        <w:rPr>
          <w:rStyle w:val="SectionNumber"/>
        </w:rPr>
        <w:t xml:space="preserve">3.0.4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2"/>
        </w:numPr>
      </w:pPr>
      <w:r>
        <w:t xml:space="preserve">returned to the original country,</w:t>
      </w:r>
    </w:p>
    <w:p>
      <w:pPr>
        <w:numPr>
          <w:ilvl w:val="0"/>
          <w:numId w:val="1012"/>
        </w:numPr>
      </w:pPr>
      <w:r>
        <w:t xml:space="preserve">sold in the processing country or</w:t>
      </w:r>
    </w:p>
    <w:p>
      <w:pPr>
        <w:numPr>
          <w:ilvl w:val="0"/>
          <w:numId w:val="1012"/>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58"/>
    <w:bookmarkEnd w:id="59"/>
    <w:bookmarkStart w:id="60"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3"/>
        </w:numPr>
      </w:pPr>
      <w:r>
        <w:t xml:space="preserve">abstraction of water from the environment;</w:t>
      </w:r>
    </w:p>
    <w:p>
      <w:pPr>
        <w:numPr>
          <w:ilvl w:val="0"/>
          <w:numId w:val="1013"/>
        </w:numPr>
      </w:pPr>
      <w:r>
        <w:t xml:space="preserve">distribution and use of abstracted water across enterprises and households;</w:t>
      </w:r>
    </w:p>
    <w:p>
      <w:pPr>
        <w:numPr>
          <w:ilvl w:val="0"/>
          <w:numId w:val="1013"/>
        </w:numPr>
      </w:pPr>
      <w:r>
        <w:t xml:space="preserve">flows of wastewater and reused water (between households and enterprises);</w:t>
      </w:r>
    </w:p>
    <w:p>
      <w:pPr>
        <w:numPr>
          <w:ilvl w:val="0"/>
          <w:numId w:val="1013"/>
        </w:numPr>
      </w:pPr>
      <w:r>
        <w:t xml:space="preserve">return flows of water to the environment; and</w:t>
      </w:r>
    </w:p>
    <w:p>
      <w:pPr>
        <w:numPr>
          <w:ilvl w:val="0"/>
          <w:numId w:val="1013"/>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4"/>
        </w:numPr>
      </w:pPr>
      <w:r>
        <w:t xml:space="preserve">ISIC divisions 01-03: Agriculture, forestry and fishing (it may be relevant to distinguish among the uses of water by these different industries)</w:t>
      </w:r>
    </w:p>
    <w:p>
      <w:pPr>
        <w:numPr>
          <w:ilvl w:val="0"/>
          <w:numId w:val="1014"/>
        </w:numPr>
      </w:pPr>
      <w:r>
        <w:t xml:space="preserve">ISIC divisions 05-33 and 41: Mining and quarrying; manufacturing; and construction, respectively</w:t>
      </w:r>
    </w:p>
    <w:p>
      <w:pPr>
        <w:numPr>
          <w:ilvl w:val="0"/>
          <w:numId w:val="1014"/>
        </w:numPr>
      </w:pPr>
      <w:r>
        <w:t xml:space="preserve">ISIC division 35: Electricity, gas, steam and air conditioning supply</w:t>
      </w:r>
    </w:p>
    <w:p>
      <w:pPr>
        <w:numPr>
          <w:ilvl w:val="0"/>
          <w:numId w:val="1014"/>
        </w:numPr>
      </w:pPr>
      <w:r>
        <w:t xml:space="preserve">ISIC division 36: Water collection, treatment and supply; sewerage, waste management and remediation activities</w:t>
      </w:r>
    </w:p>
    <w:p>
      <w:pPr>
        <w:numPr>
          <w:ilvl w:val="0"/>
          <w:numId w:val="1014"/>
        </w:numPr>
      </w:pPr>
      <w:r>
        <w:t xml:space="preserve">ISIC division 37: Sewerage</w:t>
      </w:r>
    </w:p>
    <w:p>
      <w:pPr>
        <w:numPr>
          <w:ilvl w:val="0"/>
          <w:numId w:val="1014"/>
        </w:numPr>
      </w:pPr>
      <w:r>
        <w:t xml:space="preserve">ISIC divisions: 38, 39 and 45-99: Other industries</w:t>
      </w:r>
    </w:p>
    <w:bookmarkEnd w:id="60"/>
    <w:bookmarkStart w:id="61"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5"/>
        </w:numPr>
      </w:pPr>
      <w:r>
        <w:t xml:space="preserve">product flow accounting,</w:t>
      </w:r>
    </w:p>
    <w:p>
      <w:pPr>
        <w:numPr>
          <w:ilvl w:val="0"/>
          <w:numId w:val="1015"/>
        </w:numPr>
      </w:pPr>
      <w:r>
        <w:t xml:space="preserve">accounting for air emissions,</w:t>
      </w:r>
    </w:p>
    <w:p>
      <w:pPr>
        <w:numPr>
          <w:ilvl w:val="0"/>
          <w:numId w:val="1015"/>
        </w:numPr>
      </w:pPr>
      <w:r>
        <w:t xml:space="preserve">accounting for emissions to water and associated releases to economic units,</w:t>
      </w:r>
    </w:p>
    <w:p>
      <w:pPr>
        <w:numPr>
          <w:ilvl w:val="0"/>
          <w:numId w:val="1015"/>
        </w:numPr>
      </w:pPr>
      <w:r>
        <w:t xml:space="preserve">accounting for solid waste and</w:t>
      </w:r>
    </w:p>
    <w:p>
      <w:pPr>
        <w:numPr>
          <w:ilvl w:val="0"/>
          <w:numId w:val="1015"/>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61"/>
    <w:bookmarkEnd w:id="62"/>
    <w:bookmarkStart w:id="70"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68"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6"/>
        </w:numPr>
      </w:pPr>
      <w:r>
        <w:t xml:space="preserve">The prevention, reduction or treatment of waste and wastewater;</w:t>
      </w:r>
    </w:p>
    <w:p>
      <w:pPr>
        <w:numPr>
          <w:ilvl w:val="0"/>
          <w:numId w:val="1016"/>
        </w:numPr>
      </w:pPr>
      <w:r>
        <w:t xml:space="preserve">The prevention, reduction or elimination of air emissions;</w:t>
      </w:r>
    </w:p>
    <w:p>
      <w:pPr>
        <w:numPr>
          <w:ilvl w:val="0"/>
          <w:numId w:val="1016"/>
        </w:numPr>
      </w:pPr>
      <w:r>
        <w:t xml:space="preserve">The treatment and disposal of contaminated soil and groundwater;</w:t>
      </w:r>
    </w:p>
    <w:p>
      <w:pPr>
        <w:numPr>
          <w:ilvl w:val="0"/>
          <w:numId w:val="1016"/>
        </w:numPr>
      </w:pPr>
      <w:r>
        <w:t xml:space="preserve">The prevention or reduction of noise and vibration levels;</w:t>
      </w:r>
    </w:p>
    <w:p>
      <w:pPr>
        <w:numPr>
          <w:ilvl w:val="0"/>
          <w:numId w:val="1016"/>
        </w:numPr>
      </w:pPr>
      <w:r>
        <w:t xml:space="preserve">The protection of biodiversity and landscapes, including of their ecological functions;</w:t>
      </w:r>
    </w:p>
    <w:p>
      <w:pPr>
        <w:numPr>
          <w:ilvl w:val="0"/>
          <w:numId w:val="1016"/>
        </w:numPr>
      </w:pPr>
      <w:r>
        <w:t xml:space="preserve">Monitoring of the quality of the natural environment (air, water, soil and groundwater);</w:t>
      </w:r>
    </w:p>
    <w:p>
      <w:pPr>
        <w:numPr>
          <w:ilvl w:val="0"/>
          <w:numId w:val="1016"/>
        </w:numPr>
      </w:pPr>
      <w:r>
        <w:t xml:space="preserve">Research and development on environmental protection; and</w:t>
      </w:r>
    </w:p>
    <w:p>
      <w:pPr>
        <w:numPr>
          <w:ilvl w:val="0"/>
          <w:numId w:val="1016"/>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67" w:name="Xa03c15cce38eecbf40a7051de1f41061780082f"/>
    <w:p>
      <w:pPr>
        <w:pStyle w:val="Heading4"/>
      </w:pPr>
      <w:r>
        <w:rPr>
          <w:rStyle w:val="SectionNumber"/>
        </w:rPr>
        <w:t xml:space="preserve">3.0.4.1</w:t>
      </w:r>
      <w:r>
        <w:tab/>
      </w:r>
      <w:r>
        <w:t xml:space="preserve">Classification of environmental activities</w:t>
      </w:r>
    </w:p>
    <w:p>
      <w:pPr>
        <w:pStyle w:val="CaptionedFigure"/>
      </w:pPr>
      <w:r>
        <w:drawing>
          <wp:inline>
            <wp:extent cx="5270500" cy="3395758"/>
            <wp:effectExtent b="0" l="0" r="0" t="0"/>
            <wp:docPr descr="Figure 4: Classification of Environmental Activities: overview of groups and classes" title="" id="64" name="Picture"/>
            <a:graphic>
              <a:graphicData uri="http://schemas.openxmlformats.org/drawingml/2006/picture">
                <pic:pic>
                  <pic:nvPicPr>
                    <pic:cNvPr descr="Graphical_Output/ClassificationEnvironmentActivities.png" id="65" name="Picture"/>
                    <pic:cNvPicPr>
                      <a:picLocks noChangeArrowheads="1" noChangeAspect="1"/>
                    </pic:cNvPicPr>
                  </pic:nvPicPr>
                  <pic:blipFill>
                    <a:blip r:embed="rId63"/>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66" w:name="fig:unnamed-chunk-4"/>
      <w:bookmarkEnd w:id="66"/>
      <w:r>
        <w:t xml:space="preserve">Figure 4: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67"/>
    <w:bookmarkEnd w:id="68"/>
    <w:bookmarkStart w:id="69"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69"/>
    <w:bookmarkEnd w:id="70"/>
    <w:bookmarkStart w:id="83"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5: Classification of environmental assets in the SEEA Central Framework" title="" id="72" name="Picture"/>
            <a:graphic>
              <a:graphicData uri="http://schemas.openxmlformats.org/drawingml/2006/picture">
                <pic:pic>
                  <pic:nvPicPr>
                    <pic:cNvPr descr="Graphical_Output/ClassificationofEnvironmentalAssets.png" id="73" name="Picture"/>
                    <pic:cNvPicPr>
                      <a:picLocks noChangeArrowheads="1" noChangeAspect="1"/>
                    </pic:cNvPicPr>
                  </pic:nvPicPr>
                  <pic:blipFill>
                    <a:blip r:embed="rId71"/>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74" w:name="fig:unnamed-chunk-5"/>
      <w:bookmarkEnd w:id="74"/>
      <w:r>
        <w:t xml:space="preserve">Figure 5: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6: General structure of the physical asset account for environmental assets (physical units)" title="" id="76" name="Picture"/>
            <a:graphic>
              <a:graphicData uri="http://schemas.openxmlformats.org/drawingml/2006/picture">
                <pic:pic>
                  <pic:nvPicPr>
                    <pic:cNvPr descr="Graphical_Output/Structure%20of%20physical%20assets%20accounts.png" id="77" name="Picture"/>
                    <pic:cNvPicPr>
                      <a:picLocks noChangeArrowheads="1" noChangeAspect="1"/>
                    </pic:cNvPicPr>
                  </pic:nvPicPr>
                  <pic:blipFill>
                    <a:blip r:embed="rId75"/>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78" w:name="fig:unnamed-chunk-6"/>
      <w:bookmarkEnd w:id="78"/>
      <w:r>
        <w:t xml:space="preserve">Figure 6: General structure of the physical asset account for environmental assets (physical units)</w:t>
      </w:r>
    </w:p>
    <w:bookmarkStart w:id="79"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79"/>
    <w:bookmarkStart w:id="80"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80"/>
    <w:bookmarkStart w:id="81"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“return to produced assets”</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81"/>
    <w:bookmarkStart w:id="82"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7"/>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7"/>
        </w:numPr>
      </w:pPr>
      <w:r>
        <w:t xml:space="preserve">Estimate resource rent as GOS less specific subsidies plus specific taxes less user cost of produced assets;</w:t>
      </w:r>
    </w:p>
    <w:p>
      <w:pPr>
        <w:numPr>
          <w:ilvl w:val="0"/>
          <w:numId w:val="1017"/>
        </w:numPr>
      </w:pPr>
      <w:r>
        <w:t xml:space="preserve">Estimate the asset life based on physical assessment of the stock and projected rates of extraction and growth;</w:t>
      </w:r>
    </w:p>
    <w:p>
      <w:pPr>
        <w:numPr>
          <w:ilvl w:val="0"/>
          <w:numId w:val="1017"/>
        </w:numPr>
      </w:pPr>
      <w:r>
        <w:t xml:space="preserve">Project the estimate of resource rent over the life of the asset, taking into account any expected changes in extraction pattern;</w:t>
      </w:r>
    </w:p>
    <w:p>
      <w:pPr>
        <w:numPr>
          <w:ilvl w:val="0"/>
          <w:numId w:val="1017"/>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sepChr m:val=""/>
                        <m:endChr m:val=")"/>
                        <m:grow/>
                      </m:dPr>
                      <m:e>
                        <m:r>
                          <m:t>1</m:t>
                        </m:r>
                        <m:r>
                          <m:rPr>
                            <m:sty m:val="p"/>
                          </m:rPr>
                          <m:t>+</m:t>
                        </m:r>
                        <m:sSub>
                          <m:e>
                            <m:r>
                              <m:t>r</m:t>
                            </m:r>
                          </m:e>
                          <m:sub>
                            <m:r>
                              <m:t>t</m:t>
                            </m:r>
                          </m:sub>
                        </m:sSub>
                      </m:e>
                    </m:d>
                  </m:e>
                  <m:sup>
                    <m:r>
                      <m:t>τ</m:t>
                    </m:r>
                  </m:sup>
                </m:sSup>
              </m:den>
            </m:f>
          </m:e>
        </m:nary>
      </m:oMath>
    </w:p>
    <w:p>
      <w:r>
        <w:br w:type="page"/>
      </w:r>
    </w:p>
    <w:bookmarkEnd w:id="82"/>
    <w:bookmarkEnd w:id="83"/>
    <w:bookmarkStart w:id="84"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8"/>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8"/>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8"/>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84"/>
    <w:bookmarkStart w:id="96"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“land”</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7: Land use classification" title="" id="86" name="Picture"/>
            <a:graphic>
              <a:graphicData uri="http://schemas.openxmlformats.org/drawingml/2006/picture">
                <pic:pic>
                  <pic:nvPicPr>
                    <pic:cNvPr descr="Graphical_Output/LandUse.png" id="87" name="Picture"/>
                    <pic:cNvPicPr>
                      <a:picLocks noChangeArrowheads="1" noChangeAspect="1"/>
                    </pic:cNvPicPr>
                  </pic:nvPicPr>
                  <pic:blipFill>
                    <a:blip r:embed="rId85"/>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88" w:name="fig:unnamed-chunk-7"/>
      <w:bookmarkEnd w:id="88"/>
      <w:r>
        <w:t xml:space="preserve">Figure 7: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8: Land cover classification" title="" id="90" name="Picture"/>
            <a:graphic>
              <a:graphicData uri="http://schemas.openxmlformats.org/drawingml/2006/picture">
                <pic:pic>
                  <pic:nvPicPr>
                    <pic:cNvPr descr="Graphical_Output/LandcoverClassification.png" id="91" name="Picture"/>
                    <pic:cNvPicPr>
                      <a:picLocks noChangeArrowheads="1" noChangeAspect="1"/>
                    </pic:cNvPicPr>
                  </pic:nvPicPr>
                  <pic:blipFill>
                    <a:blip r:embed="rId89"/>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92" w:name="fig:unnamed-chunk-8"/>
      <w:bookmarkEnd w:id="92"/>
      <w:r>
        <w:t xml:space="preserve">Figure 8: Land cover classification</w:t>
      </w:r>
    </w:p>
    <w:p>
      <w:pPr>
        <w:pStyle w:val="BodyText"/>
      </w:pPr>
      <w:r>
        <w:drawing>
          <wp:inline>
            <wp:extent cx="5270500" cy="2552611"/>
            <wp:effectExtent b="0" l="0" r="0" t="0"/>
            <wp:docPr descr="Figure 9: Physical account for land cover (hectares)" title="" id="94" name="Picture"/>
            <a:graphic>
              <a:graphicData uri="http://schemas.openxmlformats.org/drawingml/2006/picture">
                <pic:pic>
                  <pic:nvPicPr>
                    <pic:cNvPr descr="Graphical_Output/Physical_Account_for_Land.png" id="95" name="Picture"/>
                    <pic:cNvPicPr>
                      <a:picLocks noChangeArrowheads="1" noChangeAspect="1"/>
                    </pic:cNvPicPr>
                  </pic:nvPicPr>
                  <pic:blipFill>
                    <a:blip r:embed="rId93"/>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96"/>
    <w:bookmarkStart w:id="113"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97"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97"/>
    <w:bookmarkStart w:id="102"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0: Physical asset account for aquatic resources (tonnes)" title="" id="99" name="Picture"/>
            <a:graphic>
              <a:graphicData uri="http://schemas.openxmlformats.org/drawingml/2006/picture">
                <pic:pic>
                  <pic:nvPicPr>
                    <pic:cNvPr descr="Graphical_Output/Aquatic_Physical_Asset_Accounts.png" id="100" name="Picture"/>
                    <pic:cNvPicPr>
                      <a:picLocks noChangeArrowheads="1" noChangeAspect="1"/>
                    </pic:cNvPicPr>
                  </pic:nvPicPr>
                  <pic:blipFill>
                    <a:blip r:embed="rId98"/>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01" w:name="fig:unnamed-chunk-10"/>
      <w:bookmarkEnd w:id="101"/>
      <w:r>
        <w:t xml:space="preserve">Figure 10: Physical asset account for aquatic resources (tonnes)</w:t>
      </w:r>
    </w:p>
    <w:bookmarkEnd w:id="102"/>
    <w:bookmarkStart w:id="103"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“stock”</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03"/>
    <w:bookmarkStart w:id="108"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1: Catch concepts: a diagrammatic presentation" title="" id="105" name="Picture"/>
            <a:graphic>
              <a:graphicData uri="http://schemas.openxmlformats.org/drawingml/2006/picture">
                <pic:pic>
                  <pic:nvPicPr>
                    <pic:cNvPr descr="Graphical_Output/SEEA_AnnexA5_4.png" id="106" name="Picture"/>
                    <pic:cNvPicPr>
                      <a:picLocks noChangeArrowheads="1" noChangeAspect="1"/>
                    </pic:cNvPicPr>
                  </pic:nvPicPr>
                  <pic:blipFill>
                    <a:blip r:embed="rId104"/>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07" w:name="fig:SEEAAnnexA54"/>
      <w:bookmarkEnd w:id="107"/>
      <w:r>
        <w:t xml:space="preserve">Figure 11: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11</w:t>
      </w:r>
      <w:r>
        <w:t xml:space="preserve">.</w:t>
      </w:r>
    </w:p>
    <w:p>
      <w:pPr>
        <w:numPr>
          <w:ilvl w:val="0"/>
          <w:numId w:val="1019"/>
        </w:numPr>
      </w:pPr>
      <w:r>
        <w:t xml:space="preserve">Gross removal: the total live weight of fish caught or killed during fishing operations;</w:t>
      </w:r>
    </w:p>
    <w:p>
      <w:pPr>
        <w:numPr>
          <w:ilvl w:val="0"/>
          <w:numId w:val="1019"/>
        </w:numPr>
      </w:pPr>
      <w:r>
        <w:t xml:space="preserve">Gross catch: the total live weight of fish caught (gross removal less pre-catch losses);</w:t>
      </w:r>
    </w:p>
    <w:p>
      <w:pPr>
        <w:numPr>
          <w:ilvl w:val="0"/>
          <w:numId w:val="1019"/>
        </w:numPr>
      </w:pPr>
      <w:r>
        <w:t xml:space="preserve">Retained catch: the total live weight of fish retained (gross catch less discarded catch);</w:t>
      </w:r>
    </w:p>
    <w:p>
      <w:pPr>
        <w:numPr>
          <w:ilvl w:val="0"/>
          <w:numId w:val="1019"/>
        </w:numPr>
      </w:pPr>
      <w:r>
        <w:t xml:space="preserve">Landings: the net weight of the quantities landed as recorded at the time of landing;</w:t>
      </w:r>
    </w:p>
    <w:p>
      <w:pPr>
        <w:numPr>
          <w:ilvl w:val="0"/>
          <w:numId w:val="1019"/>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“gross catch”</w:t>
      </w:r>
      <w:r>
        <w:t xml:space="preserve"> </w:t>
      </w:r>
      <w:r>
        <w:t xml:space="preserve">be used to measure the extraction of fish resources. Conceptually,</w:t>
      </w:r>
      <w:r>
        <w:t xml:space="preserve"> </w:t>
      </w:r>
      <w:r>
        <w:t xml:space="preserve">“gross removal”</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08"/>
    <w:bookmarkStart w:id="109"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09"/>
    <w:bookmarkStart w:id="110"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10"/>
    <w:bookmarkStart w:id="111"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11"/>
    <w:bookmarkStart w:id="112" w:name="valuation-of-natural-aquatic-resources"/>
    <w:p>
      <w:pPr>
        <w:pStyle w:val="Heading2"/>
      </w:pPr>
      <w:r>
        <w:rPr>
          <w:rStyle w:val="SectionNumber"/>
        </w:rPr>
        <w:t xml:space="preserve">3.1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12"/>
    <w:bookmarkEnd w:id="113"/>
    <w:bookmarkStart w:id="115" w:name="references"/>
    <w:p>
      <w:pPr>
        <w:pStyle w:val="Heading1"/>
      </w:pPr>
      <w:r>
        <w:rPr>
          <w:rStyle w:val="SectionNumber"/>
        </w:rPr>
        <w:t xml:space="preserve">4</w:t>
      </w:r>
      <w:r>
        <w:tab/>
      </w:r>
      <w:r>
        <w:t xml:space="preserve">References</w:t>
      </w:r>
    </w:p>
    <w:p>
      <w:pPr>
        <w:pStyle w:val="FirstParagraph"/>
      </w:pPr>
      <w:hyperlink w:anchor="cite-united_nations_system_2014">
        <w:r>
          <w:rPr>
            <w:rStyle w:val="Hyperlink"/>
          </w:rPr>
          <w:t xml:space="preserve">[1]</w:t>
        </w:r>
      </w:hyperlink>
      <w:r>
        <w:t xml:space="preserve"> </w:t>
      </w:r>
      <w:r>
        <w:t xml:space="preserve">United Nations, European Union, Food, et al. </w:t>
      </w:r>
      <w:r>
        <w:rPr>
          <w:i/>
          <w:iCs/>
        </w:rPr>
        <w:t xml:space="preserve">System of Environmental-Economic Accounting 2012 Central Framework</w:t>
      </w:r>
      <w:r>
        <w:t xml:space="preserve">. New York:</w:t>
      </w:r>
      <w:r>
        <w:t xml:space="preserve"> </w:t>
      </w:r>
      <w:r>
        <w:t xml:space="preserve">United Nations, 2014. ISBN: 978-92-1-055926-3. URL:</w:t>
      </w:r>
      <w:r>
        <w:t xml:space="preserve"> </w:t>
      </w:r>
      <w:hyperlink r:id="rId36">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[2]</w:t>
        </w:r>
      </w:hyperlink>
      <w:r>
        <w:t xml:space="preserve"> </w:t>
      </w:r>
      <w:r>
        <w:t xml:space="preserve">J. C. Villasenor-Derbez, C. Costello, and A. J. Plantinga.</w:t>
      </w:r>
      <w:r>
        <w:t xml:space="preserve"> </w:t>
      </w:r>
      <w:r>
        <w:t xml:space="preserve">“A market for 30x30 in the ocean”</w:t>
      </w:r>
      <w:r>
        <w:t xml:space="preserve">. EN. In:</w:t>
      </w:r>
      <w:r>
        <w:t xml:space="preserve"> </w:t>
      </w:r>
      <w:r>
        <w:rPr>
          <w:i/>
          <w:iCs/>
        </w:rPr>
        <w:t xml:space="preserve">Science</w:t>
      </w:r>
      <w:r>
        <w:t xml:space="preserve"> </w:t>
      </w:r>
      <w:r>
        <w:t xml:space="preserve">(Jun.</w:t>
      </w:r>
      <w:r>
        <w:t xml:space="preserve"> </w:t>
      </w:r>
      <w:r>
        <w:t xml:space="preserve">2024). Publisher: American Association for the Advancement of Science. DOI:</w:t>
      </w:r>
      <w:r>
        <w:t xml:space="preserve"> </w:t>
      </w:r>
      <w:hyperlink r:id="rId114">
        <w:r>
          <w:rPr>
            <w:rStyle w:val="Hyperlink"/>
          </w:rPr>
          <w:t xml:space="preserve">10.1126/science.adl4019</w:t>
        </w:r>
      </w:hyperlink>
      <w:r>
        <w:t xml:space="preserve">. URL:</w:t>
      </w:r>
      <w:r>
        <w:t xml:space="preserve"> </w:t>
      </w:r>
      <w:hyperlink r:id="rId27">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[3]</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Jun. 2025. URL:</w:t>
      </w:r>
      <w:r>
        <w:t xml:space="preserve"> </w:t>
      </w:r>
      <w:hyperlink r:id="rId21">
        <w:r>
          <w:rPr>
            <w:rStyle w:val="Hyperlink"/>
          </w:rPr>
          <w:t xml:space="preserve">https://nso.gov.ki/download/151/2023-24-hies-reports/2167/kiribati-natural-disasters-and-climate-change-report-2023-2024</w:t>
        </w:r>
      </w:hyperlink>
      <w:r>
        <w:t xml:space="preserve">.</w:t>
      </w:r>
    </w:p>
    <w:bookmarkEnd w:id="115"/>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w:t>
      </w:r>
      <w:hyperlink r:id="rId21">
        <w:r>
          <w:rPr>
            <w:rStyle w:val="Hyperlink"/>
          </w:rPr>
          <w:t xml:space="preserve">Kiribati National Statistics Office and The Pacific Community, 2025</w:t>
        </w:r>
      </w:hyperlink>
      <w:r>
        <w:t xml:space="preserve">)</w:t>
      </w:r>
    </w:p>
  </w:footnote>
  <w:footnote w:id="26">
    <w:p>
      <w:pPr>
        <w:pStyle w:val="FootnoteText"/>
      </w:pPr>
      <w:r>
        <w:rPr>
          <w:rStyle w:val="FootnoteReference"/>
        </w:rPr>
        <w:footnoteRef/>
      </w:r>
      <w:r>
        <w:t xml:space="preserve"> </w:t>
      </w:r>
      <w:r>
        <w:t xml:space="preserve">(</w:t>
      </w:r>
      <w:hyperlink r:id="rId27">
        <w:r>
          <w:rPr>
            <w:rStyle w:val="Hyperlink"/>
          </w:rPr>
          <w:t xml:space="preserve">Villasenor-Derbez, Costello, and Plantinga, 2024</w:t>
        </w:r>
      </w:hyperlink>
      <w:r>
        <w:t xml:space="preserve">)</w:t>
      </w:r>
    </w:p>
  </w:footnote>
  <w:footnote w:id="35">
    <w:p>
      <w:pPr>
        <w:pStyle w:val="FootnoteText"/>
      </w:pPr>
      <w:r>
        <w:rPr>
          <w:rStyle w:val="FootnoteReference"/>
        </w:rPr>
        <w:footnoteRef/>
      </w:r>
      <w:r>
        <w:t xml:space="preserve"> </w:t>
      </w:r>
      <w:r>
        <w:t xml:space="preserve">(</w:t>
      </w:r>
      <w:hyperlink r:id="rId36">
        <w:r>
          <w:rPr>
            <w:rStyle w:val="Hyperlink"/>
          </w:rPr>
          <w:t xml:space="preserve">United Nations, European Union, Food et al., 2014</w:t>
        </w:r>
      </w:hyperlink>
      <w:r>
        <w:t xml:space="preserve">) section 2.17, page 13</w:t>
      </w:r>
    </w:p>
  </w:footnote>
  <w:footnote w:id="37">
    <w:p>
      <w:pPr>
        <w:pStyle w:val="FootnoteText"/>
      </w:pPr>
      <w:r>
        <w:rPr>
          <w:rStyle w:val="FootnoteReference"/>
        </w:rPr>
        <w:footnoteRef/>
      </w:r>
      <w:r>
        <w:t xml:space="preserve"> </w:t>
      </w:r>
      <w:r>
        <w:t xml:space="preserve">(</w:t>
      </w:r>
      <w:hyperlink r:id="rId36">
        <w:r>
          <w:rPr>
            <w:rStyle w:val="Hyperlink"/>
          </w:rPr>
          <w:t xml:space="preserve">United Nations, European Union, Food et al., 2014</w:t>
        </w:r>
      </w:hyperlink>
      <w:r>
        <w:t xml:space="preserve">) section 2.21, page 14</w:t>
      </w:r>
    </w:p>
  </w:footnote>
  <w:footnote w:id="40">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32">
    <w:nsid w:val="00A9973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33">
    <w:nsid w:val="00A9973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98" Target="media/rId98.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45" Target="media/rId45.png" /><Relationship Type="http://schemas.openxmlformats.org/officeDocument/2006/relationships/image" Id="rId30" Target="media/rId30.png" /><Relationship Type="http://schemas.openxmlformats.org/officeDocument/2006/relationships/image" Id="rId93" Target="media/rId93.png" /><Relationship Type="http://schemas.openxmlformats.org/officeDocument/2006/relationships/image" Id="rId41" Target="media/rId41.png" /><Relationship Type="http://schemas.openxmlformats.org/officeDocument/2006/relationships/image" Id="rId104" Target="media/rId104.png" /><Relationship Type="http://schemas.openxmlformats.org/officeDocument/2006/relationships/image" Id="rId75" Target="media/rId75.png" /><Relationship Type="http://schemas.openxmlformats.org/officeDocument/2006/relationships/hyperlink" Id="rId114"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6" Target="https://seea.un.org/sites/seea.un.org/files/seea_cf_final_en.pdf" TargetMode="External" /><Relationship Type="http://schemas.openxmlformats.org/officeDocument/2006/relationships/hyperlink" Id="rId27"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14" Target="https://doi.org/10.1126%2Fscience.adl4019" TargetMode="External" /><Relationship Type="http://schemas.openxmlformats.org/officeDocument/2006/relationships/hyperlink" Id="rId21" Target="https://nso.gov.ki/download/151/2023-24-hies-reports/2167/kiribati-natural-disasters-and-climate-change-report-2023-2024" TargetMode="External" /><Relationship Type="http://schemas.openxmlformats.org/officeDocument/2006/relationships/hyperlink" Id="rId36" Target="https://seea.un.org/sites/seea.un.org/files/seea_cf_final_en.pdf" TargetMode="External" /><Relationship Type="http://schemas.openxmlformats.org/officeDocument/2006/relationships/hyperlink" Id="rId27"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Ocean Accounts</dc:title>
  <dc:creator>FAME Economics</dc:creator>
  <cp:keywords/>
  <dcterms:created xsi:type="dcterms:W3CDTF">2025-07-17T04:25:47Z</dcterms:created>
  <dcterms:modified xsi:type="dcterms:W3CDTF">2025-07-17T04:25:47Z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17 July 2025</vt:lpwstr>
  </property>
  <property fmtid="{D5CDD505-2E9C-101B-9397-08002B2CF9AE}" pid="3" name="output">
    <vt:lpwstr/>
  </property>
  <property fmtid="{D5CDD505-2E9C-101B-9397-08002B2CF9AE}" pid="4" name="subtitle">
    <vt:lpwstr>Ocean-Specific Components of the System of Environmental-Economic Accounting - Central Framework</vt:lpwstr>
  </property>
</Properties>
</file>