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01.png" ContentType="image/png"/>
  <Override PartName="/word/media/rId46.png" ContentType="image/png"/>
  <Override PartName="/word/media/rId66.png" ContentType="image/png"/>
  <Override PartName="/word/media/rId74.png" ContentType="image/png"/>
  <Override PartName="/word/media/rId88.png" ContentType="image/png"/>
  <Override PartName="/word/media/rId92.png" ContentType="image/png"/>
  <Override PartName="/word/media/rId50.png" ContentType="image/png"/>
  <Override PartName="/word/media/rId29.png" ContentType="image/png"/>
  <Override PartName="/word/media/rId96.png" ContentType="image/png"/>
  <Override PartName="/word/media/rId40.png" ContentType="image/png"/>
  <Override PartName="/word/media/rId107.png" ContentType="image/png"/>
  <Override PartName="/word/media/rId78.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Ocean Accounts</w:t>
      </w:r>
    </w:p>
    <w:p>
      <w:pPr>
        <w:pStyle w:val="Subtitle"/>
      </w:pPr>
      <w:r>
        <w:t xml:space="preserve">Ocean-Specific Components of the</w:t>
      </w:r>
      <w:r>
        <w:t xml:space="preserve"> </w:t>
      </w:r>
      <w:r>
        <w:rPr>
          <w:i/>
          <w:iCs/>
        </w:rPr>
        <w:t xml:space="preserve">System of Environmental-Economic Accounting - Central Framework</w:t>
      </w:r>
    </w:p>
    <w:p>
      <w:pPr>
        <w:pStyle w:val="Author"/>
      </w:pPr>
      <w:r>
        <w:t xml:space="preserve">FAME Economics</w:t>
      </w:r>
    </w:p>
    <w:p>
      <w:pPr>
        <w:pStyle w:val="Date"/>
      </w:pPr>
      <w:r>
        <w:t xml:space="preserve">17 July 2025</w:t>
      </w:r>
    </w:p>
    <w:p>
      <w:r>
        <w:br w:type="page"/>
      </w:r>
    </w:p>
    <w:bookmarkStart w:id="39" w:name="introduction"/>
    <w:p>
      <w:pPr>
        <w:pStyle w:val="Heading1"/>
      </w:pPr>
      <w:r>
        <w:rPr>
          <w:rStyle w:val="SectionNumber"/>
        </w:rPr>
        <w:t xml:space="preserve">1</w:t>
      </w:r>
      <w:r>
        <w:tab/>
      </w:r>
      <w:r>
        <w:t xml:space="preserve">Introduction</w:t>
      </w:r>
    </w:p>
    <w:p>
      <w:pPr>
        <w:pStyle w:val="FirstParagraph"/>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r>
        <w:t xml:space="preserve"> </w:t>
      </w: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Start w:id="22" w:name="Xe1590464b2ecdd13dc6c4c210864dab590fcd4e"/>
    <w:p>
      <w:pPr>
        <w:pStyle w:val="Heading2"/>
      </w:pPr>
      <w:r>
        <w:rPr>
          <w:rStyle w:val="SectionNumber"/>
        </w:rPr>
        <w:t xml:space="preserve">1.1</w:t>
      </w:r>
      <w:r>
        <w:tab/>
      </w:r>
      <w:r>
        <w:t xml:space="preserve">Climate change destroys land-based capital</w:t>
      </w:r>
    </w:p>
    <w:p>
      <w:pPr>
        <w:pStyle w:val="FirstParagraph"/>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20"/>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22"/>
    <w:bookmarkStart w:id="23" w:name="Xecc9dabe100942a0242dd54246b3d645f5ab0ce"/>
    <w:p>
      <w:pPr>
        <w:pStyle w:val="Heading2"/>
      </w:pPr>
      <w:r>
        <w:rPr>
          <w:rStyle w:val="SectionNumber"/>
        </w:rPr>
        <w:t xml:space="preserve">1.2</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23"/>
    <w:bookmarkStart w:id="25" w:name="X196c7e912f92ec48f68ecad0cb414bbb9e43de2"/>
    <w:p>
      <w:pPr>
        <w:pStyle w:val="Heading2"/>
      </w:pPr>
      <w:r>
        <w:rPr>
          <w:rStyle w:val="SectionNumber"/>
        </w:rPr>
        <w:t xml:space="preserve">1.3</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$US463.66 million per year over the last 10 years from fishing license fees of tuna alone,</w:t>
      </w:r>
    </w:p>
    <w:p>
      <w:pPr>
        <w:pStyle w:val="TableCaption"/>
      </w:pPr>
      <w:bookmarkStart w:id="24" w:name="tab:LicenseRevenues"/>
      <w:bookmarkEnd w:id="24"/>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698"/>
        <w:gridCol w:w="522"/>
        <w:gridCol w:w="522"/>
        <w:gridCol w:w="522"/>
        <w:gridCol w:w="522"/>
        <w:gridCol w:w="522"/>
        <w:gridCol w:w="522"/>
        <w:gridCol w:w="522"/>
        <w:gridCol w:w="522"/>
        <w:gridCol w:w="522"/>
        <w:gridCol w:w="522"/>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Kiribati</w:t>
            </w:r>
          </w:p>
        </w:tc>
        <w:tc>
          <w:tcPr/>
          <w:p>
            <w:pPr>
              <w:pStyle w:val="Compact"/>
              <w:jc w:val="right"/>
            </w:pPr>
            <w:r>
              <w:t xml:space="preserve">127.9</w:t>
            </w:r>
          </w:p>
        </w:tc>
        <w:tc>
          <w:tcPr/>
          <w:p>
            <w:pPr>
              <w:pStyle w:val="Compact"/>
              <w:jc w:val="right"/>
            </w:pPr>
            <w:r>
              <w:t xml:space="preserve">148.8</w:t>
            </w:r>
          </w:p>
        </w:tc>
        <w:tc>
          <w:tcPr/>
          <w:p>
            <w:pPr>
              <w:pStyle w:val="Compact"/>
              <w:jc w:val="right"/>
            </w:pPr>
            <w:r>
              <w:t xml:space="preserve">106.7</w:t>
            </w:r>
          </w:p>
        </w:tc>
        <w:tc>
          <w:tcPr/>
          <w:p>
            <w:pPr>
              <w:pStyle w:val="Compact"/>
              <w:jc w:val="right"/>
            </w:pPr>
            <w:r>
              <w:t xml:space="preserve">129.8</w:t>
            </w:r>
          </w:p>
        </w:tc>
        <w:tc>
          <w:tcPr/>
          <w:p>
            <w:pPr>
              <w:pStyle w:val="Compact"/>
              <w:jc w:val="right"/>
            </w:pPr>
            <w:r>
              <w:t xml:space="preserve">127.3</w:t>
            </w:r>
          </w:p>
        </w:tc>
        <w:tc>
          <w:tcPr/>
          <w:p>
            <w:pPr>
              <w:pStyle w:val="Compact"/>
              <w:jc w:val="right"/>
            </w:pPr>
            <w:r>
              <w:t xml:space="preserve">146.4</w:t>
            </w:r>
          </w:p>
        </w:tc>
        <w:tc>
          <w:tcPr/>
          <w:p>
            <w:pPr>
              <w:pStyle w:val="Compact"/>
              <w:jc w:val="right"/>
            </w:pPr>
            <w:r>
              <w:t xml:space="preserve">117.8</w:t>
            </w:r>
          </w:p>
        </w:tc>
        <w:tc>
          <w:tcPr/>
          <w:p>
            <w:pPr>
              <w:pStyle w:val="Compact"/>
              <w:jc w:val="right"/>
            </w:pPr>
            <w:r>
              <w:t xml:space="preserve">121.3</w:t>
            </w:r>
          </w:p>
        </w:tc>
        <w:tc>
          <w:tcPr/>
          <w:p>
            <w:pPr>
              <w:pStyle w:val="Compact"/>
              <w:jc w:val="right"/>
            </w:pPr>
            <w:r>
              <w:t xml:space="preserve">98.8</w:t>
            </w:r>
          </w:p>
        </w:tc>
        <w:tc>
          <w:tcPr/>
          <w:p>
            <w:pPr>
              <w:pStyle w:val="Compact"/>
              <w:jc w:val="right"/>
            </w:pPr>
            <w:r>
              <w:t xml:space="preserve">141.9</w:t>
            </w:r>
          </w:p>
        </w:tc>
      </w:tr>
      <w:tr>
        <w:tc>
          <w:tcPr/>
          <w:p>
            <w:pPr>
              <w:pStyle w:val="Compact"/>
              <w:jc w:val="left"/>
            </w:pPr>
            <w:r>
              <w:t xml:space="preserve">Papua New Guinea</w:t>
            </w:r>
          </w:p>
        </w:tc>
        <w:tc>
          <w:tcPr/>
          <w:p>
            <w:pPr>
              <w:pStyle w:val="Compact"/>
              <w:jc w:val="right"/>
            </w:pPr>
            <w:r>
              <w:t xml:space="preserve">92.0</w:t>
            </w:r>
          </w:p>
        </w:tc>
        <w:tc>
          <w:tcPr/>
          <w:p>
            <w:pPr>
              <w:pStyle w:val="Compact"/>
              <w:jc w:val="right"/>
            </w:pPr>
            <w:r>
              <w:t xml:space="preserve">95.7</w:t>
            </w:r>
          </w:p>
        </w:tc>
        <w:tc>
          <w:tcPr/>
          <w:p>
            <w:pPr>
              <w:pStyle w:val="Compact"/>
              <w:jc w:val="right"/>
            </w:pPr>
            <w:r>
              <w:t xml:space="preserve">119.5</w:t>
            </w:r>
          </w:p>
        </w:tc>
        <w:tc>
          <w:tcPr/>
          <w:p>
            <w:pPr>
              <w:pStyle w:val="Compact"/>
              <w:jc w:val="right"/>
            </w:pPr>
            <w:r>
              <w:t xml:space="preserve">94.1</w:t>
            </w:r>
          </w:p>
        </w:tc>
        <w:tc>
          <w:tcPr/>
          <w:p>
            <w:pPr>
              <w:pStyle w:val="Compact"/>
              <w:jc w:val="right"/>
            </w:pPr>
            <w:r>
              <w:t xml:space="preserve">114.4</w:t>
            </w:r>
          </w:p>
        </w:tc>
        <w:tc>
          <w:tcPr/>
          <w:p>
            <w:pPr>
              <w:pStyle w:val="Compact"/>
              <w:jc w:val="right"/>
            </w:pPr>
            <w:r>
              <w:t xml:space="preserve">93.3</w:t>
            </w:r>
          </w:p>
        </w:tc>
        <w:tc>
          <w:tcPr/>
          <w:p>
            <w:pPr>
              <w:pStyle w:val="Compact"/>
              <w:jc w:val="right"/>
            </w:pPr>
            <w:r>
              <w:t xml:space="preserve">110.3</w:t>
            </w:r>
          </w:p>
        </w:tc>
        <w:tc>
          <w:tcPr/>
          <w:p>
            <w:pPr>
              <w:pStyle w:val="Compact"/>
              <w:jc w:val="right"/>
            </w:pPr>
            <w:r>
              <w:t xml:space="preserve">123.0</w:t>
            </w:r>
          </w:p>
        </w:tc>
        <w:tc>
          <w:tcPr/>
          <w:p>
            <w:pPr>
              <w:pStyle w:val="Compact"/>
              <w:jc w:val="right"/>
            </w:pPr>
            <w:r>
              <w:t xml:space="preserve">124.6</w:t>
            </w:r>
          </w:p>
        </w:tc>
        <w:tc>
          <w:tcPr/>
          <w:p>
            <w:pPr>
              <w:pStyle w:val="Compact"/>
              <w:jc w:val="right"/>
            </w:pPr>
            <w:r>
              <w:t xml:space="preserve">97.1</w:t>
            </w:r>
          </w:p>
        </w:tc>
      </w:tr>
      <w:tr>
        <w:tc>
          <w:tcPr/>
          <w:p>
            <w:pPr>
              <w:pStyle w:val="Compact"/>
              <w:jc w:val="left"/>
            </w:pPr>
            <w:r>
              <w:t xml:space="preserve">Federated States of Micronesia</w:t>
            </w:r>
          </w:p>
        </w:tc>
        <w:tc>
          <w:tcPr/>
          <w:p>
            <w:pPr>
              <w:pStyle w:val="Compact"/>
              <w:jc w:val="right"/>
            </w:pPr>
            <w:r>
              <w:t xml:space="preserve">47.7</w:t>
            </w:r>
          </w:p>
        </w:tc>
        <w:tc>
          <w:tcPr/>
          <w:p>
            <w:pPr>
              <w:pStyle w:val="Compact"/>
              <w:jc w:val="right"/>
            </w:pPr>
            <w:r>
              <w:t xml:space="preserve">65.5</w:t>
            </w:r>
          </w:p>
        </w:tc>
        <w:tc>
          <w:tcPr/>
          <w:p>
            <w:pPr>
              <w:pStyle w:val="Compact"/>
              <w:jc w:val="right"/>
            </w:pPr>
            <w:r>
              <w:t xml:space="preserve">63.7</w:t>
            </w:r>
          </w:p>
        </w:tc>
        <w:tc>
          <w:tcPr/>
          <w:p>
            <w:pPr>
              <w:pStyle w:val="Compact"/>
              <w:jc w:val="right"/>
            </w:pPr>
            <w:r>
              <w:t xml:space="preserve">72.7</w:t>
            </w:r>
          </w:p>
        </w:tc>
        <w:tc>
          <w:tcPr/>
          <w:p>
            <w:pPr>
              <w:pStyle w:val="Compact"/>
              <w:jc w:val="right"/>
            </w:pPr>
            <w:r>
              <w:t xml:space="preserve">72.4</w:t>
            </w:r>
          </w:p>
        </w:tc>
        <w:tc>
          <w:tcPr/>
          <w:p>
            <w:pPr>
              <w:pStyle w:val="Compact"/>
              <w:jc w:val="right"/>
            </w:pPr>
            <w:r>
              <w:t xml:space="preserve">72.7</w:t>
            </w:r>
          </w:p>
        </w:tc>
        <w:tc>
          <w:tcPr/>
          <w:p>
            <w:pPr>
              <w:pStyle w:val="Compact"/>
              <w:jc w:val="right"/>
            </w:pPr>
            <w:r>
              <w:t xml:space="preserve">70.2</w:t>
            </w:r>
          </w:p>
        </w:tc>
        <w:tc>
          <w:tcPr/>
          <w:p>
            <w:pPr>
              <w:pStyle w:val="Compact"/>
              <w:jc w:val="right"/>
            </w:pPr>
            <w:r>
              <w:t xml:space="preserve">69.0</w:t>
            </w:r>
          </w:p>
        </w:tc>
        <w:tc>
          <w:tcPr/>
          <w:p>
            <w:pPr>
              <w:pStyle w:val="Compact"/>
              <w:jc w:val="right"/>
            </w:pPr>
            <w:r>
              <w:t xml:space="preserve">73.0</w:t>
            </w:r>
          </w:p>
        </w:tc>
        <w:tc>
          <w:tcPr/>
          <w:p>
            <w:pPr>
              <w:pStyle w:val="Compact"/>
              <w:jc w:val="right"/>
            </w:pPr>
            <w:r>
              <w:t xml:space="preserve">71.0</w:t>
            </w:r>
          </w:p>
        </w:tc>
      </w:tr>
      <w:tr>
        <w:tc>
          <w:tcPr/>
          <w:p>
            <w:pPr>
              <w:pStyle w:val="Compact"/>
              <w:jc w:val="left"/>
            </w:pPr>
            <w:r>
              <w:t xml:space="preserve">Nauru</w:t>
            </w:r>
          </w:p>
        </w:tc>
        <w:tc>
          <w:tcPr/>
          <w:p>
            <w:pPr>
              <w:pStyle w:val="Compact"/>
              <w:jc w:val="right"/>
            </w:pPr>
            <w:r>
              <w:t xml:space="preserve">17.0</w:t>
            </w:r>
          </w:p>
        </w:tc>
        <w:tc>
          <w:tcPr/>
          <w:p>
            <w:pPr>
              <w:pStyle w:val="Compact"/>
              <w:jc w:val="right"/>
            </w:pPr>
            <w:r>
              <w:t xml:space="preserve">21.7</w:t>
            </w:r>
          </w:p>
        </w:tc>
        <w:tc>
          <w:tcPr/>
          <w:p>
            <w:pPr>
              <w:pStyle w:val="Compact"/>
              <w:jc w:val="right"/>
            </w:pPr>
            <w:r>
              <w:t xml:space="preserve">27.8</w:t>
            </w:r>
          </w:p>
        </w:tc>
        <w:tc>
          <w:tcPr/>
          <w:p>
            <w:pPr>
              <w:pStyle w:val="Compact"/>
              <w:jc w:val="right"/>
            </w:pPr>
            <w:r>
              <w:t xml:space="preserve">36.0</w:t>
            </w:r>
          </w:p>
        </w:tc>
        <w:tc>
          <w:tcPr/>
          <w:p>
            <w:pPr>
              <w:pStyle w:val="Compact"/>
              <w:jc w:val="right"/>
            </w:pPr>
            <w:r>
              <w:t xml:space="preserve">34.7</w:t>
            </w:r>
          </w:p>
        </w:tc>
        <w:tc>
          <w:tcPr/>
          <w:p>
            <w:pPr>
              <w:pStyle w:val="Compact"/>
              <w:jc w:val="right"/>
            </w:pPr>
            <w:r>
              <w:t xml:space="preserve">46.7</w:t>
            </w:r>
          </w:p>
        </w:tc>
        <w:tc>
          <w:tcPr/>
          <w:p>
            <w:pPr>
              <w:pStyle w:val="Compact"/>
              <w:jc w:val="right"/>
            </w:pPr>
            <w:r>
              <w:t xml:space="preserve">45.8</w:t>
            </w:r>
          </w:p>
        </w:tc>
        <w:tc>
          <w:tcPr/>
          <w:p>
            <w:pPr>
              <w:pStyle w:val="Compact"/>
              <w:jc w:val="right"/>
            </w:pPr>
            <w:r>
              <w:t xml:space="preserve">44.9</w:t>
            </w:r>
          </w:p>
        </w:tc>
        <w:tc>
          <w:tcPr/>
          <w:p>
            <w:pPr>
              <w:pStyle w:val="Compact"/>
              <w:jc w:val="right"/>
            </w:pPr>
            <w:r>
              <w:t xml:space="preserve">39.2</w:t>
            </w:r>
          </w:p>
        </w:tc>
        <w:tc>
          <w:tcPr/>
          <w:p>
            <w:pPr>
              <w:pStyle w:val="Compact"/>
              <w:jc w:val="right"/>
            </w:pPr>
            <w:r>
              <w:t xml:space="preserve">35.1</w:t>
            </w:r>
          </w:p>
        </w:tc>
      </w:tr>
      <w:tr>
        <w:tc>
          <w:tcPr/>
          <w:p>
            <w:pPr>
              <w:pStyle w:val="Compact"/>
              <w:jc w:val="left"/>
            </w:pPr>
            <w:r>
              <w:t xml:space="preserve">Marshall Islands</w:t>
            </w:r>
          </w:p>
        </w:tc>
        <w:tc>
          <w:tcPr/>
          <w:p>
            <w:pPr>
              <w:pStyle w:val="Compact"/>
              <w:jc w:val="right"/>
            </w:pPr>
            <w:r>
              <w:t xml:space="preserve">17.3</w:t>
            </w:r>
          </w:p>
        </w:tc>
        <w:tc>
          <w:tcPr/>
          <w:p>
            <w:pPr>
              <w:pStyle w:val="Compact"/>
              <w:jc w:val="right"/>
            </w:pPr>
            <w:r>
              <w:t xml:space="preserve">27.4</w:t>
            </w:r>
          </w:p>
        </w:tc>
        <w:tc>
          <w:tcPr/>
          <w:p>
            <w:pPr>
              <w:pStyle w:val="Compact"/>
              <w:jc w:val="right"/>
            </w:pPr>
            <w:r>
              <w:t xml:space="preserve">31.5</w:t>
            </w:r>
          </w:p>
        </w:tc>
        <w:tc>
          <w:tcPr/>
          <w:p>
            <w:pPr>
              <w:pStyle w:val="Compact"/>
              <w:jc w:val="right"/>
            </w:pPr>
            <w:r>
              <w:t xml:space="preserve">33.1</w:t>
            </w:r>
          </w:p>
        </w:tc>
        <w:tc>
          <w:tcPr/>
          <w:p>
            <w:pPr>
              <w:pStyle w:val="Compact"/>
              <w:jc w:val="right"/>
            </w:pPr>
            <w:r>
              <w:t xml:space="preserve">32.2</w:t>
            </w:r>
          </w:p>
        </w:tc>
        <w:tc>
          <w:tcPr/>
          <w:p>
            <w:pPr>
              <w:pStyle w:val="Compact"/>
              <w:jc w:val="right"/>
            </w:pPr>
            <w:r>
              <w:t xml:space="preserve">33.0</w:t>
            </w:r>
          </w:p>
        </w:tc>
        <w:tc>
          <w:tcPr/>
          <w:p>
            <w:pPr>
              <w:pStyle w:val="Compact"/>
              <w:jc w:val="right"/>
            </w:pPr>
            <w:r>
              <w:t xml:space="preserve">30.3</w:t>
            </w:r>
          </w:p>
        </w:tc>
        <w:tc>
          <w:tcPr/>
          <w:p>
            <w:pPr>
              <w:pStyle w:val="Compact"/>
              <w:jc w:val="right"/>
            </w:pPr>
            <w:r>
              <w:t xml:space="preserve">32.8</w:t>
            </w:r>
          </w:p>
        </w:tc>
        <w:tc>
          <w:tcPr/>
          <w:p>
            <w:pPr>
              <w:pStyle w:val="Compact"/>
              <w:jc w:val="right"/>
            </w:pPr>
            <w:r>
              <w:t xml:space="preserve">33.8</w:t>
            </w:r>
          </w:p>
        </w:tc>
        <w:tc>
          <w:tcPr/>
          <w:p>
            <w:pPr>
              <w:pStyle w:val="Compact"/>
              <w:jc w:val="right"/>
            </w:pPr>
            <w:r>
              <w:t xml:space="preserve">32.8</w:t>
            </w:r>
          </w:p>
        </w:tc>
      </w:tr>
      <w:tr>
        <w:tc>
          <w:tcPr/>
          <w:p>
            <w:pPr>
              <w:pStyle w:val="Compact"/>
              <w:jc w:val="left"/>
            </w:pPr>
            <w:r>
              <w:t xml:space="preserve">Tuvalu</w:t>
            </w:r>
          </w:p>
        </w:tc>
        <w:tc>
          <w:tcPr/>
          <w:p>
            <w:pPr>
              <w:pStyle w:val="Compact"/>
              <w:jc w:val="right"/>
            </w:pPr>
            <w:r>
              <w:t xml:space="preserve">14.4</w:t>
            </w:r>
          </w:p>
        </w:tc>
        <w:tc>
          <w:tcPr/>
          <w:p>
            <w:pPr>
              <w:pStyle w:val="Compact"/>
              <w:jc w:val="right"/>
            </w:pPr>
            <w:r>
              <w:t xml:space="preserve">22.9</w:t>
            </w:r>
          </w:p>
        </w:tc>
        <w:tc>
          <w:tcPr/>
          <w:p>
            <w:pPr>
              <w:pStyle w:val="Compact"/>
              <w:jc w:val="right"/>
            </w:pPr>
            <w:r>
              <w:t xml:space="preserve">24.6</w:t>
            </w:r>
          </w:p>
        </w:tc>
        <w:tc>
          <w:tcPr/>
          <w:p>
            <w:pPr>
              <w:pStyle w:val="Compact"/>
              <w:jc w:val="right"/>
            </w:pPr>
            <w:r>
              <w:t xml:space="preserve">20.6</w:t>
            </w:r>
          </w:p>
        </w:tc>
        <w:tc>
          <w:tcPr/>
          <w:p>
            <w:pPr>
              <w:pStyle w:val="Compact"/>
              <w:jc w:val="right"/>
            </w:pPr>
            <w:r>
              <w:t xml:space="preserve">37.5</w:t>
            </w:r>
          </w:p>
        </w:tc>
        <w:tc>
          <w:tcPr/>
          <w:p>
            <w:pPr>
              <w:pStyle w:val="Compact"/>
              <w:jc w:val="right"/>
            </w:pPr>
            <w:r>
              <w:t xml:space="preserve">25.8</w:t>
            </w:r>
          </w:p>
        </w:tc>
        <w:tc>
          <w:tcPr/>
          <w:p>
            <w:pPr>
              <w:pStyle w:val="Compact"/>
              <w:jc w:val="right"/>
            </w:pPr>
            <w:r>
              <w:t xml:space="preserve">30.4</w:t>
            </w:r>
          </w:p>
        </w:tc>
        <w:tc>
          <w:tcPr/>
          <w:p>
            <w:pPr>
              <w:pStyle w:val="Compact"/>
              <w:jc w:val="right"/>
            </w:pPr>
            <w:r>
              <w:t xml:space="preserve">32.3</w:t>
            </w:r>
          </w:p>
        </w:tc>
        <w:tc>
          <w:tcPr/>
          <w:p>
            <w:pPr>
              <w:pStyle w:val="Compact"/>
              <w:jc w:val="right"/>
            </w:pPr>
            <w:r>
              <w:t xml:space="preserve">30.6</w:t>
            </w:r>
          </w:p>
        </w:tc>
        <w:tc>
          <w:tcPr/>
          <w:p>
            <w:pPr>
              <w:pStyle w:val="Compact"/>
              <w:jc w:val="right"/>
            </w:pPr>
            <w:r>
              <w:t xml:space="preserve">29.2</w:t>
            </w:r>
          </w:p>
        </w:tc>
      </w:tr>
      <w:tr>
        <w:tc>
          <w:tcPr/>
          <w:p>
            <w:pPr>
              <w:pStyle w:val="Compact"/>
              <w:jc w:val="left"/>
            </w:pPr>
            <w:r>
              <w:t xml:space="preserve">Solomon Islands</w:t>
            </w:r>
          </w:p>
        </w:tc>
        <w:tc>
          <w:tcPr/>
          <w:p>
            <w:pPr>
              <w:pStyle w:val="Compact"/>
              <w:jc w:val="right"/>
            </w:pPr>
            <w:r>
              <w:t xml:space="preserve">29.0</w:t>
            </w:r>
          </w:p>
        </w:tc>
        <w:tc>
          <w:tcPr/>
          <w:p>
            <w:pPr>
              <w:pStyle w:val="Compact"/>
              <w:jc w:val="right"/>
            </w:pPr>
            <w:r>
              <w:t xml:space="preserve">39.5</w:t>
            </w:r>
          </w:p>
        </w:tc>
        <w:tc>
          <w:tcPr/>
          <w:p>
            <w:pPr>
              <w:pStyle w:val="Compact"/>
              <w:jc w:val="right"/>
            </w:pPr>
            <w:r>
              <w:t xml:space="preserve">33.4</w:t>
            </w:r>
          </w:p>
        </w:tc>
        <w:tc>
          <w:tcPr/>
          <w:p>
            <w:pPr>
              <w:pStyle w:val="Compact"/>
              <w:jc w:val="right"/>
            </w:pPr>
            <w:r>
              <w:t xml:space="preserve">60.2</w:t>
            </w:r>
          </w:p>
        </w:tc>
        <w:tc>
          <w:tcPr/>
          <w:p>
            <w:pPr>
              <w:pStyle w:val="Compact"/>
              <w:jc w:val="right"/>
            </w:pPr>
            <w:r>
              <w:t xml:space="preserve">35.1</w:t>
            </w:r>
          </w:p>
        </w:tc>
        <w:tc>
          <w:tcPr/>
          <w:p>
            <w:pPr>
              <w:pStyle w:val="Compact"/>
              <w:jc w:val="right"/>
            </w:pPr>
            <w:r>
              <w:t xml:space="preserve">26.8</w:t>
            </w:r>
          </w:p>
        </w:tc>
        <w:tc>
          <w:tcPr/>
          <w:p>
            <w:pPr>
              <w:pStyle w:val="Compact"/>
              <w:jc w:val="right"/>
            </w:pPr>
            <w:r>
              <w:t xml:space="preserve">38.2</w:t>
            </w:r>
          </w:p>
        </w:tc>
        <w:tc>
          <w:tcPr/>
          <w:p>
            <w:pPr>
              <w:pStyle w:val="Compact"/>
              <w:jc w:val="right"/>
            </w:pPr>
            <w:r>
              <w:t xml:space="preserve">28.5</w:t>
            </w:r>
          </w:p>
        </w:tc>
        <w:tc>
          <w:tcPr/>
          <w:p>
            <w:pPr>
              <w:pStyle w:val="Compact"/>
              <w:jc w:val="right"/>
            </w:pPr>
            <w:r>
              <w:t xml:space="preserve">24.2</w:t>
            </w:r>
          </w:p>
        </w:tc>
        <w:tc>
          <w:tcPr/>
          <w:p>
            <w:pPr>
              <w:pStyle w:val="Compact"/>
              <w:jc w:val="right"/>
            </w:pPr>
            <w:r>
              <w:t xml:space="preserve">25.5</w:t>
            </w:r>
          </w:p>
        </w:tc>
      </w:tr>
      <w:tr>
        <w:tc>
          <w:tcPr/>
          <w:p>
            <w:pPr>
              <w:pStyle w:val="Compact"/>
              <w:jc w:val="left"/>
            </w:pPr>
            <w:r>
              <w:t xml:space="preserve">Palau</w:t>
            </w:r>
          </w:p>
        </w:tc>
        <w:tc>
          <w:tcPr/>
          <w:p>
            <w:pPr>
              <w:pStyle w:val="Compact"/>
              <w:jc w:val="right"/>
            </w:pPr>
            <w:r>
              <w:t xml:space="preserve">3.5</w:t>
            </w:r>
          </w:p>
        </w:tc>
        <w:tc>
          <w:tcPr/>
          <w:p>
            <w:pPr>
              <w:pStyle w:val="Compact"/>
              <w:jc w:val="right"/>
            </w:pPr>
            <w:r>
              <w:t xml:space="preserve">7.2</w:t>
            </w:r>
          </w:p>
        </w:tc>
        <w:tc>
          <w:tcPr/>
          <w:p>
            <w:pPr>
              <w:pStyle w:val="Compact"/>
              <w:jc w:val="right"/>
            </w:pPr>
            <w:r>
              <w:t xml:space="preserve">6.1</w:t>
            </w:r>
          </w:p>
        </w:tc>
        <w:tc>
          <w:tcPr/>
          <w:p>
            <w:pPr>
              <w:pStyle w:val="Compact"/>
              <w:jc w:val="right"/>
            </w:pPr>
            <w:r>
              <w:t xml:space="preserve">9.7</w:t>
            </w:r>
          </w:p>
        </w:tc>
        <w:tc>
          <w:tcPr/>
          <w:p>
            <w:pPr>
              <w:pStyle w:val="Compact"/>
              <w:jc w:val="right"/>
            </w:pPr>
            <w:r>
              <w:t xml:space="preserve">9.4</w:t>
            </w:r>
          </w:p>
        </w:tc>
        <w:tc>
          <w:tcPr/>
          <w:p>
            <w:pPr>
              <w:pStyle w:val="Compact"/>
              <w:jc w:val="right"/>
            </w:pPr>
            <w:r>
              <w:t xml:space="preserve">9.8</w:t>
            </w:r>
          </w:p>
        </w:tc>
        <w:tc>
          <w:tcPr/>
          <w:p>
            <w:pPr>
              <w:pStyle w:val="Compact"/>
              <w:jc w:val="right"/>
            </w:pPr>
            <w:r>
              <w:t xml:space="preserve">8.4</w:t>
            </w:r>
          </w:p>
        </w:tc>
        <w:tc>
          <w:tcPr/>
          <w:p>
            <w:pPr>
              <w:pStyle w:val="Compact"/>
              <w:jc w:val="right"/>
            </w:pPr>
            <w:r>
              <w:t xml:space="preserve">7.1</w:t>
            </w:r>
          </w:p>
        </w:tc>
        <w:tc>
          <w:tcPr/>
          <w:p>
            <w:pPr>
              <w:pStyle w:val="Compact"/>
              <w:jc w:val="right"/>
            </w:pPr>
            <w:r>
              <w:t xml:space="preserve">10.6</w:t>
            </w:r>
          </w:p>
        </w:tc>
        <w:tc>
          <w:tcPr/>
          <w:p>
            <w:pPr>
              <w:pStyle w:val="Compact"/>
              <w:jc w:val="right"/>
            </w:pPr>
            <w:r>
              <w:t xml:space="preserve">9.2</w:t>
            </w:r>
          </w:p>
        </w:tc>
      </w:tr>
      <w:tr>
        <w:tc>
          <w:tcPr/>
          <w:p>
            <w:pPr>
              <w:pStyle w:val="Compact"/>
              <w:jc w:val="left"/>
            </w:pPr>
            <w:r>
              <w:t xml:space="preserve">Cook Islands</w:t>
            </w:r>
          </w:p>
        </w:tc>
        <w:tc>
          <w:tcPr/>
          <w:p>
            <w:pPr>
              <w:pStyle w:val="Compact"/>
              <w:jc w:val="right"/>
            </w:pPr>
            <w:r>
              <w:t xml:space="preserve">6.8</w:t>
            </w:r>
          </w:p>
        </w:tc>
        <w:tc>
          <w:tcPr/>
          <w:p>
            <w:pPr>
              <w:pStyle w:val="Compact"/>
              <w:jc w:val="right"/>
            </w:pPr>
            <w:r>
              <w:t xml:space="preserve">8.3</w:t>
            </w:r>
          </w:p>
        </w:tc>
        <w:tc>
          <w:tcPr/>
          <w:p>
            <w:pPr>
              <w:pStyle w:val="Compact"/>
              <w:jc w:val="right"/>
            </w:pPr>
            <w:r>
              <w:t xml:space="preserve">12.8</w:t>
            </w:r>
          </w:p>
        </w:tc>
        <w:tc>
          <w:tcPr/>
          <w:p>
            <w:pPr>
              <w:pStyle w:val="Compact"/>
              <w:jc w:val="right"/>
            </w:pPr>
            <w:r>
              <w:t xml:space="preserve">17.7</w:t>
            </w:r>
          </w:p>
        </w:tc>
        <w:tc>
          <w:tcPr/>
          <w:p>
            <w:pPr>
              <w:pStyle w:val="Compact"/>
              <w:jc w:val="right"/>
            </w:pPr>
            <w:r>
              <w:t xml:space="preserve">12.6</w:t>
            </w:r>
          </w:p>
        </w:tc>
        <w:tc>
          <w:tcPr/>
          <w:p>
            <w:pPr>
              <w:pStyle w:val="Compact"/>
              <w:jc w:val="right"/>
            </w:pPr>
            <w:r>
              <w:t xml:space="preserve">14.0</w:t>
            </w:r>
          </w:p>
        </w:tc>
        <w:tc>
          <w:tcPr/>
          <w:p>
            <w:pPr>
              <w:pStyle w:val="Compact"/>
              <w:jc w:val="right"/>
            </w:pPr>
            <w:r>
              <w:t xml:space="preserve">7.5</w:t>
            </w:r>
          </w:p>
        </w:tc>
        <w:tc>
          <w:tcPr/>
          <w:p>
            <w:pPr>
              <w:pStyle w:val="Compact"/>
              <w:jc w:val="right"/>
            </w:pPr>
            <w:r>
              <w:t xml:space="preserve">4.5</w:t>
            </w:r>
          </w:p>
        </w:tc>
        <w:tc>
          <w:tcPr/>
          <w:p>
            <w:pPr>
              <w:pStyle w:val="Compact"/>
              <w:jc w:val="right"/>
            </w:pPr>
            <w:r>
              <w:t xml:space="preserve">6.3</w:t>
            </w:r>
          </w:p>
        </w:tc>
        <w:tc>
          <w:tcPr/>
          <w:p>
            <w:pPr>
              <w:pStyle w:val="Compact"/>
              <w:jc w:val="right"/>
            </w:pPr>
            <w:r>
              <w:t xml:space="preserve">5.6</w:t>
            </w:r>
          </w:p>
        </w:tc>
      </w:tr>
      <w:tr>
        <w:tc>
          <w:tcPr/>
          <w:p>
            <w:pPr>
              <w:pStyle w:val="Compact"/>
              <w:jc w:val="left"/>
            </w:pPr>
            <w:r>
              <w:t xml:space="preserve">Tokelau</w:t>
            </w:r>
          </w:p>
        </w:tc>
        <w:tc>
          <w:tcPr/>
          <w:p>
            <w:pPr>
              <w:pStyle w:val="Compact"/>
              <w:jc w:val="right"/>
            </w:pPr>
            <w:r>
              <w:t xml:space="preserve">9.1</w:t>
            </w:r>
          </w:p>
        </w:tc>
        <w:tc>
          <w:tcPr/>
          <w:p>
            <w:pPr>
              <w:pStyle w:val="Compact"/>
              <w:jc w:val="right"/>
            </w:pPr>
            <w:r>
              <w:t xml:space="preserve">10.4</w:t>
            </w:r>
          </w:p>
        </w:tc>
        <w:tc>
          <w:tcPr/>
          <w:p>
            <w:pPr>
              <w:pStyle w:val="Compact"/>
              <w:jc w:val="right"/>
            </w:pPr>
            <w:r>
              <w:t xml:space="preserve">13.3</w:t>
            </w:r>
          </w:p>
        </w:tc>
        <w:tc>
          <w:tcPr/>
          <w:p>
            <w:pPr>
              <w:pStyle w:val="Compact"/>
              <w:jc w:val="right"/>
            </w:pPr>
            <w:r>
              <w:t xml:space="preserve">12.8</w:t>
            </w:r>
          </w:p>
        </w:tc>
        <w:tc>
          <w:tcPr/>
          <w:p>
            <w:pPr>
              <w:pStyle w:val="Compact"/>
              <w:jc w:val="right"/>
            </w:pPr>
            <w:r>
              <w:t xml:space="preserve">12.7</w:t>
            </w:r>
          </w:p>
        </w:tc>
        <w:tc>
          <w:tcPr/>
          <w:p>
            <w:pPr>
              <w:pStyle w:val="Compact"/>
              <w:jc w:val="right"/>
            </w:pPr>
            <w:r>
              <w:t xml:space="preserve">12.8</w:t>
            </w:r>
          </w:p>
        </w:tc>
        <w:tc>
          <w:tcPr/>
          <w:p>
            <w:pPr>
              <w:pStyle w:val="Compact"/>
              <w:jc w:val="right"/>
            </w:pPr>
            <w:r>
              <w:t xml:space="preserve">13.0</w:t>
            </w:r>
          </w:p>
        </w:tc>
        <w:tc>
          <w:tcPr/>
          <w:p>
            <w:pPr>
              <w:pStyle w:val="Compact"/>
              <w:jc w:val="right"/>
            </w:pPr>
            <w:r>
              <w:t xml:space="preserve">12.6</w:t>
            </w:r>
          </w:p>
        </w:tc>
        <w:tc>
          <w:tcPr/>
          <w:p>
            <w:pPr>
              <w:pStyle w:val="Compact"/>
              <w:jc w:val="right"/>
            </w:pPr>
            <w:r>
              <w:t xml:space="preserve">8.7</w:t>
            </w:r>
          </w:p>
        </w:tc>
        <w:tc>
          <w:tcPr/>
          <w:p>
            <w:pPr>
              <w:pStyle w:val="Compact"/>
              <w:jc w:val="right"/>
            </w:pPr>
            <w:r>
              <w:t xml:space="preserve">3.9</w:t>
            </w:r>
          </w:p>
        </w:tc>
      </w:tr>
      <w:tr>
        <w:tc>
          <w:tcPr/>
          <w:p>
            <w:pPr>
              <w:pStyle w:val="Compact"/>
              <w:jc w:val="left"/>
            </w:pPr>
            <w:r>
              <w:t xml:space="preserve">Vanuatu</w:t>
            </w:r>
          </w:p>
        </w:tc>
        <w:tc>
          <w:tcPr/>
          <w:p>
            <w:pPr>
              <w:pStyle w:val="Compact"/>
              <w:jc w:val="right"/>
            </w:pPr>
            <w:r>
              <w:t xml:space="preserve">2.0</w:t>
            </w:r>
          </w:p>
        </w:tc>
        <w:tc>
          <w:tcPr/>
          <w:p>
            <w:pPr>
              <w:pStyle w:val="Compact"/>
              <w:jc w:val="right"/>
            </w:pPr>
            <w:r>
              <w:t xml:space="preserve">2.3</w:t>
            </w:r>
          </w:p>
        </w:tc>
        <w:tc>
          <w:tcPr/>
          <w:p>
            <w:pPr>
              <w:pStyle w:val="Compact"/>
              <w:jc w:val="right"/>
            </w:pPr>
            <w:r>
              <w:t xml:space="preserve">2.9</w:t>
            </w:r>
          </w:p>
        </w:tc>
        <w:tc>
          <w:tcPr/>
          <w:p>
            <w:pPr>
              <w:pStyle w:val="Compact"/>
              <w:jc w:val="right"/>
            </w:pPr>
            <w:r>
              <w:t xml:space="preserve">3.4</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1.6</w:t>
            </w:r>
          </w:p>
        </w:tc>
        <w:tc>
          <w:tcPr/>
          <w:p>
            <w:pPr>
              <w:pStyle w:val="Compact"/>
              <w:jc w:val="right"/>
            </w:pPr>
            <w:r>
              <w:t xml:space="preserve">2.5</w:t>
            </w:r>
          </w:p>
        </w:tc>
        <w:tc>
          <w:tcPr/>
          <w:p>
            <w:pPr>
              <w:pStyle w:val="Compact"/>
              <w:jc w:val="right"/>
            </w:pPr>
            <w:r>
              <w:t xml:space="preserve">1.9</w:t>
            </w:r>
          </w:p>
        </w:tc>
      </w:tr>
      <w:tr>
        <w:tc>
          <w:tcPr/>
          <w:p>
            <w:pPr>
              <w:pStyle w:val="Compact"/>
              <w:jc w:val="left"/>
            </w:pPr>
            <w:r>
              <w:t xml:space="preserve">Fiji</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2.3</w:t>
            </w:r>
          </w:p>
        </w:tc>
        <w:tc>
          <w:tcPr/>
          <w:p>
            <w:pPr>
              <w:pStyle w:val="Compact"/>
              <w:jc w:val="right"/>
            </w:pPr>
            <w:r>
              <w:t xml:space="preserve">2.1</w:t>
            </w:r>
          </w:p>
        </w:tc>
        <w:tc>
          <w:tcPr/>
          <w:p>
            <w:pPr>
              <w:pStyle w:val="Compact"/>
              <w:jc w:val="right"/>
            </w:pPr>
            <w:r>
              <w:t xml:space="preserve">2.2</w:t>
            </w:r>
          </w:p>
        </w:tc>
        <w:tc>
          <w:tcPr/>
          <w:p>
            <w:pPr>
              <w:pStyle w:val="Compact"/>
              <w:jc w:val="right"/>
            </w:pPr>
            <w:r>
              <w:t xml:space="preserve">2.3</w:t>
            </w:r>
          </w:p>
        </w:tc>
        <w:tc>
          <w:tcPr/>
          <w:p>
            <w:pPr>
              <w:pStyle w:val="Compact"/>
              <w:jc w:val="right"/>
            </w:pPr>
            <w:r>
              <w:t xml:space="preserve">1.9</w:t>
            </w:r>
          </w:p>
        </w:tc>
        <w:tc>
          <w:tcPr/>
          <w:p>
            <w:pPr>
              <w:pStyle w:val="Compact"/>
              <w:jc w:val="right"/>
            </w:pPr>
            <w:r>
              <w:t xml:space="preserve">2.1</w:t>
            </w:r>
          </w:p>
        </w:tc>
        <w:tc>
          <w:tcPr/>
          <w:p>
            <w:pPr>
              <w:pStyle w:val="Compact"/>
              <w:jc w:val="right"/>
            </w:pPr>
            <w:r>
              <w:t xml:space="preserve">1.8</w:t>
            </w:r>
          </w:p>
        </w:tc>
      </w:tr>
      <w:tr>
        <w:tc>
          <w:tcPr/>
          <w:p>
            <w:pPr>
              <w:pStyle w:val="Compact"/>
              <w:jc w:val="left"/>
            </w:pPr>
            <w:r>
              <w:t xml:space="preserve">Tonga</w:t>
            </w:r>
          </w:p>
        </w:tc>
        <w:tc>
          <w:tcPr/>
          <w:p>
            <w:pPr>
              <w:pStyle w:val="Compact"/>
              <w:jc w:val="right"/>
            </w:pPr>
            <w:r>
              <w:t xml:space="preserve">0.8</w:t>
            </w:r>
          </w:p>
        </w:tc>
        <w:tc>
          <w:tcPr/>
          <w:p>
            <w:pPr>
              <w:pStyle w:val="Compact"/>
              <w:jc w:val="right"/>
            </w:pPr>
            <w:r>
              <w:t xml:space="preserve">1.0</w:t>
            </w:r>
          </w:p>
        </w:tc>
        <w:tc>
          <w:tcPr/>
          <w:p>
            <w:pPr>
              <w:pStyle w:val="Compact"/>
              <w:jc w:val="right"/>
            </w:pPr>
            <w:r>
              <w:t xml:space="preserve">1.1</w:t>
            </w:r>
          </w:p>
        </w:tc>
        <w:tc>
          <w:tcPr/>
          <w:p>
            <w:pPr>
              <w:pStyle w:val="Compact"/>
              <w:jc w:val="right"/>
            </w:pPr>
            <w:r>
              <w:t xml:space="preserve">1.5</w:t>
            </w:r>
          </w:p>
        </w:tc>
        <w:tc>
          <w:tcPr/>
          <w:p>
            <w:pPr>
              <w:pStyle w:val="Compact"/>
              <w:jc w:val="right"/>
            </w:pPr>
            <w:r>
              <w:t xml:space="preserve">1.4</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1.6</w:t>
            </w:r>
          </w:p>
        </w:tc>
        <w:tc>
          <w:tcPr/>
          <w:p>
            <w:pPr>
              <w:pStyle w:val="Compact"/>
              <w:jc w:val="right"/>
            </w:pPr>
            <w:r>
              <w:t xml:space="preserve">1.7</w:t>
            </w:r>
          </w:p>
        </w:tc>
      </w:tr>
      <w:tr>
        <w:tc>
          <w:tcPr/>
          <w:p>
            <w:pPr>
              <w:pStyle w:val="Compact"/>
              <w:jc w:val="left"/>
            </w:pPr>
            <w:r>
              <w:t xml:space="preserve">Samoa</w:t>
            </w:r>
          </w:p>
        </w:tc>
        <w:tc>
          <w:tcPr/>
          <w:p>
            <w:pPr>
              <w:pStyle w:val="Compact"/>
              <w:jc w:val="right"/>
            </w:pPr>
            <w:r>
              <w:t xml:space="preserve">0.7</w:t>
            </w:r>
          </w:p>
        </w:tc>
        <w:tc>
          <w:tcPr/>
          <w:p>
            <w:pPr>
              <w:pStyle w:val="Compact"/>
              <w:jc w:val="right"/>
            </w:pPr>
            <w:r>
              <w:t xml:space="preserve">1.3</w:t>
            </w:r>
          </w:p>
        </w:tc>
        <w:tc>
          <w:tcPr/>
          <w:p>
            <w:pPr>
              <w:pStyle w:val="Compact"/>
              <w:jc w:val="right"/>
            </w:pPr>
            <w:r>
              <w:t xml:space="preserve">0.7</w:t>
            </w:r>
          </w:p>
        </w:tc>
        <w:tc>
          <w:tcPr/>
          <w:p>
            <w:pPr>
              <w:pStyle w:val="Compact"/>
              <w:jc w:val="right"/>
            </w:pPr>
            <w:r>
              <w:t xml:space="preserve">1.2</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r>
      <w:tr>
        <w:tc>
          <w:tcPr/>
          <w:p>
            <w:pPr>
              <w:pStyle w:val="Compact"/>
              <w:jc w:val="left"/>
            </w:pPr>
            <w:r>
              <w:t xml:space="preserve">Niue</w:t>
            </w:r>
          </w:p>
        </w:tc>
        <w:tc>
          <w:tcPr/>
          <w:p>
            <w:pPr>
              <w:pStyle w:val="Compact"/>
              <w:jc w:val="right"/>
            </w:pPr>
            <w:r>
              <w:t xml:space="preserve">0.8</w:t>
            </w:r>
          </w:p>
        </w:tc>
        <w:tc>
          <w:tcPr/>
          <w:p>
            <w:pPr>
              <w:pStyle w:val="Compact"/>
              <w:jc w:val="right"/>
            </w:pPr>
            <w:r>
              <w:t xml:space="preserve">0.7</w:t>
            </w:r>
          </w:p>
        </w:tc>
        <w:tc>
          <w:tcPr/>
          <w:p>
            <w:pPr>
              <w:pStyle w:val="Compact"/>
              <w:jc w:val="right"/>
            </w:pPr>
            <w:r>
              <w:t xml:space="preserve">0.7</w:t>
            </w:r>
          </w:p>
        </w:tc>
        <w:tc>
          <w:tcPr/>
          <w:p>
            <w:pPr>
              <w:pStyle w:val="Compact"/>
              <w:jc w:val="right"/>
            </w:pPr>
            <w:r>
              <w:t xml:space="preserve">1.0</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1.1</w:t>
            </w:r>
          </w:p>
        </w:tc>
        <w:tc>
          <w:tcPr/>
          <w:p>
            <w:pPr>
              <w:pStyle w:val="Compact"/>
              <w:jc w:val="right"/>
            </w:pPr>
            <w:r>
              <w:t xml:space="preserve">1.1</w:t>
            </w:r>
          </w:p>
        </w:tc>
        <w:tc>
          <w:tcPr/>
          <w:p>
            <w:pPr>
              <w:pStyle w:val="Compact"/>
              <w:jc w:val="right"/>
            </w:pPr>
            <w:r>
              <w:t xml:space="preserve">1.1</w:t>
            </w:r>
          </w:p>
        </w:tc>
      </w:tr>
      <w:tr>
        <w:tc>
          <w:tcPr/>
          <w:p>
            <w:pPr>
              <w:pStyle w:val="Compact"/>
              <w:jc w:val="left"/>
            </w:pPr>
            <w:r>
              <w:t xml:space="preserve">Total</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481.0</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459.0</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Despite increasing weather-related climate change loss and damage, fishing revenues generated from fishing stocks have been a constant source of PICT revenue.</w:t>
      </w:r>
    </w:p>
    <w:bookmarkEnd w:id="25"/>
    <w:bookmarkStart w:id="26" w:name="X21bb061af980b6060ed202f6cdb9432074b9d1c"/>
    <w:p>
      <w:pPr>
        <w:pStyle w:val="Heading2"/>
      </w:pPr>
      <w:r>
        <w:rPr>
          <w:rStyle w:val="SectionNumber"/>
        </w:rPr>
        <w:t xml:space="preserve">1.4</w:t>
      </w:r>
      <w:r>
        <w:tab/>
      </w:r>
      <w:r>
        <w:t xml:space="preserve">The Pacific Ocean is facing its own climate-related issues</w:t>
      </w:r>
    </w:p>
    <w:bookmarkEnd w:id="26"/>
    <w:bookmarkStart w:id="38" w:name="markets-in-biodiversity"/>
    <w:p>
      <w:pPr>
        <w:pStyle w:val="Heading2"/>
      </w:pPr>
      <w:r>
        <w:rPr>
          <w:rStyle w:val="SectionNumber"/>
        </w:rPr>
        <w:t xml:space="preserve">1.5</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27"/>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28">
        <w:r>
          <w:rPr>
            <w:rStyle w:val="Hyperlink"/>
          </w:rPr>
          <w:t xml:space="preserve">Villasenor-Derbez, Costello, and Plantinga, 2024</w:t>
        </w:r>
      </w:hyperlink>
      <w:r>
        <w:t xml:space="preserve">)</w:t>
      </w:r>
    </w:p>
    <w:p>
      <w:pPr>
        <w:numPr>
          <w:ilvl w:val="0"/>
          <w:numId w:val="1002"/>
        </w:numPr>
      </w:pPr>
      <w:r>
        <w:t xml:space="preserve">What are they?</w:t>
      </w:r>
    </w:p>
    <w:p>
      <w:pPr>
        <w:pStyle w:val="Compact"/>
        <w:numPr>
          <w:ilvl w:val="1"/>
          <w:numId w:val="1003"/>
        </w:numPr>
      </w:pPr>
      <w:r>
        <w:t xml:space="preserve">SEEA-based versus GOAP(?)</w:t>
      </w:r>
    </w:p>
    <w:p>
      <w:pPr>
        <w:pStyle w:val="FirstParagraph"/>
      </w:pPr>
      <w:r>
        <w:t xml:space="preserve">The Central Framework covers measurement in three main areas:</w:t>
      </w:r>
    </w:p>
    <w:p>
      <w:pPr>
        <w:numPr>
          <w:ilvl w:val="0"/>
          <w:numId w:val="1004"/>
        </w:numPr>
      </w:pPr>
      <w:r>
        <w:t xml:space="preserve">the physical flows of materials and energy within the economy and between the economy and the environment;</w:t>
      </w:r>
    </w:p>
    <w:p>
      <w:pPr>
        <w:numPr>
          <w:ilvl w:val="0"/>
          <w:numId w:val="1004"/>
        </w:numPr>
      </w:pPr>
      <w:r>
        <w:t xml:space="preserve">the stocks of environmental assets and changes in these stocks; and</w:t>
      </w:r>
    </w:p>
    <w:p>
      <w:pPr>
        <w:numPr>
          <w:ilvl w:val="0"/>
          <w:numId w:val="1004"/>
        </w:numPr>
      </w:pPr>
      <w:r>
        <w:t xml:space="preserve">economic activity and transactions related to the environment.</w:t>
      </w:r>
    </w:p>
    <w:p>
      <w:pPr>
        <w:pStyle w:val="FirstParagraph"/>
      </w:pPr>
      <w:r>
        <w:t xml:space="preserve">Central to measurement in these areas are definitions of the economy and the environment. Measurement boundaries are defined with a view to ensuring that information can be organized in a consistent way over time, across countries and between different areas of analysis.</w:t>
      </w:r>
    </w:p>
    <w:p>
      <w:pPr>
        <w:pStyle w:val="BodyText"/>
      </w:pPr>
      <w:r>
        <w:t xml:space="preserve">For measurement purposes, the economy is represented by both stocks and flows. The measurement of flows centres on the economic activities of production, consumption and accumulation. With regard to these, it is the measurement boundary for production (the production boundary) that is the most significant, since all goods and services (products) that are regarded as being produced are effectively considered to be</w:t>
      </w:r>
      <w:r>
        <w:t xml:space="preserve"> </w:t>
      </w:r>
      <w:r>
        <w:t xml:space="preserve">“inside”</w:t>
      </w:r>
      <w:r>
        <w:t xml:space="preserve"> </w:t>
      </w:r>
      <w:r>
        <w:t xml:space="preserve">the economy. Flows between the economy and the environment are determined by whether they cross the production boundary.</w:t>
      </w:r>
    </w:p>
    <w:p>
      <w:pPr>
        <w:pStyle w:val="BodyText"/>
      </w:pPr>
      <w:r>
        <w:t xml:space="preserve">Stocks of economic assets provide inputs to production processes and are a source of wealth for economic units, including households. While many economic assets are produced from economic activity (e.g., buildings and machines), many are non-produced (e.g., land, mineral resources and water resources). Both produced and non-produced assets provide inputs to the production of goods and services.</w:t>
      </w:r>
    </w:p>
    <w:p>
      <w:pPr>
        <w:pStyle w:val="BodyText"/>
      </w:pPr>
      <w:r>
        <w:t xml:space="preserve">Environmental stocks and flows are considered holistically. From a stock perspective, the environment includes all living and non-living components that constitute the biophysical environment, including all types of natural resources and the ecosystems within which they are located. 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w:t>
      </w:r>
    </w:p>
    <w:bookmarkStart w:id="37" w:name="X7632f3ccb0e3e3c34b449fbe1b824dc3ab4c250"/>
    <w:p>
      <w:pPr>
        <w:pStyle w:val="Heading3"/>
      </w:pPr>
      <w:r>
        <w:t xml:space="preserve">The measurement of physical flows - Terminology</w:t>
      </w:r>
    </w:p>
    <w:p>
      <w:pPr>
        <w:pStyle w:val="FirstParagraph"/>
      </w:pPr>
      <w:r>
        <w:t xml:space="preserve">A key focus of measurement is the use of physical units to record flows of materials and energy that enter and leave the economy and flows of materials and energy within the economy itself. These measures are called physical flows. In broad terms, the flows from the environment to the economy are recorded as natural inputs (e.g, flows of minerals, timber, fish and water).1 Flows within the economy are recorded as product flows (including additions to the stock of fixed assets) and flows from the economy to the environment are recorded as residuals (e.g., solid waste, air emissions and return flows of water). This broad characterisation is presented in figure 2.1.</w:t>
      </w:r>
    </w:p>
    <w:p>
      <w:pPr>
        <w:pStyle w:val="CaptionedFigure"/>
      </w:pPr>
      <w:r>
        <w:drawing>
          <wp:inline>
            <wp:extent cx="5270500" cy="3052219"/>
            <wp:effectExtent b="0" l="0" r="0" t="0"/>
            <wp:docPr descr="Figure 1: Physical flows of natural inputs, products and residuals" title="" id="30" name="Picture"/>
            <a:graphic>
              <a:graphicData uri="http://schemas.openxmlformats.org/drawingml/2006/picture">
                <pic:pic>
                  <pic:nvPicPr>
                    <pic:cNvPr descr="Graphical_Output/Physical%20flows%20of%20natural%20inputs,%20products%20and%20residuals.png" id="31" name="Picture"/>
                    <pic:cNvPicPr>
                      <a:picLocks noChangeArrowheads="1" noChangeAspect="1"/>
                    </pic:cNvPicPr>
                  </pic:nvPicPr>
                  <pic:blipFill>
                    <a:blip r:embed="rId29"/>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32" w:name="fig:unnamed-chunk-1"/>
      <w:bookmarkEnd w:id="32"/>
      <w:r>
        <w:t xml:space="preserve">Figure 1: Physical flows of natural inputs, products and residuals</w:t>
      </w:r>
    </w:p>
    <w:bookmarkStart w:id="36" w:name="definitions"/>
    <w:p>
      <w:pPr>
        <w:pStyle w:val="Heading4"/>
      </w:pPr>
      <w:r>
        <w:t xml:space="preserve">Definitions</w:t>
      </w:r>
    </w:p>
    <w:p>
      <w:pPr>
        <w:pStyle w:val="FirstParagraph"/>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33"/>
      </w:r>
      <w:r>
        <w:br/>
      </w:r>
      <w:r>
        <w:t xml:space="preserve">Ecosystems are a dynamic complex of plant, animal and microorganism communities and their non-living environment interacting as a functional unit.</w:t>
      </w:r>
      <w:r>
        <w:rPr>
          <w:rStyle w:val="FootnoteReference"/>
        </w:rPr>
        <w:footnoteReference w:id="35"/>
      </w:r>
      <w:r>
        <w:t xml:space="preserve"> </w:t>
      </w:r>
      <w:r>
        <w:t xml:space="preserve">A distinction is made between environmental assets that are cultivated and those that are natural resources. Natural resources include all natural biological resources (including timber and aquatic resources), mineral and energy resources, soil resources and water resources. All cultivated biological resources and land are excluded from scope.</w:t>
      </w:r>
    </w:p>
    <w:p>
      <w:pPr>
        <w:pStyle w:val="BodyText"/>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pStyle w:val="BodyText"/>
      </w:pPr>
      <w:r>
        <w:rPr>
          <w:i/>
          <w:iCs/>
        </w:rPr>
        <w:t xml:space="preserve">Ecosystem services</w:t>
      </w:r>
      <w:r>
        <w:t xml:space="preserve"> </w:t>
      </w:r>
      <w:r>
        <w:t xml:space="preserve">are the contributions of ecosystems to benefits used in economic and other human activity. They are of three types:</w:t>
      </w:r>
    </w:p>
    <w:p>
      <w:pPr>
        <w:numPr>
          <w:ilvl w:val="0"/>
          <w:numId w:val="1005"/>
        </w:numPr>
      </w:pPr>
      <w:r>
        <w:t xml:space="preserve">provisioning services (such as the provision of timber from forests);</w:t>
      </w:r>
    </w:p>
    <w:p>
      <w:pPr>
        <w:numPr>
          <w:ilvl w:val="0"/>
          <w:numId w:val="1005"/>
        </w:numPr>
      </w:pPr>
      <w:r>
        <w:t xml:space="preserve">regulating services (provided, for example, by forests when they act as a sink for carbon); and</w:t>
      </w:r>
    </w:p>
    <w:p>
      <w:pPr>
        <w:numPr>
          <w:ilvl w:val="0"/>
          <w:numId w:val="1005"/>
        </w:numPr>
      </w:pPr>
      <w:r>
        <w:t xml:space="preserve">cultural services (such as the enjoyment provided to visitors to a national park).</w:t>
      </w:r>
    </w:p>
    <w:p>
      <w:pPr>
        <w:pStyle w:val="FirstParagraph"/>
      </w:pPr>
      <w:r>
        <w:t xml:space="preserve">Provisioning services are related to the material benefits of environmental assets, whereas the other types of ecosystem services are related to the non-material benefits of environmental assets.</w:t>
      </w:r>
    </w:p>
    <w:p>
      <w:pPr>
        <w:pStyle w:val="BodyText"/>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pStyle w:val="BodyText"/>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0"/>
          <w:numId w:val="1006"/>
        </w:numPr>
      </w:pPr>
      <w:r>
        <w:t xml:space="preserve">natural resource inputs, such as mineral and energy resources or timber resources,</w:t>
      </w:r>
    </w:p>
    <w:p>
      <w:pPr>
        <w:numPr>
          <w:ilvl w:val="0"/>
          <w:numId w:val="1006"/>
        </w:numPr>
      </w:pPr>
      <w:r>
        <w:t xml:space="preserve">inputs from renewable energy sources, such as solar energy captured by economic units, or</w:t>
      </w:r>
    </w:p>
    <w:p>
      <w:pPr>
        <w:numPr>
          <w:ilvl w:val="0"/>
          <w:numId w:val="1006"/>
        </w:numPr>
      </w:pPr>
      <w:r>
        <w:t xml:space="preserve">other natural inputs such as inputs from soil (e.g., soil nutrients) and inputs from air (e.g., oxygen absorbed in combustion processes).</w:t>
      </w:r>
    </w:p>
    <w:p>
      <w:pPr>
        <w:pStyle w:val="FirstParagraph"/>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pStyle w:val="BodyText"/>
      </w:pPr>
      <w:r>
        <w:rPr>
          <w:i/>
          <w:iCs/>
        </w:rPr>
        <w:t xml:space="preserve">Products</w:t>
      </w:r>
      <w:r>
        <w:t xml:space="preserve"> </w:t>
      </w:r>
      <w:r>
        <w:t xml:space="preserve">are goods and services that result from a process of production in the economy.</w:t>
      </w:r>
    </w:p>
    <w:p>
      <w:pPr>
        <w:pStyle w:val="BodyText"/>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p>
      <w:r>
        <w:br w:type="page"/>
      </w:r>
    </w:p>
    <w:bookmarkEnd w:id="36"/>
    <w:bookmarkEnd w:id="37"/>
    <w:bookmarkEnd w:id="38"/>
    <w:bookmarkEnd w:id="39"/>
    <w:bookmarkStart w:id="57" w:name="the-central-framework"/>
    <w:p>
      <w:pPr>
        <w:pStyle w:val="Heading1"/>
      </w:pPr>
      <w:r>
        <w:t xml:space="preserve">The Central Framework</w:t>
      </w:r>
    </w:p>
    <w:p>
      <w:pPr>
        <w:pStyle w:val="FirstParagraph"/>
      </w:pPr>
      <w:r>
        <w:t xml:space="preserve">The Central Framework comprises the following types of tables and accounts:</w:t>
      </w:r>
    </w:p>
    <w:p>
      <w:pPr>
        <w:numPr>
          <w:ilvl w:val="0"/>
          <w:numId w:val="1007"/>
        </w:numPr>
      </w:pPr>
      <w:r>
        <w:t xml:space="preserve">supply and use tables in physical and monetary terms showing flows of natural inputs, products and residuals;</w:t>
      </w:r>
    </w:p>
    <w:p>
      <w:pPr>
        <w:numPr>
          <w:ilvl w:val="0"/>
          <w:numId w:val="1007"/>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7"/>
        </w:numPr>
      </w:pPr>
      <w:r>
        <w:t xml:space="preserve">a sequence of economic accounts highlighting depletion-adjusted economic aggregates; and</w:t>
      </w:r>
    </w:p>
    <w:p>
      <w:pPr>
        <w:numPr>
          <w:ilvl w:val="0"/>
          <w:numId w:val="1007"/>
        </w:numPr>
      </w:pPr>
      <w:r>
        <w:t xml:space="preserve">functional accounts recording transactions and other information about economic activities undertaken for environmental purposes.</w:t>
      </w:r>
    </w:p>
    <w:p>
      <w:pPr>
        <w:pStyle w:val="FirstParagraph"/>
      </w:pPr>
      <w:r>
        <w:t xml:space="preserve">The analysis of these data can also be extended by linking the tables and accounts to relevant employment, demographic and social information.</w:t>
      </w:r>
    </w:p>
    <w:bookmarkStart w:id="45" w:name="physical-supply-and-use-tables-psut"/>
    <w:p>
      <w:pPr>
        <w:pStyle w:val="Heading2"/>
      </w:pPr>
      <w:r>
        <w:t xml:space="preserve">Physical supply and use tables (PSUT)</w:t>
      </w:r>
    </w:p>
    <w:p>
      <w:pPr>
        <w:pStyle w:val="FirstParagraph"/>
      </w:pPr>
      <w:r>
        <w:t xml:space="preserve">Physical flows are recorded by compiling supply and use tables in physical units of measurement. These tables are used to assess how an economy supplies and uses</w:t>
      </w:r>
      <w:r>
        <w:t xml:space="preserve"> </w:t>
      </w:r>
      <w:r>
        <w:rPr>
          <w:b/>
          <w:bCs/>
        </w:rPr>
        <w:t xml:space="preserve">energy, water and materials</w:t>
      </w:r>
      <w:r>
        <w:t xml:space="preserve"> </w:t>
      </w:r>
      <w:r>
        <w:t xml:space="preserve">(the three flow measures), as well as to examine changes in production and consumption patterns over time.</w:t>
      </w:r>
    </w:p>
    <w:p>
      <w:pPr>
        <w:pStyle w:val="BodyText"/>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41" name="Picture"/>
            <a:graphic>
              <a:graphicData uri="http://schemas.openxmlformats.org/drawingml/2006/picture">
                <pic:pic>
                  <pic:nvPicPr>
                    <pic:cNvPr descr="Graphical_Output/Physical_SUT.png" id="42" name="Picture"/>
                    <pic:cNvPicPr>
                      <a:picLocks noChangeArrowheads="1" noChangeAspect="1"/>
                    </pic:cNvPicPr>
                  </pic:nvPicPr>
                  <pic:blipFill>
                    <a:blip r:embed="rId40"/>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43" w:name="fig:unnamed-chunk-2"/>
      <w:bookmarkEnd w:id="43"/>
      <w:r>
        <w:t xml:space="preserve">Figure 2: Physical Supply and Use Table</w:t>
      </w:r>
    </w:p>
    <w:p>
      <w:pPr>
        <w:pStyle w:val="BodyText"/>
      </w:pPr>
      <w:r>
        <w:t xml:space="preserve">The column for households in the PSUT relates solely to the consumption activity of households. Many households also undertake a range of activity for own consumption, including the collection of water and fuelwood, and the generation of hot water through the use of solar energy. While this activity is often regarded as direct household consumption from the environment, in the SEEA, all products that are consumed must first be recorded</w:t>
      </w:r>
      <w:r>
        <w:t xml:space="preserve"> </w:t>
      </w:r>
      <w:r>
        <w:t xml:space="preserve">as being produced. Hence, all of this production activity and the associated flows of natural inputs and products should be recorded in the first column, industries. The consumption activity of households recorded in the PSUT extends to the generation of solid waste and other residuals as a consequence of consumption.</w:t>
      </w:r>
    </w:p>
    <w:bookmarkStart w:id="44" w:name="Xf2cdd3791669a4d97801d7fdb11291fc551e133"/>
    <w:p>
      <w:pPr>
        <w:pStyle w:val="Heading3"/>
      </w:pP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w:t>
      </w:r>
      <w:r>
        <w:t xml:space="preserve"> </w:t>
      </w:r>
      <w:r>
        <w:t xml:space="preserve">deducted from the table as a whole.</w:t>
      </w:r>
    </w:p>
    <w:bookmarkEnd w:id="44"/>
    <w:bookmarkEnd w:id="45"/>
    <w:bookmarkStart w:id="56" w:name="asset-accounts"/>
    <w:p>
      <w:pPr>
        <w:pStyle w:val="Heading2"/>
      </w:pPr>
      <w:r>
        <w:t xml:space="preserve">Asset accounts</w:t>
      </w:r>
    </w:p>
    <w:p>
      <w:pPr>
        <w:pStyle w:val="FirstParagraph"/>
      </w:pPr>
      <w:r>
        <w:t xml:space="preserve">The intent of asset accounts is to record the opening and closing stock of environmental assets and the different types of changes in the stock over an accounting period. One purpose of accounting for environmental assets is to assess whether current patterns of economic activity are depleting and degrading the available environmental assets. Information from asset accounts can be used to assist in the management of environmental assets; and</w:t>
      </w:r>
      <w:r>
        <w:t xml:space="preserve"> </w:t>
      </w:r>
      <w:r>
        <w:t xml:space="preserve">valuations of natural resources and land can be combined with valuations of produced and financial assets to provide broader estimates of national wealth.</w:t>
      </w:r>
    </w:p>
    <w:p>
      <w:pPr>
        <w:pStyle w:val="BodyText"/>
      </w:pPr>
      <w:r>
        <w:t xml:space="preserve">Asset accounts are compiled for individual types of environmental assets. The capacity to account for and analyse the state of and changes in environmental assets is a fundamental component of the Central Framework.</w:t>
      </w:r>
    </w:p>
    <w:p>
      <w:pPr>
        <w:pStyle w:val="CaptionedFigure"/>
      </w:pPr>
      <w:r>
        <w:drawing>
          <wp:inline>
            <wp:extent cx="5270500" cy="3774249"/>
            <wp:effectExtent b="0" l="0" r="0" t="0"/>
            <wp:docPr descr="Figure 3: Basic Asset Account" title="" id="47" name="Picture"/>
            <a:graphic>
              <a:graphicData uri="http://schemas.openxmlformats.org/drawingml/2006/picture">
                <pic:pic>
                  <pic:nvPicPr>
                    <pic:cNvPr descr="Graphical_Output/Basic_Asset_Account.png" id="48" name="Picture"/>
                    <pic:cNvPicPr>
                      <a:picLocks noChangeArrowheads="1" noChangeAspect="1"/>
                    </pic:cNvPicPr>
                  </pic:nvPicPr>
                  <pic:blipFill>
                    <a:blip r:embed="rId46"/>
                    <a:stretch>
                      <a:fillRect/>
                    </a:stretch>
                  </pic:blipFill>
                  <pic:spPr bwMode="auto">
                    <a:xfrm>
                      <a:off x="0" y="0"/>
                      <a:ext cx="5270500" cy="3774249"/>
                    </a:xfrm>
                    <a:prstGeom prst="rect">
                      <a:avLst/>
                    </a:prstGeom>
                    <a:noFill/>
                    <a:ln w="9525">
                      <a:noFill/>
                      <a:headEnd/>
                      <a:tailEnd/>
                    </a:ln>
                  </pic:spPr>
                </pic:pic>
              </a:graphicData>
            </a:graphic>
          </wp:inline>
        </w:drawing>
      </w:r>
    </w:p>
    <w:p>
      <w:pPr>
        <w:pStyle w:val="ImageCaption"/>
      </w:pPr>
      <w:bookmarkStart w:id="49" w:name="fig:unnamed-chunk-3"/>
      <w:bookmarkEnd w:id="49"/>
      <w:r>
        <w:t xml:space="preserve">Figure 3: Basic Asset Account</w:t>
      </w:r>
    </w:p>
    <w:p>
      <w:pPr>
        <w:pStyle w:val="BodyText"/>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toother</w:t>
      </w:r>
      <w:r>
        <w:t xml:space="preserve"> </w:t>
      </w:r>
      <w:r>
        <w:t xml:space="preserve">economic units to support environmental protection activity.</w:t>
      </w:r>
    </w:p>
    <w:p>
      <w:pPr>
        <w:pStyle w:val="CaptionedFigure"/>
      </w:pPr>
      <w:r>
        <w:drawing>
          <wp:inline>
            <wp:extent cx="5270500" cy="3980389"/>
            <wp:effectExtent b="0" l="0" r="0" t="0"/>
            <wp:docPr descr="Figure 4: Connections between supply and use tables and asset accounts" title="" id="51" name="Picture"/>
            <a:graphic>
              <a:graphicData uri="http://schemas.openxmlformats.org/drawingml/2006/picture">
                <pic:pic>
                  <pic:nvPicPr>
                    <pic:cNvPr descr="Graphical_Output/PSUT_and_Asset_Accounts.png" id="52" name="Picture"/>
                    <pic:cNvPicPr>
                      <a:picLocks noChangeArrowheads="1" noChangeAspect="1"/>
                    </pic:cNvPicPr>
                  </pic:nvPicPr>
                  <pic:blipFill>
                    <a:blip r:embed="rId50"/>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53" w:name="fig:unnamed-chunk-4"/>
      <w:bookmarkEnd w:id="53"/>
      <w:r>
        <w:t xml:space="preserve">Figure 4: Connections between supply and use tables and asset accounts</w:t>
      </w:r>
    </w:p>
    <w:bookmarkStart w:id="54" w:name="Xba7bea4e64f02992df7bde36d92f21dd90169a9"/>
    <w:p>
      <w:pPr>
        <w:pStyle w:val="Heading3"/>
      </w:pP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54"/>
    <w:bookmarkStart w:id="55" w:name="X15249a7bfc0eff46260a4bf04d5017d7457388c"/>
    <w:p>
      <w:pPr>
        <w:pStyle w:val="Heading3"/>
      </w:pP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08"/>
        </w:numPr>
      </w:pPr>
      <w:r>
        <w:t xml:space="preserve">Units intending to operate in a country for less than a year, for example, specialized construction firms or aid and relief agencies. These are considered residents of their home country;</w:t>
      </w:r>
    </w:p>
    <w:p>
      <w:pPr>
        <w:numPr>
          <w:ilvl w:val="0"/>
          <w:numId w:val="1008"/>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08"/>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55"/>
    <w:bookmarkEnd w:id="56"/>
    <w:bookmarkEnd w:id="57"/>
    <w:bookmarkStart w:id="65" w:name="physical-flow-metrics"/>
    <w:p>
      <w:pPr>
        <w:pStyle w:val="Heading1"/>
      </w:pPr>
      <w:r>
        <w:rPr>
          <w:rStyle w:val="SectionNumber"/>
        </w:rPr>
        <w:t xml:space="preserve">2</w:t>
      </w:r>
      <w:r>
        <w:tab/>
      </w:r>
      <w:r>
        <w:t xml:space="preserve">Physical flow metrics</w:t>
      </w:r>
    </w:p>
    <w:p>
      <w:pPr>
        <w:pStyle w:val="FirstParagraph"/>
      </w:pPr>
      <w:r>
        <w:t xml:space="preserve">Related to the three metrics of energy, water and product. I’m just focusing on the ocean related dimensions.</w:t>
      </w:r>
    </w:p>
    <w:bookmarkStart w:id="62" w:name="physical-flow-accounts-for-energy"/>
    <w:p>
      <w:pPr>
        <w:pStyle w:val="Heading2"/>
      </w:pPr>
      <w:r>
        <w:t xml:space="preserve">Physical flow accounts for energy</w:t>
      </w:r>
    </w:p>
    <w:bookmarkStart w:id="58" w:name="Xebb460e92213afb186c8ff8d50a40711354bcfd"/>
    <w:p>
      <w:pPr>
        <w:pStyle w:val="Heading3"/>
      </w:pP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09"/>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09"/>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58"/>
    <w:bookmarkStart w:id="59" w:name="tourist-activity"/>
    <w:p>
      <w:pPr>
        <w:pStyle w:val="Heading3"/>
      </w:pP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59"/>
    <w:bookmarkStart w:id="60" w:name="illegal-harvesting"/>
    <w:p>
      <w:pPr>
        <w:pStyle w:val="Heading3"/>
      </w:pP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60"/>
    <w:bookmarkStart w:id="61" w:name="X6604d7e576535eae4018b1c6bb60377755daba9"/>
    <w:p>
      <w:pPr>
        <w:pStyle w:val="Heading3"/>
      </w:pP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0"/>
        </w:numPr>
      </w:pPr>
      <w:r>
        <w:t xml:space="preserve">returned to the original country,</w:t>
      </w:r>
    </w:p>
    <w:p>
      <w:pPr>
        <w:numPr>
          <w:ilvl w:val="0"/>
          <w:numId w:val="1010"/>
        </w:numPr>
      </w:pPr>
      <w:r>
        <w:t xml:space="preserve">sold in the processing country or</w:t>
      </w:r>
    </w:p>
    <w:p>
      <w:pPr>
        <w:numPr>
          <w:ilvl w:val="0"/>
          <w:numId w:val="1010"/>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61"/>
    <w:bookmarkEnd w:id="62"/>
    <w:bookmarkStart w:id="63"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1"/>
        </w:numPr>
      </w:pPr>
      <w:r>
        <w:t xml:space="preserve">abstraction of water from the environment;</w:t>
      </w:r>
    </w:p>
    <w:p>
      <w:pPr>
        <w:numPr>
          <w:ilvl w:val="0"/>
          <w:numId w:val="1011"/>
        </w:numPr>
      </w:pPr>
      <w:r>
        <w:t xml:space="preserve">distribution and use of abstracted water across enterprises and households;</w:t>
      </w:r>
    </w:p>
    <w:p>
      <w:pPr>
        <w:numPr>
          <w:ilvl w:val="0"/>
          <w:numId w:val="1011"/>
        </w:numPr>
      </w:pPr>
      <w:r>
        <w:t xml:space="preserve">flows of wastewater and reused water (between households and enterprises);</w:t>
      </w:r>
    </w:p>
    <w:p>
      <w:pPr>
        <w:numPr>
          <w:ilvl w:val="0"/>
          <w:numId w:val="1011"/>
        </w:numPr>
      </w:pPr>
      <w:r>
        <w:t xml:space="preserve">return flows of water to the environment; and</w:t>
      </w:r>
    </w:p>
    <w:p>
      <w:pPr>
        <w:numPr>
          <w:ilvl w:val="0"/>
          <w:numId w:val="1011"/>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2"/>
        </w:numPr>
      </w:pPr>
      <w:r>
        <w:t xml:space="preserve">ISIC divisions 01-03: Agriculture, forestry and fishing (it may be relevant to distinguish among the uses of water by these different industries)</w:t>
      </w:r>
    </w:p>
    <w:p>
      <w:pPr>
        <w:numPr>
          <w:ilvl w:val="0"/>
          <w:numId w:val="1012"/>
        </w:numPr>
      </w:pPr>
      <w:r>
        <w:t xml:space="preserve">ISIC divisions 05-33 and 41: Mining and quarrying; manufacturing; and construction, respectively</w:t>
      </w:r>
    </w:p>
    <w:p>
      <w:pPr>
        <w:numPr>
          <w:ilvl w:val="0"/>
          <w:numId w:val="1012"/>
        </w:numPr>
      </w:pPr>
      <w:r>
        <w:t xml:space="preserve">ISIC division 35: Electricity, gas, steam and air conditioning supply</w:t>
      </w:r>
    </w:p>
    <w:p>
      <w:pPr>
        <w:numPr>
          <w:ilvl w:val="0"/>
          <w:numId w:val="1012"/>
        </w:numPr>
      </w:pPr>
      <w:r>
        <w:t xml:space="preserve">ISIC division 36: Water collection, treatment and supply; sewerage, waste management and remediation activities</w:t>
      </w:r>
    </w:p>
    <w:p>
      <w:pPr>
        <w:numPr>
          <w:ilvl w:val="0"/>
          <w:numId w:val="1012"/>
        </w:numPr>
      </w:pPr>
      <w:r>
        <w:t xml:space="preserve">ISIC division 37: Sewerage</w:t>
      </w:r>
    </w:p>
    <w:p>
      <w:pPr>
        <w:numPr>
          <w:ilvl w:val="0"/>
          <w:numId w:val="1012"/>
        </w:numPr>
      </w:pPr>
      <w:r>
        <w:t xml:space="preserve">ISIC divisions: 38, 39 and 45-99: Other industries</w:t>
      </w:r>
    </w:p>
    <w:bookmarkEnd w:id="63"/>
    <w:bookmarkStart w:id="64"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3"/>
        </w:numPr>
      </w:pPr>
      <w:r>
        <w:t xml:space="preserve">product flow accounting,</w:t>
      </w:r>
    </w:p>
    <w:p>
      <w:pPr>
        <w:numPr>
          <w:ilvl w:val="0"/>
          <w:numId w:val="1013"/>
        </w:numPr>
      </w:pPr>
      <w:r>
        <w:t xml:space="preserve">accounting for air emissions,</w:t>
      </w:r>
    </w:p>
    <w:p>
      <w:pPr>
        <w:numPr>
          <w:ilvl w:val="0"/>
          <w:numId w:val="1013"/>
        </w:numPr>
      </w:pPr>
      <w:r>
        <w:t xml:space="preserve">accounting for emissions to water and associated releases to economic units,</w:t>
      </w:r>
    </w:p>
    <w:p>
      <w:pPr>
        <w:numPr>
          <w:ilvl w:val="0"/>
          <w:numId w:val="1013"/>
        </w:numPr>
      </w:pPr>
      <w:r>
        <w:t xml:space="preserve">accounting for solid waste and</w:t>
      </w:r>
    </w:p>
    <w:p>
      <w:pPr>
        <w:numPr>
          <w:ilvl w:val="0"/>
          <w:numId w:val="1013"/>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64"/>
    <w:bookmarkEnd w:id="65"/>
    <w:bookmarkStart w:id="73"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71"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4"/>
        </w:numPr>
      </w:pPr>
      <w:r>
        <w:t xml:space="preserve">The prevention, reduction or treatment of waste and wastewater;</w:t>
      </w:r>
    </w:p>
    <w:p>
      <w:pPr>
        <w:numPr>
          <w:ilvl w:val="0"/>
          <w:numId w:val="1014"/>
        </w:numPr>
      </w:pPr>
      <w:r>
        <w:t xml:space="preserve">The prevention, reduction or elimination of air emissions;</w:t>
      </w:r>
    </w:p>
    <w:p>
      <w:pPr>
        <w:numPr>
          <w:ilvl w:val="0"/>
          <w:numId w:val="1014"/>
        </w:numPr>
      </w:pPr>
      <w:r>
        <w:t xml:space="preserve">The treatment and disposal of contaminated soil and groundwater;</w:t>
      </w:r>
    </w:p>
    <w:p>
      <w:pPr>
        <w:numPr>
          <w:ilvl w:val="0"/>
          <w:numId w:val="1014"/>
        </w:numPr>
      </w:pPr>
      <w:r>
        <w:t xml:space="preserve">The prevention or reduction of noise and vibration levels;</w:t>
      </w:r>
    </w:p>
    <w:p>
      <w:pPr>
        <w:numPr>
          <w:ilvl w:val="0"/>
          <w:numId w:val="1014"/>
        </w:numPr>
      </w:pPr>
      <w:r>
        <w:t xml:space="preserve">The protection of biodiversity and landscapes, including of their ecological functions;</w:t>
      </w:r>
    </w:p>
    <w:p>
      <w:pPr>
        <w:numPr>
          <w:ilvl w:val="0"/>
          <w:numId w:val="1014"/>
        </w:numPr>
      </w:pPr>
      <w:r>
        <w:t xml:space="preserve">Monitoring of the quality of the natural environment (air, water, soil and groundwater);</w:t>
      </w:r>
    </w:p>
    <w:p>
      <w:pPr>
        <w:numPr>
          <w:ilvl w:val="0"/>
          <w:numId w:val="1014"/>
        </w:numPr>
      </w:pPr>
      <w:r>
        <w:t xml:space="preserve">Research and development on environmental protection; and</w:t>
      </w:r>
    </w:p>
    <w:p>
      <w:pPr>
        <w:numPr>
          <w:ilvl w:val="0"/>
          <w:numId w:val="1014"/>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70" w:name="Xa03c15cce38eecbf40a7051de1f41061780082f"/>
    <w:p>
      <w:pPr>
        <w:pStyle w:val="Heading4"/>
      </w:pPr>
      <w:r>
        <w:t xml:space="preserve">Classification of environmental activities</w:t>
      </w:r>
    </w:p>
    <w:p>
      <w:pPr>
        <w:pStyle w:val="CaptionedFigure"/>
      </w:pPr>
      <w:r>
        <w:drawing>
          <wp:inline>
            <wp:extent cx="5270500" cy="3395758"/>
            <wp:effectExtent b="0" l="0" r="0" t="0"/>
            <wp:docPr descr="Figure 5: Classification of Environmental Activities: overview of groups and classes" title="" id="67" name="Picture"/>
            <a:graphic>
              <a:graphicData uri="http://schemas.openxmlformats.org/drawingml/2006/picture">
                <pic:pic>
                  <pic:nvPicPr>
                    <pic:cNvPr descr="Graphical_Output/ClassificationEnvironmentActivities.png" id="68" name="Picture"/>
                    <pic:cNvPicPr>
                      <a:picLocks noChangeArrowheads="1" noChangeAspect="1"/>
                    </pic:cNvPicPr>
                  </pic:nvPicPr>
                  <pic:blipFill>
                    <a:blip r:embed="rId66"/>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69" w:name="fig:unnamed-chunk-5"/>
      <w:bookmarkEnd w:id="69"/>
      <w:r>
        <w:t xml:space="preserve">Figure 5: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70"/>
    <w:bookmarkEnd w:id="71"/>
    <w:bookmarkStart w:id="72"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72"/>
    <w:bookmarkEnd w:id="73"/>
    <w:bookmarkStart w:id="86" w:name="asset-accounts-1"/>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6: Classification of environmental assets in the SEEA Central Framework" title="" id="75" name="Picture"/>
            <a:graphic>
              <a:graphicData uri="http://schemas.openxmlformats.org/drawingml/2006/picture">
                <pic:pic>
                  <pic:nvPicPr>
                    <pic:cNvPr descr="Graphical_Output/ClassificationofEnvironmentalAssets.png" id="76" name="Picture"/>
                    <pic:cNvPicPr>
                      <a:picLocks noChangeArrowheads="1" noChangeAspect="1"/>
                    </pic:cNvPicPr>
                  </pic:nvPicPr>
                  <pic:blipFill>
                    <a:blip r:embed="rId74"/>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77" w:name="fig:unnamed-chunk-6"/>
      <w:bookmarkEnd w:id="77"/>
      <w:r>
        <w:t xml:space="preserve">Figure 6: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7: General structure of the physical asset account for environmental assets (physical units)" title="" id="79" name="Picture"/>
            <a:graphic>
              <a:graphicData uri="http://schemas.openxmlformats.org/drawingml/2006/picture">
                <pic:pic>
                  <pic:nvPicPr>
                    <pic:cNvPr descr="Graphical_Output/Structure%20of%20physical%20assets%20accounts.png" id="80" name="Picture"/>
                    <pic:cNvPicPr>
                      <a:picLocks noChangeArrowheads="1" noChangeAspect="1"/>
                    </pic:cNvPicPr>
                  </pic:nvPicPr>
                  <pic:blipFill>
                    <a:blip r:embed="rId78"/>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81" w:name="fig:unnamed-chunk-7"/>
      <w:bookmarkEnd w:id="81"/>
      <w:r>
        <w:t xml:space="preserve">Figure 7: General structure of the physical asset account for environmental assets (physical units)</w:t>
      </w:r>
    </w:p>
    <w:bookmarkStart w:id="82"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82"/>
    <w:bookmarkStart w:id="83"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83"/>
    <w:bookmarkStart w:id="84"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84"/>
    <w:bookmarkStart w:id="85"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5"/>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5"/>
        </w:numPr>
      </w:pPr>
      <w:r>
        <w:t xml:space="preserve">Estimate resource rent as GOS less specific subsidies plus specific taxes less user cost of produced assets;</w:t>
      </w:r>
    </w:p>
    <w:p>
      <w:pPr>
        <w:numPr>
          <w:ilvl w:val="0"/>
          <w:numId w:val="1015"/>
        </w:numPr>
      </w:pPr>
      <w:r>
        <w:t xml:space="preserve">Estimate the asset life based on physical assessment of the stock and projected rates of extraction and growth;</w:t>
      </w:r>
    </w:p>
    <w:p>
      <w:pPr>
        <w:numPr>
          <w:ilvl w:val="0"/>
          <w:numId w:val="1015"/>
        </w:numPr>
      </w:pPr>
      <w:r>
        <w:t xml:space="preserve">Project the estimate of resource rent over the life of the asset, taking into account any expected changes in extraction pattern;</w:t>
      </w:r>
    </w:p>
    <w:p>
      <w:pPr>
        <w:numPr>
          <w:ilvl w:val="0"/>
          <w:numId w:val="1015"/>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85"/>
    <w:bookmarkEnd w:id="86"/>
    <w:bookmarkStart w:id="87"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6"/>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6"/>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6"/>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87"/>
    <w:bookmarkStart w:id="99"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8: Land use classification" title="" id="89" name="Picture"/>
            <a:graphic>
              <a:graphicData uri="http://schemas.openxmlformats.org/drawingml/2006/picture">
                <pic:pic>
                  <pic:nvPicPr>
                    <pic:cNvPr descr="Graphical_Output/LandUse.png" id="90" name="Picture"/>
                    <pic:cNvPicPr>
                      <a:picLocks noChangeArrowheads="1" noChangeAspect="1"/>
                    </pic:cNvPicPr>
                  </pic:nvPicPr>
                  <pic:blipFill>
                    <a:blip r:embed="rId88"/>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91" w:name="fig:unnamed-chunk-8"/>
      <w:bookmarkEnd w:id="91"/>
      <w:r>
        <w:t xml:space="preserve">Figure 8: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9: Land cover classification" title="" id="93" name="Picture"/>
            <a:graphic>
              <a:graphicData uri="http://schemas.openxmlformats.org/drawingml/2006/picture">
                <pic:pic>
                  <pic:nvPicPr>
                    <pic:cNvPr descr="Graphical_Output/LandcoverClassification.png" id="94" name="Picture"/>
                    <pic:cNvPicPr>
                      <a:picLocks noChangeArrowheads="1" noChangeAspect="1"/>
                    </pic:cNvPicPr>
                  </pic:nvPicPr>
                  <pic:blipFill>
                    <a:blip r:embed="rId92"/>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95" w:name="fig:unnamed-chunk-9"/>
      <w:bookmarkEnd w:id="95"/>
      <w:r>
        <w:t xml:space="preserve">Figure 9: Land cover classification</w:t>
      </w:r>
    </w:p>
    <w:p>
      <w:pPr>
        <w:pStyle w:val="BodyText"/>
      </w:pPr>
      <w:r>
        <w:drawing>
          <wp:inline>
            <wp:extent cx="5270500" cy="2552611"/>
            <wp:effectExtent b="0" l="0" r="0" t="0"/>
            <wp:docPr descr="Figure 10: Physical account for land cover (hectares)" title="" id="97" name="Picture"/>
            <a:graphic>
              <a:graphicData uri="http://schemas.openxmlformats.org/drawingml/2006/picture">
                <pic:pic>
                  <pic:nvPicPr>
                    <pic:cNvPr descr="Graphical_Output/Physical_Account_for_Land.png" id="98" name="Picture"/>
                    <pic:cNvPicPr>
                      <a:picLocks noChangeArrowheads="1" noChangeAspect="1"/>
                    </pic:cNvPicPr>
                  </pic:nvPicPr>
                  <pic:blipFill>
                    <a:blip r:embed="rId96"/>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99"/>
    <w:bookmarkStart w:id="116"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100"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100"/>
    <w:bookmarkStart w:id="105"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1: Physical asset account for aquatic resources (tonnes)" title="" id="102" name="Picture"/>
            <a:graphic>
              <a:graphicData uri="http://schemas.openxmlformats.org/drawingml/2006/picture">
                <pic:pic>
                  <pic:nvPicPr>
                    <pic:cNvPr descr="Graphical_Output/Aquatic_Physical_Asset_Accounts.png" id="103" name="Picture"/>
                    <pic:cNvPicPr>
                      <a:picLocks noChangeArrowheads="1" noChangeAspect="1"/>
                    </pic:cNvPicPr>
                  </pic:nvPicPr>
                  <pic:blipFill>
                    <a:blip r:embed="rId101"/>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04" w:name="fig:unnamed-chunk-11"/>
      <w:bookmarkEnd w:id="104"/>
      <w:r>
        <w:t xml:space="preserve">Figure 11: Physical asset account for aquatic resources (tonnes)</w:t>
      </w:r>
    </w:p>
    <w:bookmarkEnd w:id="105"/>
    <w:bookmarkStart w:id="106"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06"/>
    <w:bookmarkStart w:id="111"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2: Catch concepts: a diagrammatic presentation" title="" id="108" name="Picture"/>
            <a:graphic>
              <a:graphicData uri="http://schemas.openxmlformats.org/drawingml/2006/picture">
                <pic:pic>
                  <pic:nvPicPr>
                    <pic:cNvPr descr="Graphical_Output/SEEA_AnnexA5_4.png" id="109" name="Picture"/>
                    <pic:cNvPicPr>
                      <a:picLocks noChangeArrowheads="1" noChangeAspect="1"/>
                    </pic:cNvPicPr>
                  </pic:nvPicPr>
                  <pic:blipFill>
                    <a:blip r:embed="rId107"/>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10" w:name="fig:SEEAAnnexA54"/>
      <w:bookmarkEnd w:id="110"/>
      <w:r>
        <w:t xml:space="preserve">Figure 12: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12</w:t>
      </w:r>
      <w:r>
        <w:t xml:space="preserve">.</w:t>
      </w:r>
    </w:p>
    <w:p>
      <w:pPr>
        <w:numPr>
          <w:ilvl w:val="0"/>
          <w:numId w:val="1017"/>
        </w:numPr>
      </w:pPr>
      <w:r>
        <w:t xml:space="preserve">Gross removal: the total live weight of fish caught or killed during fishing operations;</w:t>
      </w:r>
    </w:p>
    <w:p>
      <w:pPr>
        <w:numPr>
          <w:ilvl w:val="0"/>
          <w:numId w:val="1017"/>
        </w:numPr>
      </w:pPr>
      <w:r>
        <w:t xml:space="preserve">Gross catch: the total live weight of fish caught (gross removal less pre-catch losses);</w:t>
      </w:r>
    </w:p>
    <w:p>
      <w:pPr>
        <w:numPr>
          <w:ilvl w:val="0"/>
          <w:numId w:val="1017"/>
        </w:numPr>
      </w:pPr>
      <w:r>
        <w:t xml:space="preserve">Retained catch: the total live weight of fish retained (gross catch less discarded catch);</w:t>
      </w:r>
    </w:p>
    <w:p>
      <w:pPr>
        <w:numPr>
          <w:ilvl w:val="0"/>
          <w:numId w:val="1017"/>
        </w:numPr>
      </w:pPr>
      <w:r>
        <w:t xml:space="preserve">Landings: the net weight of the quantities landed as recorded at the time of landing;</w:t>
      </w:r>
    </w:p>
    <w:p>
      <w:pPr>
        <w:numPr>
          <w:ilvl w:val="0"/>
          <w:numId w:val="1017"/>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11"/>
    <w:bookmarkStart w:id="112"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12"/>
    <w:bookmarkStart w:id="113"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13"/>
    <w:bookmarkStart w:id="114"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14"/>
    <w:bookmarkStart w:id="115" w:name="valuation-of-natural-aquatic-resources"/>
    <w:p>
      <w:pPr>
        <w:pStyle w:val="Heading2"/>
      </w:pPr>
      <w:r>
        <w:rPr>
          <w:rStyle w:val="SectionNumber"/>
        </w:rPr>
        <w:t xml:space="preserve">2.1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15"/>
    <w:bookmarkEnd w:id="116"/>
    <w:bookmarkStart w:id="118" w:name="references"/>
    <w:p>
      <w:pPr>
        <w:pStyle w:val="Heading1"/>
      </w:pPr>
      <w:r>
        <w:rPr>
          <w:rStyle w:val="SectionNumber"/>
        </w:rPr>
        <w:t xml:space="preserve">3</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34">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[2]</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17">
        <w:r>
          <w:rPr>
            <w:rStyle w:val="Hyperlink"/>
          </w:rPr>
          <w:t xml:space="preserve">10.1126/science.adl4019</w:t>
        </w:r>
      </w:hyperlink>
      <w:r>
        <w:t xml:space="preserve">. URL:</w:t>
      </w:r>
      <w:r>
        <w:t xml:space="preserve"> </w:t>
      </w:r>
      <w:hyperlink r:id="rId28">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[3]</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Jun. 2025. URL:</w:t>
      </w:r>
      <w:r>
        <w:t xml:space="preserve"> </w:t>
      </w:r>
      <w:hyperlink r:id="rId21">
        <w:r>
          <w:rPr>
            <w:rStyle w:val="Hyperlink"/>
          </w:rPr>
          <w:t xml:space="preserve">https://nso.gov.ki/download/151/2023-24-hies-reports/2167/kiribati-natural-disasters-and-climate-change-report-2023-2024</w:t>
        </w:r>
      </w:hyperlink>
      <w:r>
        <w:t xml:space="preserve">.</w:t>
      </w:r>
    </w:p>
    <w:bookmarkEnd w:id="118"/>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hyperlink r:id="rId21">
        <w:r>
          <w:rPr>
            <w:rStyle w:val="Hyperlink"/>
          </w:rPr>
          <w:t xml:space="preserve">Kiribati National Statistics Office and The Pacific Community, 2025</w:t>
        </w:r>
      </w:hyperlink>
      <w:r>
        <w:t xml:space="preserve">)</w:t>
      </w:r>
    </w:p>
  </w:footnote>
  <w:footnote w:id="27">
    <w:p>
      <w:pPr>
        <w:pStyle w:val="FootnoteText"/>
      </w:pPr>
      <w:r>
        <w:rPr>
          <w:rStyle w:val="FootnoteReference"/>
        </w:rPr>
        <w:footnoteRef/>
      </w:r>
      <w:r>
        <w:t xml:space="preserve"> </w:t>
      </w:r>
      <w:r>
        <w:t xml:space="preserve">(</w:t>
      </w:r>
      <w:hyperlink r:id="rId28">
        <w:r>
          <w:rPr>
            <w:rStyle w:val="Hyperlink"/>
          </w:rPr>
          <w:t xml:space="preserve">Villasenor-Derbez, Costello, and Plantinga, 2024</w:t>
        </w:r>
      </w:hyperlink>
      <w:r>
        <w:t xml:space="preserve">)</w:t>
      </w:r>
    </w:p>
  </w:footnote>
  <w:footnote w:id="33">
    <w:p>
      <w:pPr>
        <w:pStyle w:val="FootnoteText"/>
      </w:pPr>
      <w:r>
        <w:rPr>
          <w:rStyle w:val="FootnoteReference"/>
        </w:rPr>
        <w:footnoteRef/>
      </w:r>
      <w:r>
        <w:t xml:space="preserve"> </w:t>
      </w:r>
      <w:r>
        <w:t xml:space="preserve">(</w:t>
      </w:r>
      <w:hyperlink r:id="rId34">
        <w:r>
          <w:rPr>
            <w:rStyle w:val="Hyperlink"/>
          </w:rPr>
          <w:t xml:space="preserve">United Nations, European Union, Food et al., 2014</w:t>
        </w:r>
      </w:hyperlink>
      <w:r>
        <w:t xml:space="preserve">) section 2.17, page 13</w:t>
      </w:r>
    </w:p>
  </w:footnote>
  <w:footnote w:id="35">
    <w:p>
      <w:pPr>
        <w:pStyle w:val="FootnoteText"/>
      </w:pPr>
      <w:r>
        <w:rPr>
          <w:rStyle w:val="FootnoteReference"/>
        </w:rPr>
        <w:footnoteRef/>
      </w:r>
      <w:r>
        <w:t xml:space="preserve"> </w:t>
      </w:r>
      <w:r>
        <w:t xml:space="preserve">(</w:t>
      </w:r>
      <w:hyperlink r:id="rId34">
        <w:r>
          <w:rPr>
            <w:rStyle w:val="Hyperlink"/>
          </w:rPr>
          <w:t xml:space="preserve">United Nations, European Union, Food et al., 2014</w:t>
        </w:r>
      </w:hyperlink>
      <w:r>
        <w:t xml:space="preserve">) section 2.21, page 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01" Target="media/rId101.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96" Target="media/rId96.png" /><Relationship Type="http://schemas.openxmlformats.org/officeDocument/2006/relationships/image" Id="rId40" Target="media/rId40.png" /><Relationship Type="http://schemas.openxmlformats.org/officeDocument/2006/relationships/image" Id="rId107" Target="media/rId107.png" /><Relationship Type="http://schemas.openxmlformats.org/officeDocument/2006/relationships/image" Id="rId78" Target="media/rId78.png" /><Relationship Type="http://schemas.openxmlformats.org/officeDocument/2006/relationships/hyperlink" Id="rId117"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4" Target="https://seea.un.org/sites/seea.un.org/files/seea_cf_final_en.pdf" TargetMode="External" /><Relationship Type="http://schemas.openxmlformats.org/officeDocument/2006/relationships/hyperlink" Id="rId28"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17"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4" Target="https://seea.un.org/sites/seea.un.org/files/seea_cf_final_en.pdf" TargetMode="External" /><Relationship Type="http://schemas.openxmlformats.org/officeDocument/2006/relationships/hyperlink" Id="rId28"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Accounts</dc:title>
  <dc:creator>FAME Economics</dc:creator>
  <cp:keywords/>
  <dcterms:created xsi:type="dcterms:W3CDTF">2025-07-17T02:44:55Z</dcterms:created>
  <dcterms:modified xsi:type="dcterms:W3CDTF">2025-07-17T02:44:55Z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July 2025</vt:lpwstr>
  </property>
  <property fmtid="{D5CDD505-2E9C-101B-9397-08002B2CF9AE}" pid="3" name="output">
    <vt:lpwstr/>
  </property>
  <property fmtid="{D5CDD505-2E9C-101B-9397-08002B2CF9AE}" pid="4" name="subtitle">
    <vt:lpwstr>Ocean-Specific Components of the System of Environmental-Economic Accounting - Central Framework</vt:lpwstr>
  </property>
</Properties>
</file>