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00.png" ContentType="image/png"/>
  <Override PartName="/word/media/rId65.png" ContentType="image/png"/>
  <Override PartName="/word/media/rId73.png" ContentType="image/png"/>
  <Override PartName="/word/media/rId87.png" ContentType="image/png"/>
  <Override PartName="/word/media/rId91.png" ContentType="image/png"/>
  <Override PartName="/word/media/rId47.png" ContentType="image/png"/>
  <Override PartName="/word/media/rId32.png" ContentType="image/png"/>
  <Override PartName="/word/media/rId95.png" ContentType="image/png"/>
  <Override PartName="/word/media/rId43.png" ContentType="image/png"/>
  <Override PartName="/word/media/rId106.png" ContentType="image/png"/>
  <Override PartName="/word/media/rId77.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p>
    <w:p>
      <w:pPr>
        <w:pStyle w:val="Subtitle"/>
      </w:pPr>
      <w:r>
        <w:t xml:space="preserve">Incorporating Ocean Accounts through Digital Earth Pacific and FAME Data Sources</w:t>
      </w:r>
    </w:p>
    <w:p>
      <w:pPr>
        <w:pStyle w:val="Author"/>
      </w:pPr>
      <w:r>
        <w:t xml:space="preserve">FAME Economics</w:t>
      </w:r>
    </w:p>
    <w:p>
      <w:pPr>
        <w:pStyle w:val="Date"/>
      </w:pPr>
      <w:r>
        <w:t xml:space="preserve">24 July 2025</w:t>
      </w:r>
    </w:p>
    <w:p>
      <w:r>
        <w:br w:type="page"/>
      </w:r>
    </w:p>
    <w:bookmarkStart w:id="29" w:name="introduction"/>
    <w:p>
      <w:pPr>
        <w:pStyle w:val="Heading1"/>
      </w:pPr>
      <w:r>
        <w:rPr>
          <w:rStyle w:val="SectionNumber"/>
        </w:rPr>
        <w:t xml:space="preserve">1</w:t>
      </w:r>
      <w:r>
        <w:tab/>
      </w:r>
      <w:r>
        <w:t xml:space="preserve">Introduction</w:t>
      </w:r>
    </w:p>
    <w:p>
      <w:pPr>
        <w:pStyle w:val="FirstParagraph"/>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r>
        <w:t xml:space="preserve"> </w:t>
      </w: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2"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2"/>
    <w:bookmarkStart w:id="23"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23"/>
    <w:bookmarkStart w:id="25"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$US463.66 million per year over the last 10 years from fishing license fees of tuna alone,</w:t>
      </w:r>
    </w:p>
    <w:p>
      <w:pPr>
        <w:pStyle w:val="TableCaption"/>
      </w:pPr>
      <w:bookmarkStart w:id="24" w:name="tab:LicenseRevenues"/>
      <w:bookmarkEnd w:id="24"/>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698"/>
        <w:gridCol w:w="522"/>
        <w:gridCol w:w="522"/>
        <w:gridCol w:w="522"/>
        <w:gridCol w:w="522"/>
        <w:gridCol w:w="522"/>
        <w:gridCol w:w="522"/>
        <w:gridCol w:w="522"/>
        <w:gridCol w:w="522"/>
        <w:gridCol w:w="522"/>
        <w:gridCol w:w="522"/>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Kiribati</w:t>
            </w:r>
          </w:p>
        </w:tc>
        <w:tc>
          <w:tcPr/>
          <w:p>
            <w:pPr>
              <w:pStyle w:val="Compact"/>
              <w:jc w:val="right"/>
            </w:pPr>
            <w:r>
              <w:t xml:space="preserve">127.9</w:t>
            </w:r>
          </w:p>
        </w:tc>
        <w:tc>
          <w:tcPr/>
          <w:p>
            <w:pPr>
              <w:pStyle w:val="Compact"/>
              <w:jc w:val="right"/>
            </w:pPr>
            <w:r>
              <w:t xml:space="preserve">148.8</w:t>
            </w:r>
          </w:p>
        </w:tc>
        <w:tc>
          <w:tcPr/>
          <w:p>
            <w:pPr>
              <w:pStyle w:val="Compact"/>
              <w:jc w:val="right"/>
            </w:pPr>
            <w:r>
              <w:t xml:space="preserve">106.7</w:t>
            </w:r>
          </w:p>
        </w:tc>
        <w:tc>
          <w:tcPr/>
          <w:p>
            <w:pPr>
              <w:pStyle w:val="Compact"/>
              <w:jc w:val="right"/>
            </w:pPr>
            <w:r>
              <w:t xml:space="preserve">129.8</w:t>
            </w:r>
          </w:p>
        </w:tc>
        <w:tc>
          <w:tcPr/>
          <w:p>
            <w:pPr>
              <w:pStyle w:val="Compact"/>
              <w:jc w:val="right"/>
            </w:pPr>
            <w:r>
              <w:t xml:space="preserve">127.3</w:t>
            </w:r>
          </w:p>
        </w:tc>
        <w:tc>
          <w:tcPr/>
          <w:p>
            <w:pPr>
              <w:pStyle w:val="Compact"/>
              <w:jc w:val="right"/>
            </w:pPr>
            <w:r>
              <w:t xml:space="preserve">146.4</w:t>
            </w:r>
          </w:p>
        </w:tc>
        <w:tc>
          <w:tcPr/>
          <w:p>
            <w:pPr>
              <w:pStyle w:val="Compact"/>
              <w:jc w:val="right"/>
            </w:pPr>
            <w:r>
              <w:t xml:space="preserve">117.8</w:t>
            </w:r>
          </w:p>
        </w:tc>
        <w:tc>
          <w:tcPr/>
          <w:p>
            <w:pPr>
              <w:pStyle w:val="Compact"/>
              <w:jc w:val="right"/>
            </w:pPr>
            <w:r>
              <w:t xml:space="preserve">121.3</w:t>
            </w:r>
          </w:p>
        </w:tc>
        <w:tc>
          <w:tcPr/>
          <w:p>
            <w:pPr>
              <w:pStyle w:val="Compact"/>
              <w:jc w:val="right"/>
            </w:pPr>
            <w:r>
              <w:t xml:space="preserve">98.8</w:t>
            </w:r>
          </w:p>
        </w:tc>
        <w:tc>
          <w:tcPr/>
          <w:p>
            <w:pPr>
              <w:pStyle w:val="Compact"/>
              <w:jc w:val="right"/>
            </w:pPr>
            <w:r>
              <w:t xml:space="preserve">141.9</w:t>
            </w:r>
          </w:p>
        </w:tc>
      </w:tr>
      <w:tr>
        <w:tc>
          <w:tcPr/>
          <w:p>
            <w:pPr>
              <w:pStyle w:val="Compact"/>
              <w:jc w:val="left"/>
            </w:pPr>
            <w:r>
              <w:t xml:space="preserve">Papua New Guinea</w:t>
            </w:r>
          </w:p>
        </w:tc>
        <w:tc>
          <w:tcPr/>
          <w:p>
            <w:pPr>
              <w:pStyle w:val="Compact"/>
              <w:jc w:val="right"/>
            </w:pPr>
            <w:r>
              <w:t xml:space="preserve">92.0</w:t>
            </w:r>
          </w:p>
        </w:tc>
        <w:tc>
          <w:tcPr/>
          <w:p>
            <w:pPr>
              <w:pStyle w:val="Compact"/>
              <w:jc w:val="right"/>
            </w:pPr>
            <w:r>
              <w:t xml:space="preserve">95.7</w:t>
            </w:r>
          </w:p>
        </w:tc>
        <w:tc>
          <w:tcPr/>
          <w:p>
            <w:pPr>
              <w:pStyle w:val="Compact"/>
              <w:jc w:val="right"/>
            </w:pPr>
            <w:r>
              <w:t xml:space="preserve">119.5</w:t>
            </w:r>
          </w:p>
        </w:tc>
        <w:tc>
          <w:tcPr/>
          <w:p>
            <w:pPr>
              <w:pStyle w:val="Compact"/>
              <w:jc w:val="right"/>
            </w:pPr>
            <w:r>
              <w:t xml:space="preserve">94.1</w:t>
            </w:r>
          </w:p>
        </w:tc>
        <w:tc>
          <w:tcPr/>
          <w:p>
            <w:pPr>
              <w:pStyle w:val="Compact"/>
              <w:jc w:val="right"/>
            </w:pPr>
            <w:r>
              <w:t xml:space="preserve">114.4</w:t>
            </w:r>
          </w:p>
        </w:tc>
        <w:tc>
          <w:tcPr/>
          <w:p>
            <w:pPr>
              <w:pStyle w:val="Compact"/>
              <w:jc w:val="right"/>
            </w:pPr>
            <w:r>
              <w:t xml:space="preserve">93.3</w:t>
            </w:r>
          </w:p>
        </w:tc>
        <w:tc>
          <w:tcPr/>
          <w:p>
            <w:pPr>
              <w:pStyle w:val="Compact"/>
              <w:jc w:val="right"/>
            </w:pPr>
            <w:r>
              <w:t xml:space="preserve">110.3</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97.1</w:t>
            </w:r>
          </w:p>
        </w:tc>
      </w:tr>
      <w:tr>
        <w:tc>
          <w:tcPr/>
          <w:p>
            <w:pPr>
              <w:pStyle w:val="Compact"/>
              <w:jc w:val="left"/>
            </w:pPr>
            <w:r>
              <w:t xml:space="preserve">Federated States of Micronesia</w:t>
            </w:r>
          </w:p>
        </w:tc>
        <w:tc>
          <w:tcPr/>
          <w:p>
            <w:pPr>
              <w:pStyle w:val="Compact"/>
              <w:jc w:val="right"/>
            </w:pPr>
            <w:r>
              <w:t xml:space="preserve">47.7</w:t>
            </w:r>
          </w:p>
        </w:tc>
        <w:tc>
          <w:tcPr/>
          <w:p>
            <w:pPr>
              <w:pStyle w:val="Compact"/>
              <w:jc w:val="right"/>
            </w:pPr>
            <w:r>
              <w:t xml:space="preserve">65.5</w:t>
            </w:r>
          </w:p>
        </w:tc>
        <w:tc>
          <w:tcPr/>
          <w:p>
            <w:pPr>
              <w:pStyle w:val="Compact"/>
              <w:jc w:val="right"/>
            </w:pPr>
            <w:r>
              <w:t xml:space="preserve">63.7</w:t>
            </w:r>
          </w:p>
        </w:tc>
        <w:tc>
          <w:tcPr/>
          <w:p>
            <w:pPr>
              <w:pStyle w:val="Compact"/>
              <w:jc w:val="right"/>
            </w:pPr>
            <w:r>
              <w:t xml:space="preserve">72.7</w:t>
            </w:r>
          </w:p>
        </w:tc>
        <w:tc>
          <w:tcPr/>
          <w:p>
            <w:pPr>
              <w:pStyle w:val="Compact"/>
              <w:jc w:val="right"/>
            </w:pPr>
            <w:r>
              <w:t xml:space="preserve">72.4</w:t>
            </w:r>
          </w:p>
        </w:tc>
        <w:tc>
          <w:tcPr/>
          <w:p>
            <w:pPr>
              <w:pStyle w:val="Compact"/>
              <w:jc w:val="right"/>
            </w:pPr>
            <w:r>
              <w:t xml:space="preserve">72.7</w:t>
            </w:r>
          </w:p>
        </w:tc>
        <w:tc>
          <w:tcPr/>
          <w:p>
            <w:pPr>
              <w:pStyle w:val="Compact"/>
              <w:jc w:val="right"/>
            </w:pPr>
            <w:r>
              <w:t xml:space="preserve">70.2</w:t>
            </w:r>
          </w:p>
        </w:tc>
        <w:tc>
          <w:tcPr/>
          <w:p>
            <w:pPr>
              <w:pStyle w:val="Compact"/>
              <w:jc w:val="right"/>
            </w:pPr>
            <w:r>
              <w:t xml:space="preserve">69.0</w:t>
            </w:r>
          </w:p>
        </w:tc>
        <w:tc>
          <w:tcPr/>
          <w:p>
            <w:pPr>
              <w:pStyle w:val="Compact"/>
              <w:jc w:val="right"/>
            </w:pPr>
            <w:r>
              <w:t xml:space="preserve">73.0</w:t>
            </w:r>
          </w:p>
        </w:tc>
        <w:tc>
          <w:tcPr/>
          <w:p>
            <w:pPr>
              <w:pStyle w:val="Compact"/>
              <w:jc w:val="right"/>
            </w:pPr>
            <w:r>
              <w:t xml:space="preserve">71.0</w:t>
            </w:r>
          </w:p>
        </w:tc>
      </w:tr>
      <w:tr>
        <w:tc>
          <w:tcPr/>
          <w:p>
            <w:pPr>
              <w:pStyle w:val="Compact"/>
              <w:jc w:val="left"/>
            </w:pPr>
            <w:r>
              <w:t xml:space="preserve">Nauru</w:t>
            </w:r>
          </w:p>
        </w:tc>
        <w:tc>
          <w:tcPr/>
          <w:p>
            <w:pPr>
              <w:pStyle w:val="Compact"/>
              <w:jc w:val="right"/>
            </w:pPr>
            <w:r>
              <w:t xml:space="preserve">17.0</w:t>
            </w:r>
          </w:p>
        </w:tc>
        <w:tc>
          <w:tcPr/>
          <w:p>
            <w:pPr>
              <w:pStyle w:val="Compact"/>
              <w:jc w:val="right"/>
            </w:pPr>
            <w:r>
              <w:t xml:space="preserve">21.7</w:t>
            </w:r>
          </w:p>
        </w:tc>
        <w:tc>
          <w:tcPr/>
          <w:p>
            <w:pPr>
              <w:pStyle w:val="Compact"/>
              <w:jc w:val="right"/>
            </w:pPr>
            <w:r>
              <w:t xml:space="preserve">27.8</w:t>
            </w:r>
          </w:p>
        </w:tc>
        <w:tc>
          <w:tcPr/>
          <w:p>
            <w:pPr>
              <w:pStyle w:val="Compact"/>
              <w:jc w:val="right"/>
            </w:pPr>
            <w:r>
              <w:t xml:space="preserve">36.0</w:t>
            </w:r>
          </w:p>
        </w:tc>
        <w:tc>
          <w:tcPr/>
          <w:p>
            <w:pPr>
              <w:pStyle w:val="Compact"/>
              <w:jc w:val="right"/>
            </w:pPr>
            <w:r>
              <w:t xml:space="preserve">34.7</w:t>
            </w:r>
          </w:p>
        </w:tc>
        <w:tc>
          <w:tcPr/>
          <w:p>
            <w:pPr>
              <w:pStyle w:val="Compact"/>
              <w:jc w:val="right"/>
            </w:pPr>
            <w:r>
              <w:t xml:space="preserve">46.7</w:t>
            </w:r>
          </w:p>
        </w:tc>
        <w:tc>
          <w:tcPr/>
          <w:p>
            <w:pPr>
              <w:pStyle w:val="Compact"/>
              <w:jc w:val="right"/>
            </w:pPr>
            <w:r>
              <w:t xml:space="preserve">45.8</w:t>
            </w:r>
          </w:p>
        </w:tc>
        <w:tc>
          <w:tcPr/>
          <w:p>
            <w:pPr>
              <w:pStyle w:val="Compact"/>
              <w:jc w:val="right"/>
            </w:pPr>
            <w:r>
              <w:t xml:space="preserve">44.9</w:t>
            </w:r>
          </w:p>
        </w:tc>
        <w:tc>
          <w:tcPr/>
          <w:p>
            <w:pPr>
              <w:pStyle w:val="Compact"/>
              <w:jc w:val="right"/>
            </w:pPr>
            <w:r>
              <w:t xml:space="preserve">39.2</w:t>
            </w:r>
          </w:p>
        </w:tc>
        <w:tc>
          <w:tcPr/>
          <w:p>
            <w:pPr>
              <w:pStyle w:val="Compact"/>
              <w:jc w:val="right"/>
            </w:pPr>
            <w:r>
              <w:t xml:space="preserve">35.1</w:t>
            </w:r>
          </w:p>
        </w:tc>
      </w:tr>
      <w:tr>
        <w:tc>
          <w:tcPr/>
          <w:p>
            <w:pPr>
              <w:pStyle w:val="Compact"/>
              <w:jc w:val="left"/>
            </w:pPr>
            <w:r>
              <w:t xml:space="preserve">Marshall Islands</w:t>
            </w:r>
          </w:p>
        </w:tc>
        <w:tc>
          <w:tcPr/>
          <w:p>
            <w:pPr>
              <w:pStyle w:val="Compact"/>
              <w:jc w:val="right"/>
            </w:pPr>
            <w:r>
              <w:t xml:space="preserve">17.3</w:t>
            </w:r>
          </w:p>
        </w:tc>
        <w:tc>
          <w:tcPr/>
          <w:p>
            <w:pPr>
              <w:pStyle w:val="Compact"/>
              <w:jc w:val="right"/>
            </w:pPr>
            <w:r>
              <w:t xml:space="preserve">27.4</w:t>
            </w:r>
          </w:p>
        </w:tc>
        <w:tc>
          <w:tcPr/>
          <w:p>
            <w:pPr>
              <w:pStyle w:val="Compact"/>
              <w:jc w:val="right"/>
            </w:pPr>
            <w:r>
              <w:t xml:space="preserve">31.5</w:t>
            </w:r>
          </w:p>
        </w:tc>
        <w:tc>
          <w:tcPr/>
          <w:p>
            <w:pPr>
              <w:pStyle w:val="Compact"/>
              <w:jc w:val="right"/>
            </w:pPr>
            <w:r>
              <w:t xml:space="preserve">33.1</w:t>
            </w:r>
          </w:p>
        </w:tc>
        <w:tc>
          <w:tcPr/>
          <w:p>
            <w:pPr>
              <w:pStyle w:val="Compact"/>
              <w:jc w:val="right"/>
            </w:pPr>
            <w:r>
              <w:t xml:space="preserve">32.2</w:t>
            </w:r>
          </w:p>
        </w:tc>
        <w:tc>
          <w:tcPr/>
          <w:p>
            <w:pPr>
              <w:pStyle w:val="Compact"/>
              <w:jc w:val="right"/>
            </w:pPr>
            <w:r>
              <w:t xml:space="preserve">33.0</w:t>
            </w:r>
          </w:p>
        </w:tc>
        <w:tc>
          <w:tcPr/>
          <w:p>
            <w:pPr>
              <w:pStyle w:val="Compact"/>
              <w:jc w:val="right"/>
            </w:pPr>
            <w:r>
              <w:t xml:space="preserve">30.3</w:t>
            </w:r>
          </w:p>
        </w:tc>
        <w:tc>
          <w:tcPr/>
          <w:p>
            <w:pPr>
              <w:pStyle w:val="Compact"/>
              <w:jc w:val="right"/>
            </w:pPr>
            <w:r>
              <w:t xml:space="preserve">32.8</w:t>
            </w:r>
          </w:p>
        </w:tc>
        <w:tc>
          <w:tcPr/>
          <w:p>
            <w:pPr>
              <w:pStyle w:val="Compact"/>
              <w:jc w:val="right"/>
            </w:pPr>
            <w:r>
              <w:t xml:space="preserve">33.8</w:t>
            </w:r>
          </w:p>
        </w:tc>
        <w:tc>
          <w:tcPr/>
          <w:p>
            <w:pPr>
              <w:pStyle w:val="Compact"/>
              <w:jc w:val="right"/>
            </w:pPr>
            <w:r>
              <w:t xml:space="preserve">32.8</w:t>
            </w:r>
          </w:p>
        </w:tc>
      </w:tr>
      <w:tr>
        <w:tc>
          <w:tcPr/>
          <w:p>
            <w:pPr>
              <w:pStyle w:val="Compact"/>
              <w:jc w:val="left"/>
            </w:pPr>
            <w:r>
              <w:t xml:space="preserve">Tuvalu</w:t>
            </w:r>
          </w:p>
        </w:tc>
        <w:tc>
          <w:tcPr/>
          <w:p>
            <w:pPr>
              <w:pStyle w:val="Compact"/>
              <w:jc w:val="right"/>
            </w:pPr>
            <w:r>
              <w:t xml:space="preserve">14.4</w:t>
            </w:r>
          </w:p>
        </w:tc>
        <w:tc>
          <w:tcPr/>
          <w:p>
            <w:pPr>
              <w:pStyle w:val="Compact"/>
              <w:jc w:val="right"/>
            </w:pPr>
            <w:r>
              <w:t xml:space="preserve">22.9</w:t>
            </w:r>
          </w:p>
        </w:tc>
        <w:tc>
          <w:tcPr/>
          <w:p>
            <w:pPr>
              <w:pStyle w:val="Compact"/>
              <w:jc w:val="right"/>
            </w:pPr>
            <w:r>
              <w:t xml:space="preserve">24.6</w:t>
            </w:r>
          </w:p>
        </w:tc>
        <w:tc>
          <w:tcPr/>
          <w:p>
            <w:pPr>
              <w:pStyle w:val="Compact"/>
              <w:jc w:val="right"/>
            </w:pPr>
            <w:r>
              <w:t xml:space="preserve">20.6</w:t>
            </w:r>
          </w:p>
        </w:tc>
        <w:tc>
          <w:tcPr/>
          <w:p>
            <w:pPr>
              <w:pStyle w:val="Compact"/>
              <w:jc w:val="right"/>
            </w:pPr>
            <w:r>
              <w:t xml:space="preserve">37.5</w:t>
            </w:r>
          </w:p>
        </w:tc>
        <w:tc>
          <w:tcPr/>
          <w:p>
            <w:pPr>
              <w:pStyle w:val="Compact"/>
              <w:jc w:val="right"/>
            </w:pPr>
            <w:r>
              <w:t xml:space="preserve">25.8</w:t>
            </w:r>
          </w:p>
        </w:tc>
        <w:tc>
          <w:tcPr/>
          <w:p>
            <w:pPr>
              <w:pStyle w:val="Compact"/>
              <w:jc w:val="right"/>
            </w:pPr>
            <w:r>
              <w:t xml:space="preserve">30.4</w:t>
            </w:r>
          </w:p>
        </w:tc>
        <w:tc>
          <w:tcPr/>
          <w:p>
            <w:pPr>
              <w:pStyle w:val="Compact"/>
              <w:jc w:val="right"/>
            </w:pPr>
            <w:r>
              <w:t xml:space="preserve">32.3</w:t>
            </w:r>
          </w:p>
        </w:tc>
        <w:tc>
          <w:tcPr/>
          <w:p>
            <w:pPr>
              <w:pStyle w:val="Compact"/>
              <w:jc w:val="right"/>
            </w:pPr>
            <w:r>
              <w:t xml:space="preserve">30.6</w:t>
            </w:r>
          </w:p>
        </w:tc>
        <w:tc>
          <w:tcPr/>
          <w:p>
            <w:pPr>
              <w:pStyle w:val="Compact"/>
              <w:jc w:val="right"/>
            </w:pPr>
            <w:r>
              <w:t xml:space="preserve">29.2</w:t>
            </w:r>
          </w:p>
        </w:tc>
      </w:tr>
      <w:tr>
        <w:tc>
          <w:tcPr/>
          <w:p>
            <w:pPr>
              <w:pStyle w:val="Compact"/>
              <w:jc w:val="left"/>
            </w:pPr>
            <w:r>
              <w:t xml:space="preserve">Solomon Islands</w:t>
            </w:r>
          </w:p>
        </w:tc>
        <w:tc>
          <w:tcPr/>
          <w:p>
            <w:pPr>
              <w:pStyle w:val="Compact"/>
              <w:jc w:val="right"/>
            </w:pPr>
            <w:r>
              <w:t xml:space="preserve">29.0</w:t>
            </w:r>
          </w:p>
        </w:tc>
        <w:tc>
          <w:tcPr/>
          <w:p>
            <w:pPr>
              <w:pStyle w:val="Compact"/>
              <w:jc w:val="right"/>
            </w:pPr>
            <w:r>
              <w:t xml:space="preserve">39.5</w:t>
            </w:r>
          </w:p>
        </w:tc>
        <w:tc>
          <w:tcPr/>
          <w:p>
            <w:pPr>
              <w:pStyle w:val="Compact"/>
              <w:jc w:val="right"/>
            </w:pPr>
            <w:r>
              <w:t xml:space="preserve">33.4</w:t>
            </w:r>
          </w:p>
        </w:tc>
        <w:tc>
          <w:tcPr/>
          <w:p>
            <w:pPr>
              <w:pStyle w:val="Compact"/>
              <w:jc w:val="right"/>
            </w:pPr>
            <w:r>
              <w:t xml:space="preserve">60.2</w:t>
            </w:r>
          </w:p>
        </w:tc>
        <w:tc>
          <w:tcPr/>
          <w:p>
            <w:pPr>
              <w:pStyle w:val="Compact"/>
              <w:jc w:val="right"/>
            </w:pPr>
            <w:r>
              <w:t xml:space="preserve">35.1</w:t>
            </w:r>
          </w:p>
        </w:tc>
        <w:tc>
          <w:tcPr/>
          <w:p>
            <w:pPr>
              <w:pStyle w:val="Compact"/>
              <w:jc w:val="right"/>
            </w:pPr>
            <w:r>
              <w:t xml:space="preserve">26.8</w:t>
            </w:r>
          </w:p>
        </w:tc>
        <w:tc>
          <w:tcPr/>
          <w:p>
            <w:pPr>
              <w:pStyle w:val="Compact"/>
              <w:jc w:val="right"/>
            </w:pPr>
            <w:r>
              <w:t xml:space="preserve">38.2</w:t>
            </w:r>
          </w:p>
        </w:tc>
        <w:tc>
          <w:tcPr/>
          <w:p>
            <w:pPr>
              <w:pStyle w:val="Compact"/>
              <w:jc w:val="right"/>
            </w:pPr>
            <w:r>
              <w:t xml:space="preserve">28.5</w:t>
            </w:r>
          </w:p>
        </w:tc>
        <w:tc>
          <w:tcPr/>
          <w:p>
            <w:pPr>
              <w:pStyle w:val="Compact"/>
              <w:jc w:val="right"/>
            </w:pPr>
            <w:r>
              <w:t xml:space="preserve">24.2</w:t>
            </w:r>
          </w:p>
        </w:tc>
        <w:tc>
          <w:tcPr/>
          <w:p>
            <w:pPr>
              <w:pStyle w:val="Compact"/>
              <w:jc w:val="right"/>
            </w:pPr>
            <w:r>
              <w:t xml:space="preserve">25.5</w:t>
            </w:r>
          </w:p>
        </w:tc>
      </w:tr>
      <w:tr>
        <w:tc>
          <w:tcPr/>
          <w:p>
            <w:pPr>
              <w:pStyle w:val="Compact"/>
              <w:jc w:val="left"/>
            </w:pPr>
            <w:r>
              <w:t xml:space="preserve">Palau</w:t>
            </w:r>
          </w:p>
        </w:tc>
        <w:tc>
          <w:tcPr/>
          <w:p>
            <w:pPr>
              <w:pStyle w:val="Compact"/>
              <w:jc w:val="right"/>
            </w:pPr>
            <w:r>
              <w:t xml:space="preserve">3.5</w:t>
            </w:r>
          </w:p>
        </w:tc>
        <w:tc>
          <w:tcPr/>
          <w:p>
            <w:pPr>
              <w:pStyle w:val="Compact"/>
              <w:jc w:val="right"/>
            </w:pPr>
            <w:r>
              <w:t xml:space="preserve">7.2</w:t>
            </w:r>
          </w:p>
        </w:tc>
        <w:tc>
          <w:tcPr/>
          <w:p>
            <w:pPr>
              <w:pStyle w:val="Compact"/>
              <w:jc w:val="right"/>
            </w:pPr>
            <w:r>
              <w:t xml:space="preserve">6.1</w:t>
            </w:r>
          </w:p>
        </w:tc>
        <w:tc>
          <w:tcPr/>
          <w:p>
            <w:pPr>
              <w:pStyle w:val="Compact"/>
              <w:jc w:val="right"/>
            </w:pPr>
            <w:r>
              <w:t xml:space="preserve">9.7</w:t>
            </w:r>
          </w:p>
        </w:tc>
        <w:tc>
          <w:tcPr/>
          <w:p>
            <w:pPr>
              <w:pStyle w:val="Compact"/>
              <w:jc w:val="right"/>
            </w:pPr>
            <w:r>
              <w:t xml:space="preserve">9.4</w:t>
            </w:r>
          </w:p>
        </w:tc>
        <w:tc>
          <w:tcPr/>
          <w:p>
            <w:pPr>
              <w:pStyle w:val="Compact"/>
              <w:jc w:val="right"/>
            </w:pPr>
            <w:r>
              <w:t xml:space="preserve">9.8</w:t>
            </w:r>
          </w:p>
        </w:tc>
        <w:tc>
          <w:tcPr/>
          <w:p>
            <w:pPr>
              <w:pStyle w:val="Compact"/>
              <w:jc w:val="right"/>
            </w:pPr>
            <w:r>
              <w:t xml:space="preserve">8.4</w:t>
            </w:r>
          </w:p>
        </w:tc>
        <w:tc>
          <w:tcPr/>
          <w:p>
            <w:pPr>
              <w:pStyle w:val="Compact"/>
              <w:jc w:val="right"/>
            </w:pPr>
            <w:r>
              <w:t xml:space="preserve">7.1</w:t>
            </w:r>
          </w:p>
        </w:tc>
        <w:tc>
          <w:tcPr/>
          <w:p>
            <w:pPr>
              <w:pStyle w:val="Compact"/>
              <w:jc w:val="right"/>
            </w:pPr>
            <w:r>
              <w:t xml:space="preserve">10.6</w:t>
            </w:r>
          </w:p>
        </w:tc>
        <w:tc>
          <w:tcPr/>
          <w:p>
            <w:pPr>
              <w:pStyle w:val="Compact"/>
              <w:jc w:val="right"/>
            </w:pPr>
            <w:r>
              <w:t xml:space="preserve">9.2</w:t>
            </w:r>
          </w:p>
        </w:tc>
      </w:tr>
      <w:tr>
        <w:tc>
          <w:tcPr/>
          <w:p>
            <w:pPr>
              <w:pStyle w:val="Compact"/>
              <w:jc w:val="left"/>
            </w:pPr>
            <w:r>
              <w:t xml:space="preserve">Cook Islands</w:t>
            </w:r>
          </w:p>
        </w:tc>
        <w:tc>
          <w:tcPr/>
          <w:p>
            <w:pPr>
              <w:pStyle w:val="Compact"/>
              <w:jc w:val="right"/>
            </w:pPr>
            <w:r>
              <w:t xml:space="preserve">6.8</w:t>
            </w:r>
          </w:p>
        </w:tc>
        <w:tc>
          <w:tcPr/>
          <w:p>
            <w:pPr>
              <w:pStyle w:val="Compact"/>
              <w:jc w:val="right"/>
            </w:pPr>
            <w:r>
              <w:t xml:space="preserve">8.3</w:t>
            </w:r>
          </w:p>
        </w:tc>
        <w:tc>
          <w:tcPr/>
          <w:p>
            <w:pPr>
              <w:pStyle w:val="Compact"/>
              <w:jc w:val="right"/>
            </w:pPr>
            <w:r>
              <w:t xml:space="preserve">12.8</w:t>
            </w:r>
          </w:p>
        </w:tc>
        <w:tc>
          <w:tcPr/>
          <w:p>
            <w:pPr>
              <w:pStyle w:val="Compact"/>
              <w:jc w:val="right"/>
            </w:pPr>
            <w:r>
              <w:t xml:space="preserve">17.7</w:t>
            </w:r>
          </w:p>
        </w:tc>
        <w:tc>
          <w:tcPr/>
          <w:p>
            <w:pPr>
              <w:pStyle w:val="Compact"/>
              <w:jc w:val="right"/>
            </w:pPr>
            <w:r>
              <w:t xml:space="preserve">12.6</w:t>
            </w:r>
          </w:p>
        </w:tc>
        <w:tc>
          <w:tcPr/>
          <w:p>
            <w:pPr>
              <w:pStyle w:val="Compact"/>
              <w:jc w:val="right"/>
            </w:pPr>
            <w:r>
              <w:t xml:space="preserve">14.0</w:t>
            </w:r>
          </w:p>
        </w:tc>
        <w:tc>
          <w:tcPr/>
          <w:p>
            <w:pPr>
              <w:pStyle w:val="Compact"/>
              <w:jc w:val="right"/>
            </w:pPr>
            <w:r>
              <w:t xml:space="preserve">7.5</w:t>
            </w:r>
          </w:p>
        </w:tc>
        <w:tc>
          <w:tcPr/>
          <w:p>
            <w:pPr>
              <w:pStyle w:val="Compact"/>
              <w:jc w:val="right"/>
            </w:pPr>
            <w:r>
              <w:t xml:space="preserve">4.5</w:t>
            </w:r>
          </w:p>
        </w:tc>
        <w:tc>
          <w:tcPr/>
          <w:p>
            <w:pPr>
              <w:pStyle w:val="Compact"/>
              <w:jc w:val="right"/>
            </w:pPr>
            <w:r>
              <w:t xml:space="preserve">6.3</w:t>
            </w:r>
          </w:p>
        </w:tc>
        <w:tc>
          <w:tcPr/>
          <w:p>
            <w:pPr>
              <w:pStyle w:val="Compact"/>
              <w:jc w:val="right"/>
            </w:pPr>
            <w:r>
              <w:t xml:space="preserve">5.6</w:t>
            </w:r>
          </w:p>
        </w:tc>
      </w:tr>
      <w:tr>
        <w:tc>
          <w:tcPr/>
          <w:p>
            <w:pPr>
              <w:pStyle w:val="Compact"/>
              <w:jc w:val="left"/>
            </w:pPr>
            <w:r>
              <w:t xml:space="preserve">Tokelau</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13.3</w:t>
            </w:r>
          </w:p>
        </w:tc>
        <w:tc>
          <w:tcPr/>
          <w:p>
            <w:pPr>
              <w:pStyle w:val="Compact"/>
              <w:jc w:val="right"/>
            </w:pPr>
            <w:r>
              <w:t xml:space="preserve">12.8</w:t>
            </w:r>
          </w:p>
        </w:tc>
        <w:tc>
          <w:tcPr/>
          <w:p>
            <w:pPr>
              <w:pStyle w:val="Compact"/>
              <w:jc w:val="right"/>
            </w:pPr>
            <w:r>
              <w:t xml:space="preserve">12.7</w:t>
            </w:r>
          </w:p>
        </w:tc>
        <w:tc>
          <w:tcPr/>
          <w:p>
            <w:pPr>
              <w:pStyle w:val="Compact"/>
              <w:jc w:val="right"/>
            </w:pPr>
            <w:r>
              <w:t xml:space="preserve">12.8</w:t>
            </w:r>
          </w:p>
        </w:tc>
        <w:tc>
          <w:tcPr/>
          <w:p>
            <w:pPr>
              <w:pStyle w:val="Compact"/>
              <w:jc w:val="right"/>
            </w:pPr>
            <w:r>
              <w:t xml:space="preserve">13.0</w:t>
            </w:r>
          </w:p>
        </w:tc>
        <w:tc>
          <w:tcPr/>
          <w:p>
            <w:pPr>
              <w:pStyle w:val="Compact"/>
              <w:jc w:val="right"/>
            </w:pPr>
            <w:r>
              <w:t xml:space="preserve">12.6</w:t>
            </w:r>
          </w:p>
        </w:tc>
        <w:tc>
          <w:tcPr/>
          <w:p>
            <w:pPr>
              <w:pStyle w:val="Compact"/>
              <w:jc w:val="right"/>
            </w:pPr>
            <w:r>
              <w:t xml:space="preserve">8.7</w:t>
            </w:r>
          </w:p>
        </w:tc>
        <w:tc>
          <w:tcPr/>
          <w:p>
            <w:pPr>
              <w:pStyle w:val="Compact"/>
              <w:jc w:val="right"/>
            </w:pPr>
            <w:r>
              <w:t xml:space="preserve">3.9</w:t>
            </w:r>
          </w:p>
        </w:tc>
      </w:tr>
      <w:tr>
        <w:tc>
          <w:tcPr/>
          <w:p>
            <w:pPr>
              <w:pStyle w:val="Compact"/>
              <w:jc w:val="left"/>
            </w:pPr>
            <w:r>
              <w:t xml:space="preserve">Vanuatu</w:t>
            </w:r>
          </w:p>
        </w:tc>
        <w:tc>
          <w:tcPr/>
          <w:p>
            <w:pPr>
              <w:pStyle w:val="Compact"/>
              <w:jc w:val="right"/>
            </w:pPr>
            <w:r>
              <w:t xml:space="preserve">2.0</w:t>
            </w:r>
          </w:p>
        </w:tc>
        <w:tc>
          <w:tcPr/>
          <w:p>
            <w:pPr>
              <w:pStyle w:val="Compact"/>
              <w:jc w:val="right"/>
            </w:pPr>
            <w:r>
              <w:t xml:space="preserve">2.3</w:t>
            </w:r>
          </w:p>
        </w:tc>
        <w:tc>
          <w:tcPr/>
          <w:p>
            <w:pPr>
              <w:pStyle w:val="Compact"/>
              <w:jc w:val="right"/>
            </w:pPr>
            <w:r>
              <w:t xml:space="preserve">2.9</w:t>
            </w:r>
          </w:p>
        </w:tc>
        <w:tc>
          <w:tcPr/>
          <w:p>
            <w:pPr>
              <w:pStyle w:val="Compact"/>
              <w:jc w:val="right"/>
            </w:pPr>
            <w:r>
              <w:t xml:space="preserve">3.4</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1.6</w:t>
            </w:r>
          </w:p>
        </w:tc>
        <w:tc>
          <w:tcPr/>
          <w:p>
            <w:pPr>
              <w:pStyle w:val="Compact"/>
              <w:jc w:val="right"/>
            </w:pPr>
            <w:r>
              <w:t xml:space="preserve">2.5</w:t>
            </w:r>
          </w:p>
        </w:tc>
        <w:tc>
          <w:tcPr/>
          <w:p>
            <w:pPr>
              <w:pStyle w:val="Compact"/>
              <w:jc w:val="right"/>
            </w:pPr>
            <w:r>
              <w:t xml:space="preserve">1.9</w:t>
            </w:r>
          </w:p>
        </w:tc>
      </w:tr>
      <w:tr>
        <w:tc>
          <w:tcPr/>
          <w:p>
            <w:pPr>
              <w:pStyle w:val="Compact"/>
              <w:jc w:val="left"/>
            </w:pPr>
            <w:r>
              <w:t xml:space="preserve">Fiji</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2.3</w:t>
            </w:r>
          </w:p>
        </w:tc>
        <w:tc>
          <w:tcPr/>
          <w:p>
            <w:pPr>
              <w:pStyle w:val="Compact"/>
              <w:jc w:val="right"/>
            </w:pPr>
            <w:r>
              <w:t xml:space="preserve">2.1</w:t>
            </w:r>
          </w:p>
        </w:tc>
        <w:tc>
          <w:tcPr/>
          <w:p>
            <w:pPr>
              <w:pStyle w:val="Compact"/>
              <w:jc w:val="right"/>
            </w:pPr>
            <w:r>
              <w:t xml:space="preserve">2.2</w:t>
            </w:r>
          </w:p>
        </w:tc>
        <w:tc>
          <w:tcPr/>
          <w:p>
            <w:pPr>
              <w:pStyle w:val="Compact"/>
              <w:jc w:val="right"/>
            </w:pPr>
            <w:r>
              <w:t xml:space="preserve">2.3</w:t>
            </w:r>
          </w:p>
        </w:tc>
        <w:tc>
          <w:tcPr/>
          <w:p>
            <w:pPr>
              <w:pStyle w:val="Compact"/>
              <w:jc w:val="right"/>
            </w:pPr>
            <w:r>
              <w:t xml:space="preserve">1.9</w:t>
            </w:r>
          </w:p>
        </w:tc>
        <w:tc>
          <w:tcPr/>
          <w:p>
            <w:pPr>
              <w:pStyle w:val="Compact"/>
              <w:jc w:val="right"/>
            </w:pPr>
            <w:r>
              <w:t xml:space="preserve">2.1</w:t>
            </w:r>
          </w:p>
        </w:tc>
        <w:tc>
          <w:tcPr/>
          <w:p>
            <w:pPr>
              <w:pStyle w:val="Compact"/>
              <w:jc w:val="right"/>
            </w:pPr>
            <w:r>
              <w:t xml:space="preserve">1.8</w:t>
            </w:r>
          </w:p>
        </w:tc>
      </w:tr>
      <w:tr>
        <w:tc>
          <w:tcPr/>
          <w:p>
            <w:pPr>
              <w:pStyle w:val="Compact"/>
              <w:jc w:val="left"/>
            </w:pPr>
            <w:r>
              <w:t xml:space="preserve">Tonga</w:t>
            </w:r>
          </w:p>
        </w:tc>
        <w:tc>
          <w:tcPr/>
          <w:p>
            <w:pPr>
              <w:pStyle w:val="Compact"/>
              <w:jc w:val="right"/>
            </w:pPr>
            <w:r>
              <w:t xml:space="preserve">0.8</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1.5</w:t>
            </w:r>
          </w:p>
        </w:tc>
        <w:tc>
          <w:tcPr/>
          <w:p>
            <w:pPr>
              <w:pStyle w:val="Compact"/>
              <w:jc w:val="right"/>
            </w:pPr>
            <w:r>
              <w:t xml:space="preserve">1.4</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1.6</w:t>
            </w:r>
          </w:p>
        </w:tc>
        <w:tc>
          <w:tcPr/>
          <w:p>
            <w:pPr>
              <w:pStyle w:val="Compact"/>
              <w:jc w:val="right"/>
            </w:pPr>
            <w:r>
              <w:t xml:space="preserve">1.7</w:t>
            </w:r>
          </w:p>
        </w:tc>
      </w:tr>
      <w:tr>
        <w:tc>
          <w:tcPr/>
          <w:p>
            <w:pPr>
              <w:pStyle w:val="Compact"/>
              <w:jc w:val="left"/>
            </w:pPr>
            <w:r>
              <w:t xml:space="preserve">Samoa</w:t>
            </w:r>
          </w:p>
        </w:tc>
        <w:tc>
          <w:tcPr/>
          <w:p>
            <w:pPr>
              <w:pStyle w:val="Compact"/>
              <w:jc w:val="right"/>
            </w:pPr>
            <w:r>
              <w:t xml:space="preserve">0.7</w:t>
            </w:r>
          </w:p>
        </w:tc>
        <w:tc>
          <w:tcPr/>
          <w:p>
            <w:pPr>
              <w:pStyle w:val="Compact"/>
              <w:jc w:val="right"/>
            </w:pPr>
            <w:r>
              <w:t xml:space="preserve">1.3</w:t>
            </w:r>
          </w:p>
        </w:tc>
        <w:tc>
          <w:tcPr/>
          <w:p>
            <w:pPr>
              <w:pStyle w:val="Compact"/>
              <w:jc w:val="right"/>
            </w:pPr>
            <w:r>
              <w:t xml:space="preserve">0.7</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r>
      <w:tr>
        <w:tc>
          <w:tcPr/>
          <w:p>
            <w:pPr>
              <w:pStyle w:val="Compact"/>
              <w:jc w:val="left"/>
            </w:pPr>
            <w:r>
              <w:t xml:space="preserve">Niue</w:t>
            </w:r>
          </w:p>
        </w:tc>
        <w:tc>
          <w:tcPr/>
          <w:p>
            <w:pPr>
              <w:pStyle w:val="Compact"/>
              <w:jc w:val="right"/>
            </w:pPr>
            <w:r>
              <w:t xml:space="preserve">0.8</w:t>
            </w:r>
          </w:p>
        </w:tc>
        <w:tc>
          <w:tcPr/>
          <w:p>
            <w:pPr>
              <w:pStyle w:val="Compact"/>
              <w:jc w:val="right"/>
            </w:pPr>
            <w:r>
              <w:t xml:space="preserve">0.7</w:t>
            </w:r>
          </w:p>
        </w:tc>
        <w:tc>
          <w:tcPr/>
          <w:p>
            <w:pPr>
              <w:pStyle w:val="Compact"/>
              <w:jc w:val="right"/>
            </w:pPr>
            <w:r>
              <w:t xml:space="preserve">0.7</w:t>
            </w:r>
          </w:p>
        </w:tc>
        <w:tc>
          <w:tcPr/>
          <w:p>
            <w:pPr>
              <w:pStyle w:val="Compact"/>
              <w:jc w:val="right"/>
            </w:pPr>
            <w:r>
              <w:t xml:space="preserve">1.0</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1.1</w:t>
            </w:r>
          </w:p>
        </w:tc>
        <w:tc>
          <w:tcPr/>
          <w:p>
            <w:pPr>
              <w:pStyle w:val="Compact"/>
              <w:jc w:val="right"/>
            </w:pPr>
            <w:r>
              <w:t xml:space="preserve">1.1</w:t>
            </w:r>
          </w:p>
        </w:tc>
        <w:tc>
          <w:tcPr/>
          <w:p>
            <w:pPr>
              <w:pStyle w:val="Compact"/>
              <w:jc w:val="right"/>
            </w:pPr>
            <w:r>
              <w:t xml:space="preserve">1.1</w:t>
            </w:r>
          </w:p>
        </w:tc>
      </w:tr>
      <w:tr>
        <w:tc>
          <w:tcPr/>
          <w:p>
            <w:pPr>
              <w:pStyle w:val="Compact"/>
              <w:jc w:val="left"/>
            </w:pPr>
            <w:r>
              <w:t xml:space="preserve">Total</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481.0</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459.0</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25"/>
    <w:bookmarkStart w:id="28" w:name="markets-in-biodiversity"/>
    <w:p>
      <w:pPr>
        <w:pStyle w:val="Heading2"/>
      </w:pPr>
      <w:r>
        <w:rPr>
          <w:rStyle w:val="SectionNumber"/>
        </w:rPr>
        <w:t xml:space="preserve">1.4</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26"/>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27">
        <w:r>
          <w:rPr>
            <w:rStyle w:val="Hyperlink"/>
          </w:rPr>
          <w:t xml:space="preserve">Villasenor-Derbez, Costello, and Plantinga, 2024</w:t>
        </w:r>
      </w:hyperlink>
      <w:r>
        <w:t xml:space="preserve">)</w:t>
      </w:r>
    </w:p>
    <w:bookmarkEnd w:id="28"/>
    <w:bookmarkEnd w:id="29"/>
    <w:bookmarkStart w:id="30" w:name="Xde7358b3e9909c8fc5810b1621c6b3c7731b540"/>
    <w:p>
      <w:pPr>
        <w:pStyle w:val="Heading1"/>
      </w:pPr>
      <w:r>
        <w:rPr>
          <w:rStyle w:val="SectionNumber"/>
        </w:rPr>
        <w:t xml:space="preserve">2</w:t>
      </w:r>
      <w:r>
        <w:tab/>
      </w:r>
      <w:r>
        <w:t xml:space="preserve">Ocean Accounts are numerically SEEA-CF and spatially SEEA-EA</w:t>
      </w:r>
    </w:p>
    <w:bookmarkEnd w:id="30"/>
    <w:bookmarkStart w:id="31" w:name="system-of-national-accounts-fundamentals"/>
    <w:p>
      <w:pPr>
        <w:pStyle w:val="Heading1"/>
      </w:pPr>
      <w:r>
        <w:rPr>
          <w:rStyle w:val="SectionNumber"/>
        </w:rPr>
        <w:t xml:space="preserve">3</w:t>
      </w:r>
      <w:r>
        <w:tab/>
      </w:r>
      <w:r>
        <w:t xml:space="preserve">System of National Accounts fundamentals</w:t>
      </w:r>
    </w:p>
    <w:bookmarkEnd w:id="31"/>
    <w:bookmarkStart w:id="41"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36"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33" name="Picture"/>
            <a:graphic>
              <a:graphicData uri="http://schemas.openxmlformats.org/drawingml/2006/picture">
                <pic:pic>
                  <pic:nvPicPr>
                    <pic:cNvPr descr="Graphical_Output/Physical%20flows%20of%20natural%20inputs,%20products%20and%20residuals.png" id="34" name="Picture"/>
                    <pic:cNvPicPr>
                      <a:picLocks noChangeArrowheads="1" noChangeAspect="1"/>
                    </pic:cNvPicPr>
                  </pic:nvPicPr>
                  <pic:blipFill>
                    <a:blip r:embed="rId32"/>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35" w:name="fig:unnamed-chunk-1"/>
      <w:bookmarkEnd w:id="35"/>
      <w:r>
        <w:t xml:space="preserve">Figure 1: Physical flows of natural inputs, products and residuals</w:t>
      </w:r>
    </w:p>
    <w:bookmarkEnd w:id="36"/>
    <w:bookmarkStart w:id="40"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37"/>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39"/>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40"/>
    <w:bookmarkEnd w:id="41"/>
    <w:bookmarkStart w:id="56"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42"/>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44" name="Picture"/>
            <a:graphic>
              <a:graphicData uri="http://schemas.openxmlformats.org/drawingml/2006/picture">
                <pic:pic>
                  <pic:nvPicPr>
                    <pic:cNvPr descr="Graphical_Output/Physical_SUT.png" id="45" name="Picture"/>
                    <pic:cNvPicPr>
                      <a:picLocks noChangeArrowheads="1" noChangeAspect="1"/>
                    </pic:cNvPicPr>
                  </pic:nvPicPr>
                  <pic:blipFill>
                    <a:blip r:embed="rId43"/>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46" w:name="fig:unnamed-chunk-2"/>
      <w:bookmarkEnd w:id="46"/>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48" name="Picture"/>
            <a:graphic>
              <a:graphicData uri="http://schemas.openxmlformats.org/drawingml/2006/picture">
                <pic:pic>
                  <pic:nvPicPr>
                    <pic:cNvPr descr="Graphical_Output/PSUT_and_Asset_Accounts.png" id="49" name="Picture"/>
                    <pic:cNvPicPr>
                      <a:picLocks noChangeArrowheads="1" noChangeAspect="1"/>
                    </pic:cNvPicPr>
                  </pic:nvPicPr>
                  <pic:blipFill>
                    <a:blip r:embed="rId47"/>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50" w:name="fig:unnamed-chunk-3"/>
      <w:bookmarkEnd w:id="50"/>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55" w:name="other-technical-bits"/>
    <w:p>
      <w:pPr>
        <w:pStyle w:val="Heading2"/>
      </w:pPr>
      <w:r>
        <w:rPr>
          <w:rStyle w:val="SectionNumber"/>
        </w:rPr>
        <w:t xml:space="preserve">4.3</w:t>
      </w:r>
      <w:r>
        <w:tab/>
      </w:r>
      <w:r>
        <w:t xml:space="preserve">Other technical bits</w:t>
      </w:r>
    </w:p>
    <w:bookmarkStart w:id="51"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51"/>
    <w:bookmarkStart w:id="52"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52"/>
    <w:bookmarkStart w:id="53"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53"/>
    <w:bookmarkStart w:id="54"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54"/>
    <w:bookmarkEnd w:id="55"/>
    <w:bookmarkEnd w:id="56"/>
    <w:bookmarkStart w:id="64"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61" w:name="physical-flow-accounts-for-energy"/>
    <w:p>
      <w:pPr>
        <w:pStyle w:val="Heading2"/>
      </w:pPr>
      <w:r>
        <w:t xml:space="preserve">Physical flow accounts for energy</w:t>
      </w:r>
    </w:p>
    <w:bookmarkStart w:id="57"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57"/>
    <w:bookmarkStart w:id="58"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58"/>
    <w:bookmarkStart w:id="59"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9"/>
    <w:bookmarkStart w:id="60"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60"/>
    <w:bookmarkEnd w:id="61"/>
    <w:bookmarkStart w:id="62"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62"/>
    <w:bookmarkStart w:id="63"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63"/>
    <w:bookmarkEnd w:id="64"/>
    <w:bookmarkStart w:id="72"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70"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9"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66" name="Picture"/>
            <a:graphic>
              <a:graphicData uri="http://schemas.openxmlformats.org/drawingml/2006/picture">
                <pic:pic>
                  <pic:nvPicPr>
                    <pic:cNvPr descr="Graphical_Output/ClassificationEnvironmentActivities.png" id="67" name="Picture"/>
                    <pic:cNvPicPr>
                      <a:picLocks noChangeArrowheads="1" noChangeAspect="1"/>
                    </pic:cNvPicPr>
                  </pic:nvPicPr>
                  <pic:blipFill>
                    <a:blip r:embed="rId65"/>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68" w:name="fig:unnamed-chunk-4"/>
      <w:bookmarkEnd w:id="68"/>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9"/>
    <w:bookmarkEnd w:id="70"/>
    <w:bookmarkStart w:id="71"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71"/>
    <w:bookmarkEnd w:id="72"/>
    <w:bookmarkStart w:id="85"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74" name="Picture"/>
            <a:graphic>
              <a:graphicData uri="http://schemas.openxmlformats.org/drawingml/2006/picture">
                <pic:pic>
                  <pic:nvPicPr>
                    <pic:cNvPr descr="Graphical_Output/ClassificationofEnvironmentalAssets.png" id="75" name="Picture"/>
                    <pic:cNvPicPr>
                      <a:picLocks noChangeArrowheads="1" noChangeAspect="1"/>
                    </pic:cNvPicPr>
                  </pic:nvPicPr>
                  <pic:blipFill>
                    <a:blip r:embed="rId73"/>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76" w:name="fig:unnamed-chunk-5"/>
      <w:bookmarkEnd w:id="76"/>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78" name="Picture"/>
            <a:graphic>
              <a:graphicData uri="http://schemas.openxmlformats.org/drawingml/2006/picture">
                <pic:pic>
                  <pic:nvPicPr>
                    <pic:cNvPr descr="Graphical_Output/Structure%20of%20physical%20assets%20accounts.png" id="79" name="Picture"/>
                    <pic:cNvPicPr>
                      <a:picLocks noChangeArrowheads="1" noChangeAspect="1"/>
                    </pic:cNvPicPr>
                  </pic:nvPicPr>
                  <pic:blipFill>
                    <a:blip r:embed="rId77"/>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80" w:name="fig:unnamed-chunk-6"/>
      <w:bookmarkEnd w:id="80"/>
      <w:r>
        <w:t xml:space="preserve">Figure 6: General structure of the physical asset account for environmental assets (physical units)</w:t>
      </w:r>
    </w:p>
    <w:bookmarkStart w:id="81"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81"/>
    <w:bookmarkStart w:id="82"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2"/>
    <w:bookmarkStart w:id="83"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83"/>
    <w:bookmarkStart w:id="84"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84"/>
    <w:bookmarkEnd w:id="85"/>
    <w:bookmarkStart w:id="86"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86"/>
    <w:bookmarkStart w:id="98"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88" name="Picture"/>
            <a:graphic>
              <a:graphicData uri="http://schemas.openxmlformats.org/drawingml/2006/picture">
                <pic:pic>
                  <pic:nvPicPr>
                    <pic:cNvPr descr="Graphical_Output/LandUse.png" id="89" name="Picture"/>
                    <pic:cNvPicPr>
                      <a:picLocks noChangeArrowheads="1" noChangeAspect="1"/>
                    </pic:cNvPicPr>
                  </pic:nvPicPr>
                  <pic:blipFill>
                    <a:blip r:embed="rId87"/>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90" w:name="fig:unnamed-chunk-7"/>
      <w:bookmarkEnd w:id="90"/>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92" name="Picture"/>
            <a:graphic>
              <a:graphicData uri="http://schemas.openxmlformats.org/drawingml/2006/picture">
                <pic:pic>
                  <pic:nvPicPr>
                    <pic:cNvPr descr="Graphical_Output/LandcoverClassification.png" id="93" name="Picture"/>
                    <pic:cNvPicPr>
                      <a:picLocks noChangeArrowheads="1" noChangeAspect="1"/>
                    </pic:cNvPicPr>
                  </pic:nvPicPr>
                  <pic:blipFill>
                    <a:blip r:embed="rId91"/>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94" w:name="fig:unnamed-chunk-8"/>
      <w:bookmarkEnd w:id="94"/>
      <w:r>
        <w:t xml:space="preserve">Figure 8: Land cover classification</w:t>
      </w:r>
    </w:p>
    <w:p>
      <w:pPr>
        <w:pStyle w:val="BodyText"/>
      </w:pPr>
      <w:r>
        <w:drawing>
          <wp:inline>
            <wp:extent cx="5270500" cy="2552611"/>
            <wp:effectExtent b="0" l="0" r="0" t="0"/>
            <wp:docPr descr="Figure 9: Physical account for land cover (hectares)" title="" id="96" name="Picture"/>
            <a:graphic>
              <a:graphicData uri="http://schemas.openxmlformats.org/drawingml/2006/picture">
                <pic:pic>
                  <pic:nvPicPr>
                    <pic:cNvPr descr="Graphical_Output/Physical_Account_for_Land.png" id="97" name="Picture"/>
                    <pic:cNvPicPr>
                      <a:picLocks noChangeArrowheads="1" noChangeAspect="1"/>
                    </pic:cNvPicPr>
                  </pic:nvPicPr>
                  <pic:blipFill>
                    <a:blip r:embed="rId95"/>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98"/>
    <w:bookmarkStart w:id="115"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9"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9"/>
    <w:bookmarkStart w:id="104"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101" name="Picture"/>
            <a:graphic>
              <a:graphicData uri="http://schemas.openxmlformats.org/drawingml/2006/picture">
                <pic:pic>
                  <pic:nvPicPr>
                    <pic:cNvPr descr="Graphical_Output/Aquatic_Physical_Asset_Accounts.png" id="102" name="Picture"/>
                    <pic:cNvPicPr>
                      <a:picLocks noChangeArrowheads="1" noChangeAspect="1"/>
                    </pic:cNvPicPr>
                  </pic:nvPicPr>
                  <pic:blipFill>
                    <a:blip r:embed="rId100"/>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03" w:name="fig:unnamed-chunk-10"/>
      <w:bookmarkEnd w:id="103"/>
      <w:r>
        <w:t xml:space="preserve">Figure 10: Physical asset account for aquatic resources (tonnes)</w:t>
      </w:r>
    </w:p>
    <w:bookmarkEnd w:id="104"/>
    <w:bookmarkStart w:id="105"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05"/>
    <w:bookmarkStart w:id="110"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07" name="Picture"/>
            <a:graphic>
              <a:graphicData uri="http://schemas.openxmlformats.org/drawingml/2006/picture">
                <pic:pic>
                  <pic:nvPicPr>
                    <pic:cNvPr descr="Graphical_Output/SEEA_AnnexA5_4.png" id="108" name="Picture"/>
                    <pic:cNvPicPr>
                      <a:picLocks noChangeArrowheads="1" noChangeAspect="1"/>
                    </pic:cNvPicPr>
                  </pic:nvPicPr>
                  <pic:blipFill>
                    <a:blip r:embed="rId106"/>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9" w:name="fig:SEEAAnnexA54"/>
      <w:bookmarkEnd w:id="109"/>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10"/>
    <w:bookmarkStart w:id="111"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11"/>
    <w:bookmarkStart w:id="112"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2"/>
    <w:bookmarkStart w:id="113"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13"/>
    <w:bookmarkStart w:id="114"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14"/>
    <w:bookmarkEnd w:id="115"/>
    <w:bookmarkStart w:id="117" w:name="references"/>
    <w:p>
      <w:pPr>
        <w:pStyle w:val="Heading1"/>
      </w:pPr>
      <w:r>
        <w:rPr>
          <w:rStyle w:val="SectionNumber"/>
        </w:rPr>
        <w:t xml:space="preserve">6</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38">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16">
        <w:r>
          <w:rPr>
            <w:rStyle w:val="Hyperlink"/>
          </w:rPr>
          <w:t xml:space="preserve">10.1126/science.adl4019</w:t>
        </w:r>
      </w:hyperlink>
      <w:r>
        <w:t xml:space="preserve">. URL:</w:t>
      </w:r>
      <w:r>
        <w:t xml:space="preserve"> </w:t>
      </w:r>
      <w:hyperlink r:id="rId27">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Jun. 2025. URL:</w:t>
      </w:r>
      <w:r>
        <w:t xml:space="preserve"> </w:t>
      </w:r>
      <w:hyperlink r:id="rId21">
        <w:r>
          <w:rPr>
            <w:rStyle w:val="Hyperlink"/>
          </w:rPr>
          <w:t xml:space="preserve">https://nso.gov.ki/download/151/2023-24-hies-reports/2167/kiribati-natural-disasters-and-climate-change-report-2023-2024</w:t>
        </w:r>
      </w:hyperlink>
      <w:r>
        <w:t xml:space="preserve">.</w:t>
      </w:r>
    </w:p>
    <w:bookmarkEnd w:id="11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hyperlink r:id="rId21">
        <w:r>
          <w:rPr>
            <w:rStyle w:val="Hyperlink"/>
          </w:rPr>
          <w:t xml:space="preserve">Kiribati National Statistics Office and The Pacific Community, 2025</w:t>
        </w:r>
      </w:hyperlink>
      <w:r>
        <w:t xml:space="preserve">)</w:t>
      </w:r>
    </w:p>
  </w:footnote>
  <w:footnote w:id="26">
    <w:p>
      <w:pPr>
        <w:pStyle w:val="FootnoteText"/>
      </w:pPr>
      <w:r>
        <w:rPr>
          <w:rStyle w:val="FootnoteReference"/>
        </w:rPr>
        <w:footnoteRef/>
      </w:r>
      <w:r>
        <w:t xml:space="preserve"> </w:t>
      </w:r>
      <w:r>
        <w:t xml:space="preserve">(</w:t>
      </w:r>
      <w:hyperlink r:id="rId27">
        <w:r>
          <w:rPr>
            <w:rStyle w:val="Hyperlink"/>
          </w:rPr>
          <w:t xml:space="preserve">Villasenor-Derbez, Costello, and Plantinga, 2024</w:t>
        </w:r>
      </w:hyperlink>
      <w:r>
        <w:t xml:space="preserve">)</w:t>
      </w:r>
    </w:p>
  </w:footnote>
  <w:footnote w:id="37">
    <w:p>
      <w:pPr>
        <w:pStyle w:val="FootnoteText"/>
      </w:pPr>
      <w:r>
        <w:rPr>
          <w:rStyle w:val="FootnoteReference"/>
        </w:rPr>
        <w:footnoteRef/>
      </w:r>
      <w:r>
        <w:t xml:space="preserve"> </w:t>
      </w:r>
      <w:r>
        <w:t xml:space="preserve">(</w:t>
      </w:r>
      <w:hyperlink r:id="rId38">
        <w:r>
          <w:rPr>
            <w:rStyle w:val="Hyperlink"/>
          </w:rPr>
          <w:t xml:space="preserve">United Nations, European Union, Food et al., 2014</w:t>
        </w:r>
      </w:hyperlink>
      <w:r>
        <w:t xml:space="preserve">) section 2.17, page 13</w:t>
      </w:r>
    </w:p>
  </w:footnote>
  <w:footnote w:id="39">
    <w:p>
      <w:pPr>
        <w:pStyle w:val="FootnoteText"/>
      </w:pPr>
      <w:r>
        <w:rPr>
          <w:rStyle w:val="FootnoteReference"/>
        </w:rPr>
        <w:footnoteRef/>
      </w:r>
      <w:r>
        <w:t xml:space="preserve"> </w:t>
      </w:r>
      <w:r>
        <w:t xml:space="preserve">(</w:t>
      </w:r>
      <w:hyperlink r:id="rId38">
        <w:r>
          <w:rPr>
            <w:rStyle w:val="Hyperlink"/>
          </w:rPr>
          <w:t xml:space="preserve">United Nations, European Union, Food et al., 2014</w:t>
        </w:r>
      </w:hyperlink>
      <w:r>
        <w:t xml:space="preserve">) section 2.21, page 14</w:t>
      </w:r>
    </w:p>
  </w:footnote>
  <w:footnote w:id="42">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00" Target="media/rId100.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95" Target="media/rId95.png" /><Relationship Type="http://schemas.openxmlformats.org/officeDocument/2006/relationships/image" Id="rId43" Target="media/rId43.png" /><Relationship Type="http://schemas.openxmlformats.org/officeDocument/2006/relationships/image" Id="rId106" Target="media/rId106.png" /><Relationship Type="http://schemas.openxmlformats.org/officeDocument/2006/relationships/image" Id="rId77" Target="media/rId77.png" /><Relationship Type="http://schemas.openxmlformats.org/officeDocument/2006/relationships/hyperlink" Id="rId116"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8" Target="https://seea.un.org/sites/seea.un.org/files/seea_cf_final_en.pdf" TargetMode="External" /><Relationship Type="http://schemas.openxmlformats.org/officeDocument/2006/relationships/hyperlink" Id="rId27"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8" Target="https://seea.un.org/sites/seea.un.org/files/seea_cf_final_en.pdf" TargetMode="External" /><Relationship Type="http://schemas.openxmlformats.org/officeDocument/2006/relationships/hyperlink" Id="rId27"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dc:title>
  <dc:creator>FAME Economics</dc:creator>
  <cp:keywords/>
  <dcterms:created xsi:type="dcterms:W3CDTF">2025-07-24T00:48:43Z</dcterms:created>
  <dcterms:modified xsi:type="dcterms:W3CDTF">2025-07-24T00:48:43Z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July 2025</vt:lpwstr>
  </property>
  <property fmtid="{D5CDD505-2E9C-101B-9397-08002B2CF9AE}" pid="3" name="output">
    <vt:lpwstr/>
  </property>
  <property fmtid="{D5CDD505-2E9C-101B-9397-08002B2CF9AE}" pid="4" name="subtitle">
    <vt:lpwstr>Incorporating Ocean Accounts through Digital Earth Pacific and FAME Data Sources</vt:lpwstr>
  </property>
</Properties>
</file>