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7" w:type="dxa"/>
        <w:tblLook w:val="04A0" w:firstRow="1" w:lastRow="0" w:firstColumn="1" w:lastColumn="0" w:noHBand="0" w:noVBand="1"/>
      </w:tblPr>
      <w:tblGrid>
        <w:gridCol w:w="3114"/>
        <w:gridCol w:w="5836"/>
        <w:gridCol w:w="5547"/>
      </w:tblGrid>
      <w:tr w:rsidR="000B639B" w14:paraId="6DD26902" w14:textId="77777777" w:rsidTr="000C6451">
        <w:trPr>
          <w:trHeight w:val="416"/>
        </w:trPr>
        <w:tc>
          <w:tcPr>
            <w:tcW w:w="3114" w:type="dxa"/>
            <w:vMerge w:val="restart"/>
          </w:tcPr>
          <w:p w14:paraId="2F945543" w14:textId="0818FEB1" w:rsidR="000B639B" w:rsidRPr="000B639B" w:rsidRDefault="000B639B" w:rsidP="00514CB1">
            <w:pPr>
              <w:rPr>
                <w:b/>
                <w:bCs/>
              </w:rPr>
            </w:pPr>
            <w:r w:rsidRPr="000B639B">
              <w:rPr>
                <w:b/>
                <w:bCs/>
              </w:rPr>
              <w:t xml:space="preserve">Sensitivity </w:t>
            </w:r>
          </w:p>
        </w:tc>
        <w:tc>
          <w:tcPr>
            <w:tcW w:w="11383" w:type="dxa"/>
            <w:gridSpan w:val="2"/>
          </w:tcPr>
          <w:p w14:paraId="1E102E71" w14:textId="198DCDB2" w:rsidR="000B639B" w:rsidRPr="000B639B" w:rsidRDefault="000B639B" w:rsidP="000C6451">
            <w:pPr>
              <w:jc w:val="center"/>
              <w:rPr>
                <w:b/>
                <w:bCs/>
              </w:rPr>
            </w:pPr>
            <w:r w:rsidRPr="000B639B">
              <w:rPr>
                <w:b/>
                <w:bCs/>
              </w:rPr>
              <w:t>Models</w:t>
            </w:r>
          </w:p>
        </w:tc>
      </w:tr>
      <w:tr w:rsidR="000B639B" w14:paraId="4875B178" w14:textId="77777777" w:rsidTr="000C6451">
        <w:trPr>
          <w:trHeight w:val="266"/>
        </w:trPr>
        <w:tc>
          <w:tcPr>
            <w:tcW w:w="3114" w:type="dxa"/>
            <w:vMerge/>
          </w:tcPr>
          <w:p w14:paraId="2D18B442" w14:textId="4BAB5CEE" w:rsidR="000B639B" w:rsidRPr="000B639B" w:rsidRDefault="000B639B">
            <w:pPr>
              <w:rPr>
                <w:b/>
                <w:bCs/>
              </w:rPr>
            </w:pPr>
          </w:p>
        </w:tc>
        <w:tc>
          <w:tcPr>
            <w:tcW w:w="5836" w:type="dxa"/>
          </w:tcPr>
          <w:p w14:paraId="27C81AA0" w14:textId="0A1EA5BE" w:rsidR="000B639B" w:rsidRPr="000B639B" w:rsidRDefault="000B639B">
            <w:pPr>
              <w:rPr>
                <w:b/>
                <w:bCs/>
              </w:rPr>
            </w:pPr>
            <w:r w:rsidRPr="000B639B">
              <w:rPr>
                <w:b/>
                <w:bCs/>
              </w:rPr>
              <w:t>YF</w:t>
            </w:r>
            <w:r w:rsidR="00F549BA">
              <w:rPr>
                <w:b/>
                <w:bCs/>
              </w:rPr>
              <w:t>T</w:t>
            </w:r>
          </w:p>
        </w:tc>
        <w:tc>
          <w:tcPr>
            <w:tcW w:w="5547" w:type="dxa"/>
          </w:tcPr>
          <w:p w14:paraId="42B22D03" w14:textId="3D1B30BA" w:rsidR="000B639B" w:rsidRPr="000B639B" w:rsidRDefault="000B639B">
            <w:pPr>
              <w:rPr>
                <w:b/>
                <w:bCs/>
              </w:rPr>
            </w:pPr>
            <w:r w:rsidRPr="000B639B">
              <w:rPr>
                <w:b/>
                <w:bCs/>
              </w:rPr>
              <w:t>BET</w:t>
            </w:r>
          </w:p>
        </w:tc>
      </w:tr>
      <w:tr w:rsidR="000B639B" w14:paraId="1FA516D5" w14:textId="77777777" w:rsidTr="000C6451">
        <w:trPr>
          <w:trHeight w:val="828"/>
        </w:trPr>
        <w:tc>
          <w:tcPr>
            <w:tcW w:w="3114" w:type="dxa"/>
          </w:tcPr>
          <w:p w14:paraId="66261937" w14:textId="10B49480" w:rsidR="000B639B" w:rsidRDefault="000B639B">
            <w:r>
              <w:t>Spatial stratification</w:t>
            </w:r>
          </w:p>
        </w:tc>
        <w:tc>
          <w:tcPr>
            <w:tcW w:w="11383" w:type="dxa"/>
            <w:gridSpan w:val="2"/>
          </w:tcPr>
          <w:p w14:paraId="112DA87A" w14:textId="30765264" w:rsidR="000B639B" w:rsidRDefault="00D179B6">
            <w:r>
              <w:t>9, 8, 6, 5, 4 regions</w:t>
            </w:r>
          </w:p>
        </w:tc>
      </w:tr>
      <w:tr w:rsidR="000B639B" w:rsidRPr="006B5867" w14:paraId="6DA92BF8" w14:textId="77777777" w:rsidTr="000C6451">
        <w:trPr>
          <w:trHeight w:val="798"/>
        </w:trPr>
        <w:tc>
          <w:tcPr>
            <w:tcW w:w="3114" w:type="dxa"/>
          </w:tcPr>
          <w:p w14:paraId="1B6999EF" w14:textId="7AB1A3BA" w:rsidR="000B639B" w:rsidRDefault="000B639B">
            <w:r>
              <w:t>M</w:t>
            </w:r>
          </w:p>
        </w:tc>
        <w:tc>
          <w:tcPr>
            <w:tcW w:w="11383" w:type="dxa"/>
            <w:gridSpan w:val="2"/>
          </w:tcPr>
          <w:p w14:paraId="56394216" w14:textId="4F082A3F" w:rsidR="000B639B" w:rsidRPr="006B5867" w:rsidRDefault="005B727A">
            <w:r w:rsidRPr="006B5867">
              <w:t>Alternative base M (Hoyle et al</w:t>
            </w:r>
            <w:r w:rsidR="00ED67BF">
              <w:t>. 2023</w:t>
            </w:r>
            <w:r w:rsidRPr="006B5867">
              <w:t xml:space="preserve">) and </w:t>
            </w:r>
            <w:r>
              <w:t xml:space="preserve">M </w:t>
            </w:r>
            <w:r w:rsidRPr="006B5867">
              <w:t>estimated</w:t>
            </w:r>
            <w:r>
              <w:t xml:space="preserve"> in model</w:t>
            </w:r>
            <w:r w:rsidRPr="006B5867">
              <w:t>, Lorenzen form</w:t>
            </w:r>
          </w:p>
        </w:tc>
      </w:tr>
      <w:tr w:rsidR="000B639B" w14:paraId="66804DD6" w14:textId="77777777" w:rsidTr="000C6451">
        <w:trPr>
          <w:trHeight w:val="1023"/>
        </w:trPr>
        <w:tc>
          <w:tcPr>
            <w:tcW w:w="3114" w:type="dxa"/>
          </w:tcPr>
          <w:p w14:paraId="579B94CD" w14:textId="030DF514" w:rsidR="000B639B" w:rsidRDefault="000B639B">
            <w:r>
              <w:t>Size comp pre-treatment/filtering etc.</w:t>
            </w:r>
          </w:p>
        </w:tc>
        <w:tc>
          <w:tcPr>
            <w:tcW w:w="11383" w:type="dxa"/>
            <w:gridSpan w:val="2"/>
          </w:tcPr>
          <w:p w14:paraId="0614C96F" w14:textId="573AD1AC" w:rsidR="000B639B" w:rsidRDefault="00B4501B">
            <w:r>
              <w:t>N</w:t>
            </w:r>
            <w:r w:rsidR="00A52EC5">
              <w:t>ew filtering approaches</w:t>
            </w:r>
            <w:r>
              <w:t xml:space="preserve"> (Tom </w:t>
            </w:r>
            <w:proofErr w:type="spellStart"/>
            <w:r>
              <w:t>Peatman</w:t>
            </w:r>
            <w:proofErr w:type="spellEnd"/>
            <w:r>
              <w:t>)</w:t>
            </w:r>
          </w:p>
        </w:tc>
      </w:tr>
      <w:tr w:rsidR="000B639B" w14:paraId="421E4885" w14:textId="77777777" w:rsidTr="000C6451">
        <w:trPr>
          <w:trHeight w:val="828"/>
        </w:trPr>
        <w:tc>
          <w:tcPr>
            <w:tcW w:w="3114" w:type="dxa"/>
          </w:tcPr>
          <w:p w14:paraId="0E08AB1A" w14:textId="047AD908" w:rsidR="000B639B" w:rsidRDefault="000B639B">
            <w:r>
              <w:t>Growth</w:t>
            </w:r>
          </w:p>
        </w:tc>
        <w:tc>
          <w:tcPr>
            <w:tcW w:w="5836" w:type="dxa"/>
          </w:tcPr>
          <w:p w14:paraId="7D98CE65" w14:textId="75130C45" w:rsidR="000B639B" w:rsidRDefault="008842D9">
            <w:r>
              <w:t>Explore</w:t>
            </w:r>
            <w:r w:rsidR="00D3691F">
              <w:t xml:space="preserve"> e</w:t>
            </w:r>
            <w:r w:rsidR="00433B31">
              <w:t>stimat</w:t>
            </w:r>
            <w:r w:rsidR="00795B6A">
              <w:t>ing</w:t>
            </w:r>
            <w:r w:rsidR="00433B31">
              <w:t xml:space="preserve"> </w:t>
            </w:r>
            <w:r>
              <w:t xml:space="preserve">Richards </w:t>
            </w:r>
            <w:r w:rsidR="00795B6A">
              <w:t xml:space="preserve">growth </w:t>
            </w:r>
            <w:r>
              <w:t>curve internally</w:t>
            </w:r>
          </w:p>
        </w:tc>
        <w:tc>
          <w:tcPr>
            <w:tcW w:w="5547" w:type="dxa"/>
          </w:tcPr>
          <w:p w14:paraId="6A33039B" w14:textId="4F8CD35B" w:rsidR="000B639B" w:rsidRDefault="00DE3BBE">
            <w:r>
              <w:t>Explore</w:t>
            </w:r>
            <w:r w:rsidR="00DC42CA">
              <w:t xml:space="preserve"> estimating VB and Richards growth</w:t>
            </w:r>
            <w:r w:rsidR="00666B1A">
              <w:t xml:space="preserve"> curves internally</w:t>
            </w:r>
          </w:p>
        </w:tc>
      </w:tr>
      <w:tr w:rsidR="000B639B" w14:paraId="6C5B9B5D" w14:textId="77777777" w:rsidTr="000C6451">
        <w:trPr>
          <w:trHeight w:val="828"/>
        </w:trPr>
        <w:tc>
          <w:tcPr>
            <w:tcW w:w="3114" w:type="dxa"/>
          </w:tcPr>
          <w:p w14:paraId="1ED0EFC8" w14:textId="2E7B6312" w:rsidR="000B639B" w:rsidRDefault="000B639B">
            <w:r>
              <w:t>Data weighting</w:t>
            </w:r>
          </w:p>
        </w:tc>
        <w:tc>
          <w:tcPr>
            <w:tcW w:w="11383" w:type="dxa"/>
            <w:gridSpan w:val="2"/>
          </w:tcPr>
          <w:p w14:paraId="17A692D4" w14:textId="4CA23556" w:rsidR="000B639B" w:rsidRDefault="005A4A7D">
            <w:r>
              <w:t xml:space="preserve">Explore whether empirical data weights can be used, comparing residuals to statistical distributions. </w:t>
            </w:r>
            <w:r w:rsidR="00FA1FDA">
              <w:t xml:space="preserve">Lognormal </w:t>
            </w:r>
            <w:r w:rsidR="0099150E">
              <w:t xml:space="preserve">CV </w:t>
            </w:r>
            <w:r w:rsidR="00FA1FDA">
              <w:t xml:space="preserve">for CPUE. </w:t>
            </w:r>
            <w:r w:rsidR="00373E17">
              <w:t>If Dirichlet multinomial is not</w:t>
            </w:r>
            <w:r w:rsidR="0066798F">
              <w:t xml:space="preserve"> used, c</w:t>
            </w:r>
            <w:r w:rsidR="006064A5">
              <w:t xml:space="preserve">onsider </w:t>
            </w:r>
            <w:r w:rsidR="004F7B06">
              <w:t xml:space="preserve">iterative reweighting </w:t>
            </w:r>
            <w:r w:rsidR="00735D9B">
              <w:t xml:space="preserve">e.g. </w:t>
            </w:r>
            <w:r w:rsidR="002566C3">
              <w:t>McAllister-Ianelli</w:t>
            </w:r>
            <w:r w:rsidR="00735D9B">
              <w:t xml:space="preserve"> or</w:t>
            </w:r>
            <w:r w:rsidR="00EB4B8E">
              <w:t xml:space="preserve"> Francis</w:t>
            </w:r>
            <w:r w:rsidR="00735D9B">
              <w:t xml:space="preserve"> TA1.8 for length and Punt method for conditional age-at-length data</w:t>
            </w:r>
            <w:r w:rsidR="00373E17">
              <w:t>.</w:t>
            </w:r>
          </w:p>
        </w:tc>
      </w:tr>
      <w:tr w:rsidR="000B639B" w14:paraId="3C6EABDA" w14:textId="77777777" w:rsidTr="000C6451">
        <w:trPr>
          <w:trHeight w:val="828"/>
        </w:trPr>
        <w:tc>
          <w:tcPr>
            <w:tcW w:w="3114" w:type="dxa"/>
          </w:tcPr>
          <w:p w14:paraId="11644283" w14:textId="5C6F6E92" w:rsidR="000B639B" w:rsidRDefault="000B639B">
            <w:r>
              <w:t>Selectivity</w:t>
            </w:r>
          </w:p>
        </w:tc>
        <w:tc>
          <w:tcPr>
            <w:tcW w:w="11383" w:type="dxa"/>
            <w:gridSpan w:val="2"/>
          </w:tcPr>
          <w:p w14:paraId="2EC0FB1F" w14:textId="7D76A724" w:rsidR="000B639B" w:rsidRDefault="00EA132E">
            <w:r>
              <w:t>Explore judicious merging</w:t>
            </w:r>
            <w:r w:rsidR="007229F4">
              <w:t>/</w:t>
            </w:r>
            <w:r>
              <w:t>splitting of fisheries</w:t>
            </w:r>
            <w:r w:rsidR="00964922">
              <w:t>, as well as</w:t>
            </w:r>
            <w:r>
              <w:t xml:space="preserve"> sharing selectivity between </w:t>
            </w:r>
            <w:r w:rsidR="00751F92">
              <w:t>similar</w:t>
            </w:r>
            <w:r>
              <w:t xml:space="preserve"> fisheries</w:t>
            </w:r>
          </w:p>
        </w:tc>
      </w:tr>
      <w:tr w:rsidR="00A752D6" w14:paraId="78268ACC" w14:textId="77777777" w:rsidTr="002B6444">
        <w:trPr>
          <w:trHeight w:val="828"/>
        </w:trPr>
        <w:tc>
          <w:tcPr>
            <w:tcW w:w="3114" w:type="dxa"/>
          </w:tcPr>
          <w:p w14:paraId="7CC3B0FE" w14:textId="1233F7C8" w:rsidR="00A752D6" w:rsidRDefault="00A752D6">
            <w:r>
              <w:t>CPUE models</w:t>
            </w:r>
          </w:p>
        </w:tc>
        <w:tc>
          <w:tcPr>
            <w:tcW w:w="11383" w:type="dxa"/>
            <w:gridSpan w:val="2"/>
          </w:tcPr>
          <w:p w14:paraId="15D83F7D" w14:textId="5E2975C2" w:rsidR="00A752D6" w:rsidRDefault="00A752D6" w:rsidP="00A752D6">
            <w:pPr>
              <w:pStyle w:val="ListParagraph"/>
              <w:numPr>
                <w:ilvl w:val="0"/>
                <w:numId w:val="2"/>
              </w:numPr>
            </w:pPr>
            <w:r>
              <w:t>Apply CPUE developed from regions modelled independently and scaled by global model. Does this form of scaling give reasonable MFCL outputs and fits to the data?</w:t>
            </w:r>
            <w:r w:rsidR="009406D6">
              <w:t xml:space="preserve"> This may provide more accurate estimates of region</w:t>
            </w:r>
            <w:r w:rsidR="00197451">
              <w:t xml:space="preserve">-specific </w:t>
            </w:r>
            <w:r w:rsidR="009406D6">
              <w:t>parameters in the CPUE standardization an</w:t>
            </w:r>
            <w:r w:rsidR="00197451">
              <w:t>d, possibly, less biased CPUE indices but regional scaling needs to be maintained.</w:t>
            </w:r>
          </w:p>
          <w:p w14:paraId="41594EE6" w14:textId="77777777" w:rsidR="00A752D6" w:rsidRDefault="00A752D6" w:rsidP="00A752D6">
            <w:pPr>
              <w:pStyle w:val="ListParagraph"/>
              <w:numPr>
                <w:ilvl w:val="0"/>
                <w:numId w:val="2"/>
              </w:numPr>
            </w:pPr>
            <w:r>
              <w:t>In the previous assessments, MFCL did not fit the seasonal pattern in CPUE. Apply CPUE developed from seasonal model to understand if accounting for seasonality in the CPUE standardization improves the MFCL fits to the CPUE.</w:t>
            </w:r>
            <w:r w:rsidR="004D6E99">
              <w:t xml:space="preserve"> Since catchability is not estimated in the catch-conditioned model, there is no confounding between seasonal catchability and a seasonal CPUE standardization model.</w:t>
            </w:r>
          </w:p>
          <w:p w14:paraId="50D78C19" w14:textId="3475DF9B" w:rsidR="006A5EAF" w:rsidRDefault="006A5EAF" w:rsidP="006A5EAF">
            <w:pPr>
              <w:pStyle w:val="ListParagraph"/>
              <w:numPr>
                <w:ilvl w:val="0"/>
                <w:numId w:val="2"/>
              </w:numPr>
            </w:pPr>
            <w:r>
              <w:t>Apply v</w:t>
            </w:r>
            <w:r w:rsidRPr="006A5EAF">
              <w:t>ariance-covariance matrix</w:t>
            </w:r>
            <w:r>
              <w:t xml:space="preserve"> for CPUE</w:t>
            </w:r>
            <w:r w:rsidRPr="006A5EAF">
              <w:t xml:space="preserve"> in MFCL</w:t>
            </w:r>
            <w:r>
              <w:t xml:space="preserve">. </w:t>
            </w:r>
            <w:r w:rsidRPr="006A5EAF">
              <w:t>Can ungroup selectivity but catchability needs to be grouped for regional scaling</w:t>
            </w:r>
            <w:r>
              <w:t>.</w:t>
            </w:r>
          </w:p>
        </w:tc>
      </w:tr>
      <w:tr w:rsidR="000B639B" w14:paraId="504A12C5" w14:textId="77777777" w:rsidTr="000C6451">
        <w:trPr>
          <w:trHeight w:val="798"/>
        </w:trPr>
        <w:tc>
          <w:tcPr>
            <w:tcW w:w="3114" w:type="dxa"/>
          </w:tcPr>
          <w:p w14:paraId="79A7ADA4" w14:textId="2E1A7BB9" w:rsidR="000B639B" w:rsidRDefault="000B639B">
            <w:r>
              <w:lastRenderedPageBreak/>
              <w:t>Tagging</w:t>
            </w:r>
          </w:p>
        </w:tc>
        <w:tc>
          <w:tcPr>
            <w:tcW w:w="11383" w:type="dxa"/>
            <w:gridSpan w:val="2"/>
          </w:tcPr>
          <w:p w14:paraId="6BDB1F3B" w14:textId="1739CD37" w:rsidR="000B639B" w:rsidRDefault="00BD13B7">
            <w:r>
              <w:t xml:space="preserve">Consider </w:t>
            </w:r>
            <w:r w:rsidR="003A7302">
              <w:t xml:space="preserve">dropping tags from region </w:t>
            </w:r>
            <w:r w:rsidR="00975B1E">
              <w:t>9</w:t>
            </w:r>
            <w:r w:rsidR="005852E0">
              <w:t>, or not using them for movement estimates</w:t>
            </w:r>
            <w:r w:rsidR="00EB3320">
              <w:t>.</w:t>
            </w:r>
            <w:r w:rsidR="00EB32CB">
              <w:t xml:space="preserve"> Explore tag mixing options</w:t>
            </w:r>
            <w:r w:rsidR="00732049">
              <w:t xml:space="preserve">, </w:t>
            </w:r>
            <w:r w:rsidR="00732049">
              <w:t>especially for spatial structure with fewer regions</w:t>
            </w:r>
          </w:p>
        </w:tc>
      </w:tr>
      <w:tr w:rsidR="00A37F83" w14:paraId="25F3B020" w14:textId="77777777" w:rsidTr="000C6451">
        <w:trPr>
          <w:trHeight w:val="798"/>
        </w:trPr>
        <w:tc>
          <w:tcPr>
            <w:tcW w:w="3114" w:type="dxa"/>
          </w:tcPr>
          <w:p w14:paraId="2D2B3612" w14:textId="2169E8AE" w:rsidR="00A37F83" w:rsidRDefault="00677F7D">
            <w:r>
              <w:t>Technical</w:t>
            </w:r>
            <w:r w:rsidR="00A37F83">
              <w:t xml:space="preserve"> creep </w:t>
            </w:r>
            <w:r>
              <w:t>i</w:t>
            </w:r>
            <w:r w:rsidR="00A37F83">
              <w:t>n LL index fisheries</w:t>
            </w:r>
          </w:p>
        </w:tc>
        <w:tc>
          <w:tcPr>
            <w:tcW w:w="11383" w:type="dxa"/>
            <w:gridSpan w:val="2"/>
          </w:tcPr>
          <w:p w14:paraId="65B68405" w14:textId="2BD1606F" w:rsidR="00A37F83" w:rsidRDefault="00080A1C">
            <w:r>
              <w:t>1%</w:t>
            </w:r>
            <w:r w:rsidR="00644E81">
              <w:t xml:space="preserve"> per year</w:t>
            </w:r>
            <w:r w:rsidR="00EC0926">
              <w:t xml:space="preserve"> as a sensitivity model run</w:t>
            </w:r>
          </w:p>
        </w:tc>
      </w:tr>
      <w:tr w:rsidR="000C6451" w14:paraId="1C54915A" w14:textId="77777777" w:rsidTr="000C6451">
        <w:trPr>
          <w:trHeight w:val="798"/>
        </w:trPr>
        <w:tc>
          <w:tcPr>
            <w:tcW w:w="3114" w:type="dxa"/>
          </w:tcPr>
          <w:p w14:paraId="69E724B8" w14:textId="7571F961" w:rsidR="000C6451" w:rsidRDefault="000C6451">
            <w:r>
              <w:t>Steepness</w:t>
            </w:r>
          </w:p>
        </w:tc>
        <w:tc>
          <w:tcPr>
            <w:tcW w:w="11383" w:type="dxa"/>
            <w:gridSpan w:val="2"/>
          </w:tcPr>
          <w:p w14:paraId="2B6F8680" w14:textId="77777777" w:rsidR="004568D0" w:rsidRDefault="004568D0">
            <w:r>
              <w:t xml:space="preserve">Standard range for values of </w:t>
            </w:r>
            <w:r w:rsidRPr="00BF595D">
              <w:rPr>
                <w:i/>
                <w:iCs/>
              </w:rPr>
              <w:t>h</w:t>
            </w:r>
            <w:r>
              <w:t xml:space="preserve"> in</w:t>
            </w:r>
            <w:r w:rsidR="00525FEA">
              <w:t>cluded in</w:t>
            </w:r>
            <w:r>
              <w:t xml:space="preserve"> uncertainty </w:t>
            </w:r>
            <w:r w:rsidR="00205CF0">
              <w:t>grid</w:t>
            </w:r>
          </w:p>
          <w:p w14:paraId="2434E57C" w14:textId="59A8F46F" w:rsidR="000C6451" w:rsidRDefault="007B1991">
            <w:r>
              <w:t>Should this row be deleted – it is included below in the grid</w:t>
            </w:r>
            <w:r w:rsidR="00FB662D">
              <w:t xml:space="preserve"> section?</w:t>
            </w:r>
          </w:p>
        </w:tc>
      </w:tr>
      <w:tr w:rsidR="000C6451" w14:paraId="56F1E60A" w14:textId="77777777" w:rsidTr="000C6451">
        <w:trPr>
          <w:trHeight w:val="798"/>
        </w:trPr>
        <w:tc>
          <w:tcPr>
            <w:tcW w:w="3114" w:type="dxa"/>
          </w:tcPr>
          <w:p w14:paraId="3B31BD7C" w14:textId="27D3BE23" w:rsidR="00774EB2" w:rsidRDefault="00774EB2" w:rsidP="00774EB2">
            <w:r>
              <w:t xml:space="preserve">Movement </w:t>
            </w:r>
          </w:p>
          <w:p w14:paraId="65D01CEF" w14:textId="77777777" w:rsidR="000C6451" w:rsidRDefault="000C6451"/>
        </w:tc>
        <w:tc>
          <w:tcPr>
            <w:tcW w:w="11383" w:type="dxa"/>
            <w:gridSpan w:val="2"/>
          </w:tcPr>
          <w:p w14:paraId="2F331D25" w14:textId="02368F91" w:rsidR="000C6451" w:rsidRDefault="0056686E">
            <w:r>
              <w:t>External</w:t>
            </w:r>
            <w:r w:rsidR="00377C91">
              <w:t>ly estimated</w:t>
            </w:r>
            <w:r>
              <w:t xml:space="preserve"> movement </w:t>
            </w:r>
            <w:r w:rsidR="00377C91">
              <w:t xml:space="preserve">coefficients </w:t>
            </w:r>
            <w:r>
              <w:t>(SEAPODYM)</w:t>
            </w:r>
          </w:p>
        </w:tc>
      </w:tr>
    </w:tbl>
    <w:p w14:paraId="45AD9AC9" w14:textId="3ED586AC" w:rsidR="007C4D8E" w:rsidRDefault="007C4D8E"/>
    <w:p w14:paraId="209C3E71" w14:textId="7C4A84B5" w:rsidR="004B4C95" w:rsidRDefault="004B4C95"/>
    <w:p w14:paraId="51D215AE" w14:textId="3418C66A" w:rsidR="002E6925" w:rsidRPr="002E6925" w:rsidRDefault="002E6925">
      <w:pPr>
        <w:rPr>
          <w:b/>
          <w:bCs/>
          <w:sz w:val="28"/>
          <w:szCs w:val="28"/>
        </w:rPr>
      </w:pPr>
      <w:r w:rsidRPr="002E6925">
        <w:rPr>
          <w:b/>
          <w:bCs/>
          <w:sz w:val="28"/>
          <w:szCs w:val="28"/>
        </w:rPr>
        <w:t>Key uncertainties for grid/ensemble:</w:t>
      </w:r>
    </w:p>
    <w:p w14:paraId="26248C8D" w14:textId="5C73F230" w:rsidR="00863497" w:rsidRDefault="00863497">
      <w:r>
        <w:rPr>
          <w:rStyle w:val="ui-provider"/>
        </w:rPr>
        <w:t xml:space="preserve">The grid </w:t>
      </w:r>
      <w:r w:rsidR="006248D3">
        <w:rPr>
          <w:rStyle w:val="ui-provider"/>
        </w:rPr>
        <w:t xml:space="preserve">uncertainty </w:t>
      </w:r>
      <w:r>
        <w:rPr>
          <w:rStyle w:val="ui-provider"/>
        </w:rPr>
        <w:t>axes will be based on findings from model explorations and findings</w:t>
      </w:r>
      <w:r w:rsidR="00410C48">
        <w:rPr>
          <w:rStyle w:val="ui-provider"/>
        </w:rPr>
        <w:t xml:space="preserve">. </w:t>
      </w:r>
      <w:r w:rsidR="00D10229">
        <w:rPr>
          <w:rStyle w:val="ui-provider"/>
        </w:rPr>
        <w:t>The final grid axes will fulfil two conditions: (1) the alternatives evaluated are all considered sensible modelling options, and (2) they lead to considerably different estimates of stock status and thus represent the overall uncertainty in the assessment</w:t>
      </w:r>
      <w:r w:rsidR="00D10229">
        <w:rPr>
          <w:rStyle w:val="ui-provider"/>
        </w:rPr>
        <w:t>.</w:t>
      </w:r>
      <w:r w:rsidR="00B72367">
        <w:rPr>
          <w:rStyle w:val="ui-provider"/>
        </w:rPr>
        <w:t xml:space="preserve"> Possible </w:t>
      </w:r>
      <w:r w:rsidR="006248D3">
        <w:rPr>
          <w:rStyle w:val="ui-provider"/>
        </w:rPr>
        <w:t xml:space="preserve">grid </w:t>
      </w:r>
      <w:r w:rsidR="00B72367">
        <w:rPr>
          <w:rStyle w:val="ui-provider"/>
        </w:rPr>
        <w:t xml:space="preserve">axes </w:t>
      </w:r>
      <w:r w:rsidR="006248D3">
        <w:rPr>
          <w:rStyle w:val="ui-provider"/>
        </w:rPr>
        <w:t>include:</w:t>
      </w:r>
    </w:p>
    <w:p w14:paraId="09FC4DC7" w14:textId="77777777" w:rsidR="0063472C" w:rsidRDefault="0063472C" w:rsidP="0063472C">
      <w:r>
        <w:t>Steepness</w:t>
      </w:r>
    </w:p>
    <w:p w14:paraId="2F409420" w14:textId="77777777" w:rsidR="0063472C" w:rsidRDefault="0063472C" w:rsidP="0063472C">
      <w:r>
        <w:t>Growth – maybe</w:t>
      </w:r>
    </w:p>
    <w:p w14:paraId="5B7F5861" w14:textId="77777777" w:rsidR="0063472C" w:rsidRDefault="0063472C" w:rsidP="0063472C">
      <w:r>
        <w:t>Tag mixing</w:t>
      </w:r>
    </w:p>
    <w:p w14:paraId="3F6E6964" w14:textId="77777777" w:rsidR="0063472C" w:rsidRDefault="0063472C" w:rsidP="0063472C">
      <w:r>
        <w:t>Movement</w:t>
      </w:r>
    </w:p>
    <w:p w14:paraId="09CDE73D" w14:textId="77777777" w:rsidR="0063472C" w:rsidRDefault="0063472C" w:rsidP="0063472C">
      <w:r>
        <w:t xml:space="preserve">Data weighting </w:t>
      </w:r>
    </w:p>
    <w:p w14:paraId="3B2CD4B2" w14:textId="77777777" w:rsidR="0063472C" w:rsidRDefault="0063472C" w:rsidP="0063472C">
      <w:r>
        <w:t>Spatial structure</w:t>
      </w:r>
    </w:p>
    <w:p w14:paraId="56FEE835" w14:textId="5A68D59B" w:rsidR="002E6925" w:rsidRDefault="002E6925"/>
    <w:p w14:paraId="04E1049B" w14:textId="77777777" w:rsidR="002E6925" w:rsidRDefault="002E6925"/>
    <w:p w14:paraId="41A65C77" w14:textId="26360FD5" w:rsidR="002E6925" w:rsidRDefault="002E6925"/>
    <w:p w14:paraId="030A269D" w14:textId="37780C68" w:rsidR="002E6925" w:rsidRDefault="002E6925"/>
    <w:p w14:paraId="1380D48B" w14:textId="50668C0C" w:rsidR="002E6925" w:rsidRDefault="002E6925"/>
    <w:p w14:paraId="09178101" w14:textId="77777777" w:rsidR="002E6925" w:rsidRDefault="002E6925"/>
    <w:p w14:paraId="13A09E9B" w14:textId="56972ECB" w:rsidR="004B4C95" w:rsidRPr="004B4C95" w:rsidRDefault="004B4C95">
      <w:pPr>
        <w:rPr>
          <w:b/>
          <w:bCs/>
        </w:rPr>
      </w:pPr>
      <w:r w:rsidRPr="004B4C95">
        <w:rPr>
          <w:b/>
          <w:bCs/>
        </w:rPr>
        <w:t>Projects:</w:t>
      </w:r>
    </w:p>
    <w:p w14:paraId="2F24B54B" w14:textId="07B689BF" w:rsidR="004B4C95" w:rsidRDefault="004B4C95">
      <w:r>
        <w:t>CPUE/Effort creep - longline focus</w:t>
      </w:r>
      <w:r w:rsidR="00796136">
        <w:t xml:space="preserve"> project</w:t>
      </w:r>
    </w:p>
    <w:p w14:paraId="555A51C7" w14:textId="60D9D26A" w:rsidR="004B4C95" w:rsidRDefault="004B4C95">
      <w:r>
        <w:t>WCPFC size composition data review</w:t>
      </w:r>
    </w:p>
    <w:p w14:paraId="1F6A21D9" w14:textId="6C18B0E4" w:rsidR="004B4C95" w:rsidRDefault="004B4C95">
      <w:r>
        <w:t>Enhancing otolith collections – bet and yft</w:t>
      </w:r>
    </w:p>
    <w:p w14:paraId="3609001D" w14:textId="7C74809E" w:rsidR="0077693B" w:rsidRDefault="0077693B">
      <w:r>
        <w:t>Scoping of modelling framework – beyond MFCL</w:t>
      </w:r>
      <w:r w:rsidR="00796136">
        <w:t xml:space="preserve">: seek support for a workshop, include other </w:t>
      </w:r>
      <w:proofErr w:type="spellStart"/>
      <w:r w:rsidR="00796136">
        <w:t>tRFMOs</w:t>
      </w:r>
      <w:proofErr w:type="spellEnd"/>
      <w:r w:rsidR="00796136">
        <w:t xml:space="preserve"> and other platform developers</w:t>
      </w:r>
    </w:p>
    <w:p w14:paraId="58FCD835" w14:textId="24725D07" w:rsidR="004B4C95" w:rsidRDefault="004B4C95">
      <w:r>
        <w:t>…</w:t>
      </w:r>
    </w:p>
    <w:p w14:paraId="69A9EEDB" w14:textId="77777777" w:rsidR="00586F39" w:rsidRDefault="00586F39"/>
    <w:sectPr w:rsidR="00586F39" w:rsidSect="00ED548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6DCD"/>
    <w:multiLevelType w:val="hybridMultilevel"/>
    <w:tmpl w:val="419435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C86DB2"/>
    <w:multiLevelType w:val="hybridMultilevel"/>
    <w:tmpl w:val="0D4C8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8682399">
    <w:abstractNumId w:val="1"/>
  </w:num>
  <w:num w:numId="2" w16cid:durableId="3231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9B"/>
    <w:rsid w:val="00035089"/>
    <w:rsid w:val="00061FC4"/>
    <w:rsid w:val="00070F99"/>
    <w:rsid w:val="000748C8"/>
    <w:rsid w:val="00075FE2"/>
    <w:rsid w:val="00080A1C"/>
    <w:rsid w:val="00096843"/>
    <w:rsid w:val="000B126F"/>
    <w:rsid w:val="000B4AC4"/>
    <w:rsid w:val="000B639B"/>
    <w:rsid w:val="000C05BF"/>
    <w:rsid w:val="000C6451"/>
    <w:rsid w:val="0010167A"/>
    <w:rsid w:val="00197451"/>
    <w:rsid w:val="001A4EEA"/>
    <w:rsid w:val="001D0799"/>
    <w:rsid w:val="001E4499"/>
    <w:rsid w:val="001F0F62"/>
    <w:rsid w:val="00205CF0"/>
    <w:rsid w:val="00207EE4"/>
    <w:rsid w:val="00247680"/>
    <w:rsid w:val="002566C3"/>
    <w:rsid w:val="00264EEF"/>
    <w:rsid w:val="00271659"/>
    <w:rsid w:val="002948B9"/>
    <w:rsid w:val="00297EF5"/>
    <w:rsid w:val="002B3D28"/>
    <w:rsid w:val="002C4661"/>
    <w:rsid w:val="002D3ED1"/>
    <w:rsid w:val="002E3E7E"/>
    <w:rsid w:val="002E4354"/>
    <w:rsid w:val="002E6925"/>
    <w:rsid w:val="00351392"/>
    <w:rsid w:val="00353896"/>
    <w:rsid w:val="00373E17"/>
    <w:rsid w:val="00377C91"/>
    <w:rsid w:val="00392602"/>
    <w:rsid w:val="003A28A7"/>
    <w:rsid w:val="003A7302"/>
    <w:rsid w:val="00410C48"/>
    <w:rsid w:val="00416FCD"/>
    <w:rsid w:val="00433B31"/>
    <w:rsid w:val="004544E1"/>
    <w:rsid w:val="004568D0"/>
    <w:rsid w:val="00456BD0"/>
    <w:rsid w:val="0049718D"/>
    <w:rsid w:val="004B4C95"/>
    <w:rsid w:val="004C5219"/>
    <w:rsid w:val="004D6E99"/>
    <w:rsid w:val="004F7B06"/>
    <w:rsid w:val="00525FEA"/>
    <w:rsid w:val="00535D9D"/>
    <w:rsid w:val="0056686E"/>
    <w:rsid w:val="005852E0"/>
    <w:rsid w:val="00586F39"/>
    <w:rsid w:val="00595920"/>
    <w:rsid w:val="005A4A7D"/>
    <w:rsid w:val="005B727A"/>
    <w:rsid w:val="005E53CD"/>
    <w:rsid w:val="005F5011"/>
    <w:rsid w:val="006064A5"/>
    <w:rsid w:val="00607B61"/>
    <w:rsid w:val="006248D3"/>
    <w:rsid w:val="0063472C"/>
    <w:rsid w:val="00644E81"/>
    <w:rsid w:val="00666B1A"/>
    <w:rsid w:val="0066798F"/>
    <w:rsid w:val="00677F7D"/>
    <w:rsid w:val="006A05A0"/>
    <w:rsid w:val="006A5EAF"/>
    <w:rsid w:val="006B327F"/>
    <w:rsid w:val="006B5867"/>
    <w:rsid w:val="006E1296"/>
    <w:rsid w:val="006E1F89"/>
    <w:rsid w:val="00701135"/>
    <w:rsid w:val="00703ADF"/>
    <w:rsid w:val="007052D6"/>
    <w:rsid w:val="00705667"/>
    <w:rsid w:val="00716808"/>
    <w:rsid w:val="00717724"/>
    <w:rsid w:val="007229F4"/>
    <w:rsid w:val="00732049"/>
    <w:rsid w:val="00735D9B"/>
    <w:rsid w:val="007411EE"/>
    <w:rsid w:val="00751F92"/>
    <w:rsid w:val="00757DD1"/>
    <w:rsid w:val="00774EB2"/>
    <w:rsid w:val="0077693B"/>
    <w:rsid w:val="007829D2"/>
    <w:rsid w:val="00782A8E"/>
    <w:rsid w:val="007849C4"/>
    <w:rsid w:val="00795B6A"/>
    <w:rsid w:val="00796136"/>
    <w:rsid w:val="007B1991"/>
    <w:rsid w:val="007C4D8E"/>
    <w:rsid w:val="008054F6"/>
    <w:rsid w:val="008162AC"/>
    <w:rsid w:val="008344D2"/>
    <w:rsid w:val="008437D3"/>
    <w:rsid w:val="008437FD"/>
    <w:rsid w:val="008468F9"/>
    <w:rsid w:val="00863497"/>
    <w:rsid w:val="008842D9"/>
    <w:rsid w:val="00886752"/>
    <w:rsid w:val="008A2F01"/>
    <w:rsid w:val="008F786B"/>
    <w:rsid w:val="00911959"/>
    <w:rsid w:val="00924368"/>
    <w:rsid w:val="009406D6"/>
    <w:rsid w:val="00955CF3"/>
    <w:rsid w:val="00964922"/>
    <w:rsid w:val="00967DB7"/>
    <w:rsid w:val="00975B1E"/>
    <w:rsid w:val="00990D0E"/>
    <w:rsid w:val="0099150E"/>
    <w:rsid w:val="009A0D90"/>
    <w:rsid w:val="009E5ACE"/>
    <w:rsid w:val="00A12CC7"/>
    <w:rsid w:val="00A37F83"/>
    <w:rsid w:val="00A52EC5"/>
    <w:rsid w:val="00A6459E"/>
    <w:rsid w:val="00A752D6"/>
    <w:rsid w:val="00A936BE"/>
    <w:rsid w:val="00A93BE8"/>
    <w:rsid w:val="00A94FEB"/>
    <w:rsid w:val="00AA0431"/>
    <w:rsid w:val="00AB5B2E"/>
    <w:rsid w:val="00AB5FDF"/>
    <w:rsid w:val="00AB7BC3"/>
    <w:rsid w:val="00AD6BD9"/>
    <w:rsid w:val="00AF78A6"/>
    <w:rsid w:val="00B0019D"/>
    <w:rsid w:val="00B36E02"/>
    <w:rsid w:val="00B4501B"/>
    <w:rsid w:val="00B576F1"/>
    <w:rsid w:val="00B72367"/>
    <w:rsid w:val="00B944B1"/>
    <w:rsid w:val="00BA6DB5"/>
    <w:rsid w:val="00BC01B2"/>
    <w:rsid w:val="00BD13B7"/>
    <w:rsid w:val="00BD14F6"/>
    <w:rsid w:val="00BD6436"/>
    <w:rsid w:val="00BE602B"/>
    <w:rsid w:val="00BF595D"/>
    <w:rsid w:val="00BF6128"/>
    <w:rsid w:val="00C7230A"/>
    <w:rsid w:val="00C73887"/>
    <w:rsid w:val="00C92D67"/>
    <w:rsid w:val="00C94922"/>
    <w:rsid w:val="00CD6D2C"/>
    <w:rsid w:val="00D10229"/>
    <w:rsid w:val="00D179B6"/>
    <w:rsid w:val="00D3691F"/>
    <w:rsid w:val="00DA0649"/>
    <w:rsid w:val="00DA2FE3"/>
    <w:rsid w:val="00DC42CA"/>
    <w:rsid w:val="00DE3BBE"/>
    <w:rsid w:val="00DF1283"/>
    <w:rsid w:val="00E412EF"/>
    <w:rsid w:val="00E5183D"/>
    <w:rsid w:val="00E96BA5"/>
    <w:rsid w:val="00EA132E"/>
    <w:rsid w:val="00EA43E0"/>
    <w:rsid w:val="00EA6DB0"/>
    <w:rsid w:val="00EB32CB"/>
    <w:rsid w:val="00EB3320"/>
    <w:rsid w:val="00EB4B8E"/>
    <w:rsid w:val="00EB6408"/>
    <w:rsid w:val="00EC0926"/>
    <w:rsid w:val="00EC292B"/>
    <w:rsid w:val="00ED548E"/>
    <w:rsid w:val="00ED67BF"/>
    <w:rsid w:val="00EF2F2E"/>
    <w:rsid w:val="00F06379"/>
    <w:rsid w:val="00F4641C"/>
    <w:rsid w:val="00F549BA"/>
    <w:rsid w:val="00F85740"/>
    <w:rsid w:val="00F94D3C"/>
    <w:rsid w:val="00FA1FDA"/>
    <w:rsid w:val="00FB662D"/>
    <w:rsid w:val="00FF20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100D"/>
  <w15:chartTrackingRefBased/>
  <w15:docId w15:val="{6586BA60-388A-45B0-A4FE-15FE0EF8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7680"/>
    <w:pPr>
      <w:ind w:left="720"/>
      <w:contextualSpacing/>
    </w:pPr>
  </w:style>
  <w:style w:type="character" w:customStyle="1" w:styleId="ui-provider">
    <w:name w:val="ui-provider"/>
    <w:basedOn w:val="DefaultParagraphFont"/>
    <w:rsid w:val="00863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Hamer</dc:creator>
  <cp:keywords/>
  <dc:description/>
  <cp:lastModifiedBy>Paul Hamer</cp:lastModifiedBy>
  <cp:revision>2</cp:revision>
  <cp:lastPrinted>2023-04-25T07:47:00Z</cp:lastPrinted>
  <dcterms:created xsi:type="dcterms:W3CDTF">2023-04-28T03:21:00Z</dcterms:created>
  <dcterms:modified xsi:type="dcterms:W3CDTF">2023-04-28T03:21:00Z</dcterms:modified>
</cp:coreProperties>
</file>