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3DEF" w14:textId="50BEB7A2" w:rsidR="007F7775" w:rsidRDefault="00316F25" w:rsidP="00691C4F">
      <w:pPr>
        <w:pStyle w:val="Heading1"/>
        <w:jc w:val="center"/>
      </w:pPr>
      <w:r>
        <w:t>S</w:t>
      </w:r>
      <w:r w:rsidR="009022FC">
        <w:t>ingle-region YFT2023</w:t>
      </w:r>
      <w:r>
        <w:t xml:space="preserve"> model</w:t>
      </w:r>
    </w:p>
    <w:p w14:paraId="6B25BCF6" w14:textId="4C538046" w:rsidR="00316F25" w:rsidRDefault="001F3F97" w:rsidP="00565D1E">
      <w:pPr>
        <w:spacing w:after="0"/>
        <w:jc w:val="both"/>
      </w:pPr>
      <w:r>
        <w:t>Nick Davies</w:t>
      </w:r>
    </w:p>
    <w:p w14:paraId="597AD2C8" w14:textId="750EA010" w:rsidR="001F3F97" w:rsidRDefault="005353BA" w:rsidP="00565D1E">
      <w:pPr>
        <w:jc w:val="both"/>
      </w:pPr>
      <w:r>
        <w:t>1</w:t>
      </w:r>
      <w:r w:rsidR="001F3F97">
        <w:t xml:space="preserve"> Ju</w:t>
      </w:r>
      <w:r>
        <w:t>ly</w:t>
      </w:r>
      <w:r w:rsidR="001F3F97">
        <w:t xml:space="preserve"> 2025</w:t>
      </w:r>
    </w:p>
    <w:p w14:paraId="227AC35F" w14:textId="03D56D32" w:rsidR="00316F25" w:rsidRDefault="00FF791E" w:rsidP="00565D1E">
      <w:pPr>
        <w:pStyle w:val="Heading2"/>
        <w:jc w:val="both"/>
      </w:pPr>
      <w:r>
        <w:t>Summary</w:t>
      </w:r>
    </w:p>
    <w:p w14:paraId="556882CC" w14:textId="78D0B6CD" w:rsidR="00FF791E" w:rsidRDefault="009022FC" w:rsidP="00565D1E">
      <w:pPr>
        <w:jc w:val="both"/>
      </w:pPr>
      <w:r>
        <w:t>As part of the P123 project “Scoping the next Stock Assessment software”, a step includes the preparation of a simplified tuna stock assessment model and input data set</w:t>
      </w:r>
      <w:r w:rsidR="00BB41E3">
        <w:t>.</w:t>
      </w:r>
      <w:r>
        <w:t xml:space="preserve"> This report presents the preliminary results</w:t>
      </w:r>
      <w:r w:rsidR="00A12524">
        <w:t xml:space="preserve"> of this step</w:t>
      </w:r>
      <w:r>
        <w:t xml:space="preserve"> </w:t>
      </w:r>
      <w:r w:rsidR="00A12524">
        <w:t>using</w:t>
      </w:r>
      <w:r>
        <w:t xml:space="preserve"> the yellowfin tuna stock assessment model as </w:t>
      </w:r>
      <w:r w:rsidR="00A12524">
        <w:t>was developed</w:t>
      </w:r>
      <w:r>
        <w:t xml:space="preserve"> in 2023. The original model was spatially stratified into 5 defined regions. A simplified version was developed</w:t>
      </w:r>
      <w:r w:rsidR="00A42FC7">
        <w:t xml:space="preserve"> using MULTIFAN-CL </w:t>
      </w:r>
      <w:r>
        <w:t xml:space="preserve"> </w:t>
      </w:r>
      <w:r w:rsidR="0055071F">
        <w:t>having</w:t>
      </w:r>
      <w:r>
        <w:t xml:space="preserve"> no spatial stratification (a single region), while retaining the original fisheries definitions </w:t>
      </w:r>
      <w:r w:rsidR="00A12524">
        <w:t xml:space="preserve">for the 32 capture </w:t>
      </w:r>
      <w:r>
        <w:t>fisheries</w:t>
      </w:r>
      <w:r w:rsidR="00A12524">
        <w:t>,</w:t>
      </w:r>
      <w:r>
        <w:t xml:space="preserve"> and </w:t>
      </w:r>
      <w:r w:rsidR="00A12524">
        <w:t xml:space="preserve">their </w:t>
      </w:r>
      <w:r>
        <w:t>fishery-specific input data structures.</w:t>
      </w:r>
      <w:r w:rsidR="00A12524">
        <w:t xml:space="preserve"> Instead of the five region-specific survey fisheries for which CPUE indices were available, the simplified model defined a single survey fishery representative of the entire model domain.</w:t>
      </w:r>
      <w:r>
        <w:t xml:space="preserve"> The </w:t>
      </w:r>
      <w:r w:rsidR="00A12524">
        <w:t xml:space="preserve">simplified </w:t>
      </w:r>
      <w:r>
        <w:t>model was fitted and achieved convergence, and a comparison with the original multi-region model is presented here.</w:t>
      </w:r>
    </w:p>
    <w:p w14:paraId="2FC98DAD" w14:textId="77777777" w:rsidR="009022FC" w:rsidRDefault="009022FC" w:rsidP="00565D1E">
      <w:pPr>
        <w:jc w:val="both"/>
      </w:pPr>
    </w:p>
    <w:p w14:paraId="5EDF66A5" w14:textId="0ED38CAC" w:rsidR="00FF791E" w:rsidRDefault="00FF791E" w:rsidP="00565D1E">
      <w:pPr>
        <w:pStyle w:val="Heading2"/>
        <w:jc w:val="both"/>
      </w:pPr>
      <w:r>
        <w:t>Method</w:t>
      </w:r>
    </w:p>
    <w:p w14:paraId="196AD4F4" w14:textId="7A60DE7D" w:rsidR="00D431E4" w:rsidRDefault="00D431E4" w:rsidP="00565D1E">
      <w:pPr>
        <w:jc w:val="both"/>
      </w:pPr>
      <w:r w:rsidRPr="00172B71">
        <w:t>T</w:t>
      </w:r>
      <w:r>
        <w:t>he</w:t>
      </w:r>
      <w:r w:rsidRPr="00172B71">
        <w:t xml:space="preserve"> existing </w:t>
      </w:r>
      <w:r>
        <w:t xml:space="preserve">YFT2023 </w:t>
      </w:r>
      <w:r w:rsidR="00A42FC7">
        <w:t xml:space="preserve">diagnostic case </w:t>
      </w:r>
      <w:r>
        <w:t>model</w:t>
      </w:r>
      <w:r w:rsidRPr="00172B71">
        <w:t xml:space="preserve"> </w:t>
      </w:r>
      <w:r>
        <w:t xml:space="preserve">that employs </w:t>
      </w:r>
      <w:r w:rsidRPr="00172B71">
        <w:t xml:space="preserve">the </w:t>
      </w:r>
      <w:r>
        <w:t>catch-conditioned method</w:t>
      </w:r>
      <w:r w:rsidRPr="00172B71">
        <w:t xml:space="preserve"> </w:t>
      </w:r>
      <w:r>
        <w:t xml:space="preserve">was used for preparing the input data, and </w:t>
      </w:r>
      <w:r w:rsidR="0055071F">
        <w:t xml:space="preserve">to </w:t>
      </w:r>
      <w:r>
        <w:t>demonstrat</w:t>
      </w:r>
      <w:r w:rsidR="0055071F">
        <w:t>e</w:t>
      </w:r>
      <w:r>
        <w:t xml:space="preserve"> the application of MULTIFAN-CL to a spatially unstratified tuna data set</w:t>
      </w:r>
      <w:r w:rsidRPr="00172B71">
        <w:t>.</w:t>
      </w:r>
    </w:p>
    <w:p w14:paraId="5B52920E" w14:textId="77777777" w:rsidR="00D96DAB" w:rsidRPr="00D431E4" w:rsidRDefault="00D96DAB" w:rsidP="00565D1E">
      <w:pPr>
        <w:jc w:val="both"/>
      </w:pPr>
    </w:p>
    <w:p w14:paraId="06AFF8D2" w14:textId="77A22A3C" w:rsidR="00397075" w:rsidRPr="00397075" w:rsidRDefault="009022FC" w:rsidP="00565D1E">
      <w:pPr>
        <w:pStyle w:val="Heading3"/>
        <w:jc w:val="both"/>
      </w:pPr>
      <w:r>
        <w:t>De-stratification of</w:t>
      </w:r>
      <w:r w:rsidR="00397075">
        <w:t xml:space="preserve"> </w:t>
      </w:r>
      <w:r w:rsidR="00A12524">
        <w:t xml:space="preserve">the </w:t>
      </w:r>
      <w:r w:rsidR="00D70B84">
        <w:t xml:space="preserve">model </w:t>
      </w:r>
      <w:r w:rsidR="00690B85">
        <w:t xml:space="preserve">spatial </w:t>
      </w:r>
      <w:r w:rsidR="00D70B84">
        <w:t xml:space="preserve">configuration and </w:t>
      </w:r>
      <w:r w:rsidR="00397075">
        <w:t>observ</w:t>
      </w:r>
      <w:r>
        <w:t>ation</w:t>
      </w:r>
      <w:r w:rsidR="00397075">
        <w:t>s</w:t>
      </w:r>
    </w:p>
    <w:p w14:paraId="7F6ECFA1" w14:textId="4A628429" w:rsidR="008424D0" w:rsidRDefault="008424D0" w:rsidP="00565D1E">
      <w:pPr>
        <w:jc w:val="both"/>
      </w:pPr>
      <w:r>
        <w:t>T</w:t>
      </w:r>
      <w:r w:rsidR="00D70B84">
        <w:t>he input files that specify the spatial stratification, recruitment and movement parameterisations (*.ini</w:t>
      </w:r>
      <w:r w:rsidR="00C50DAF">
        <w:t xml:space="preserve"> and</w:t>
      </w:r>
      <w:r w:rsidR="00D70B84">
        <w:t xml:space="preserve"> *.frq) were duly modified to define a single region with no movement diffusion coefficients</w:t>
      </w:r>
      <w:r w:rsidR="00D431E4">
        <w:t xml:space="preserve"> or spatial recruitments</w:t>
      </w:r>
      <w:r>
        <w:t>.</w:t>
      </w:r>
      <w:r w:rsidR="00D431E4">
        <w:t xml:space="preserve"> All fisheries </w:t>
      </w:r>
      <w:r w:rsidR="00903E4D">
        <w:t xml:space="preserve">and all tagging release events </w:t>
      </w:r>
      <w:r w:rsidR="00D431E4">
        <w:t>were defined to occur in the same single region</w:t>
      </w:r>
      <w:r w:rsidR="00903E4D">
        <w:t>.</w:t>
      </w:r>
      <w:r w:rsidR="00A130A7">
        <w:t xml:space="preserve"> </w:t>
      </w:r>
      <w:r w:rsidR="0055071F">
        <w:t xml:space="preserve">All other fishery-specific observations (size compositions, catch, effort, conditional age-length data) </w:t>
      </w:r>
      <w:r w:rsidR="00A12524">
        <w:t xml:space="preserve">for the capture fisheries (1 to 32) </w:t>
      </w:r>
      <w:r w:rsidR="0055071F">
        <w:t>were retained without modification</w:t>
      </w:r>
      <w:r w:rsidR="00903E4D">
        <w:t>;</w:t>
      </w:r>
      <w:r w:rsidR="0055071F">
        <w:t xml:space="preserve"> as these </w:t>
      </w:r>
      <w:r w:rsidR="008E4EFF">
        <w:t xml:space="preserve">fisheries </w:t>
      </w:r>
      <w:r w:rsidR="00903E4D">
        <w:t>were</w:t>
      </w:r>
      <w:r w:rsidR="008E4EFF">
        <w:t xml:space="preserve"> re-defined </w:t>
      </w:r>
      <w:r w:rsidR="00903E4D">
        <w:t>as occurring in</w:t>
      </w:r>
      <w:r w:rsidR="008E4EFF">
        <w:t xml:space="preserve"> the single</w:t>
      </w:r>
      <w:r w:rsidR="0055071F">
        <w:t xml:space="preserve"> region.</w:t>
      </w:r>
      <w:r w:rsidR="00A12524">
        <w:t xml:space="preserve"> A </w:t>
      </w:r>
      <w:r w:rsidR="000748E5">
        <w:t xml:space="preserve">single </w:t>
      </w:r>
      <w:r w:rsidR="00A12524">
        <w:t>standardized CPUE time series was available for the survey fisheries combined over all 5 regions, and was taken as being representative of the entire model domain</w:t>
      </w:r>
      <w:r w:rsidR="000748E5">
        <w:t>, i.e., a single-region index</w:t>
      </w:r>
      <w:r w:rsidR="00A12524">
        <w:t>. Similarly, the size composition data among all five survey fisheries w</w:t>
      </w:r>
      <w:r w:rsidR="003A562A">
        <w:t>ere</w:t>
      </w:r>
      <w:r w:rsidR="00A12524">
        <w:t xml:space="preserve"> aggregated into a single data set. This single survey fishery (33) was defined as such for the simplified model. Estimates of temporal precision for the CPUE indices were available, allowing a concentrated CPUE likelihood to be estimated</w:t>
      </w:r>
      <w:r w:rsidR="00356A96">
        <w:t xml:space="preserve"> for the simplified model</w:t>
      </w:r>
      <w:r w:rsidR="00A12524">
        <w:t>.</w:t>
      </w:r>
    </w:p>
    <w:p w14:paraId="49C34EA6" w14:textId="76ADB666" w:rsidR="00172B71" w:rsidRDefault="00172B71" w:rsidP="00565D1E">
      <w:pPr>
        <w:jc w:val="both"/>
      </w:pPr>
      <w:r w:rsidRPr="00172B71">
        <w:t xml:space="preserve">The initial </w:t>
      </w:r>
      <w:r w:rsidR="00690B85">
        <w:t xml:space="preserve">MULTIFAN-CL </w:t>
      </w:r>
      <w:r w:rsidRPr="00172B71">
        <w:t xml:space="preserve">“-makepar” operation was completed, and the </w:t>
      </w:r>
      <w:r w:rsidR="00690B85">
        <w:t>resultan</w:t>
      </w:r>
      <w:r w:rsidRPr="00172B71">
        <w:t>t 00.par file structure was assessed</w:t>
      </w:r>
      <w:r w:rsidR="00D431E4">
        <w:t xml:space="preserve"> </w:t>
      </w:r>
      <w:r w:rsidR="00690B85">
        <w:t>for</w:t>
      </w:r>
      <w:r w:rsidR="00400A17">
        <w:t xml:space="preserve"> correctly</w:t>
      </w:r>
      <w:r w:rsidR="00D431E4">
        <w:t xml:space="preserve"> exclud</w:t>
      </w:r>
      <w:r w:rsidR="00690B85">
        <w:t>ing</w:t>
      </w:r>
      <w:r w:rsidR="00D431E4">
        <w:t xml:space="preserve"> all spatial stratification or movement parameterisation</w:t>
      </w:r>
      <w:r w:rsidRPr="00172B71">
        <w:t xml:space="preserve">. </w:t>
      </w:r>
      <w:r w:rsidR="00D431E4">
        <w:t>All</w:t>
      </w:r>
      <w:r w:rsidRPr="00172B71">
        <w:t xml:space="preserve"> phase</w:t>
      </w:r>
      <w:r w:rsidR="00D431E4">
        <w:t>s</w:t>
      </w:r>
      <w:r w:rsidRPr="00172B71">
        <w:t xml:space="preserve"> </w:t>
      </w:r>
      <w:r w:rsidR="00D431E4">
        <w:t xml:space="preserve">of the doitall minimization that </w:t>
      </w:r>
      <w:r w:rsidR="00400A17">
        <w:t xml:space="preserve">originally </w:t>
      </w:r>
      <w:r w:rsidR="00D431E4">
        <w:t>included spatial parameter estimation</w:t>
      </w:r>
      <w:r w:rsidR="00400A17">
        <w:t>,</w:t>
      </w:r>
      <w:r w:rsidR="00D431E4">
        <w:t xml:space="preserve"> </w:t>
      </w:r>
      <w:r w:rsidRPr="00172B71">
        <w:t xml:space="preserve">were </w:t>
      </w:r>
      <w:r w:rsidR="00D431E4">
        <w:t>modified to de-activate the estimation</w:t>
      </w:r>
      <w:r w:rsidR="00400A17">
        <w:t xml:space="preserve"> of these parameters</w:t>
      </w:r>
      <w:r w:rsidR="00D431E4">
        <w:t>. T</w:t>
      </w:r>
      <w:r w:rsidRPr="00172B71">
        <w:t xml:space="preserve">he phase 1 operation was </w:t>
      </w:r>
      <w:r w:rsidR="00D431E4">
        <w:t xml:space="preserve">successfully </w:t>
      </w:r>
      <w:r w:rsidR="00397075">
        <w:t>complet</w:t>
      </w:r>
      <w:r w:rsidRPr="00172B71">
        <w:t>ed</w:t>
      </w:r>
      <w:r w:rsidR="00220D35">
        <w:t xml:space="preserve">, and </w:t>
      </w:r>
      <w:r w:rsidR="005A7C9A">
        <w:t xml:space="preserve">then </w:t>
      </w:r>
      <w:r w:rsidR="00220D35">
        <w:t>all subsequent phases</w:t>
      </w:r>
      <w:r w:rsidR="005A7C9A">
        <w:t xml:space="preserve"> of the </w:t>
      </w:r>
      <w:r w:rsidR="00D431E4">
        <w:t>minimization run to convergence</w:t>
      </w:r>
      <w:r w:rsidRPr="00172B71">
        <w:t>.</w:t>
      </w:r>
    </w:p>
    <w:p w14:paraId="419B8594" w14:textId="77777777" w:rsidR="00D96DAB" w:rsidRDefault="00D96DAB" w:rsidP="00565D1E">
      <w:pPr>
        <w:jc w:val="both"/>
      </w:pPr>
    </w:p>
    <w:p w14:paraId="7783FB97" w14:textId="09BA0D43" w:rsidR="00D96DAB" w:rsidRDefault="00D96DAB" w:rsidP="00565D1E">
      <w:pPr>
        <w:jc w:val="both"/>
      </w:pPr>
      <w:r>
        <w:t>The models included in this comparison were:</w:t>
      </w:r>
    </w:p>
    <w:p w14:paraId="22204F7F" w14:textId="3516ADE8" w:rsidR="00D96DAB" w:rsidRDefault="00D96DAB" w:rsidP="00565D1E">
      <w:pPr>
        <w:spacing w:after="0"/>
        <w:jc w:val="both"/>
      </w:pPr>
      <w:r>
        <w:rPr>
          <w:b/>
          <w:bCs/>
        </w:rPr>
        <w:t>mult_regs</w:t>
      </w:r>
      <w:r>
        <w:tab/>
      </w:r>
      <w:r>
        <w:tab/>
        <w:t xml:space="preserve">- original </w:t>
      </w:r>
      <w:r w:rsidR="007B5F1B">
        <w:t xml:space="preserve">YFT2023 diagnostic case </w:t>
      </w:r>
      <w:r>
        <w:t>model</w:t>
      </w:r>
      <w:r w:rsidR="007B5F1B">
        <w:t>,</w:t>
      </w:r>
      <w:r>
        <w:t xml:space="preserve"> having multiple (5) regional strata</w:t>
      </w:r>
    </w:p>
    <w:p w14:paraId="7D0CA0F1" w14:textId="78547EF5" w:rsidR="00D96DAB" w:rsidRDefault="00D96DAB" w:rsidP="00565D1E">
      <w:pPr>
        <w:spacing w:after="0"/>
        <w:jc w:val="both"/>
      </w:pPr>
      <w:r>
        <w:rPr>
          <w:b/>
          <w:bCs/>
        </w:rPr>
        <w:t>sngl_reg_cpue1</w:t>
      </w:r>
      <w:r>
        <w:t xml:space="preserve"> </w:t>
      </w:r>
      <w:r>
        <w:tab/>
        <w:t>– simplified single</w:t>
      </w:r>
      <w:r w:rsidR="00174752">
        <w:t>-</w:t>
      </w:r>
      <w:r>
        <w:t>region model, employs non-concentrated CPUE likelihood</w:t>
      </w:r>
    </w:p>
    <w:p w14:paraId="2C61E3C2" w14:textId="3915DE50" w:rsidR="005D3153" w:rsidRDefault="00D96DAB" w:rsidP="00565D1E">
      <w:pPr>
        <w:jc w:val="both"/>
      </w:pPr>
      <w:r>
        <w:rPr>
          <w:b/>
          <w:bCs/>
        </w:rPr>
        <w:t>sngl_reg_conc_cpue1</w:t>
      </w:r>
      <w:r>
        <w:t xml:space="preserve"> </w:t>
      </w:r>
      <w:r>
        <w:tab/>
        <w:t>– simplified single</w:t>
      </w:r>
      <w:r w:rsidR="00174752">
        <w:t>-</w:t>
      </w:r>
      <w:r>
        <w:t>region model, employs concentrated CPUE likelihood</w:t>
      </w:r>
    </w:p>
    <w:p w14:paraId="4C141B31" w14:textId="77777777" w:rsidR="005D3153" w:rsidRPr="005D3153" w:rsidRDefault="005D3153" w:rsidP="00565D1E">
      <w:pPr>
        <w:pStyle w:val="Heading2"/>
        <w:jc w:val="both"/>
      </w:pPr>
      <w:r>
        <w:t>Results</w:t>
      </w:r>
    </w:p>
    <w:p w14:paraId="7688DA6F" w14:textId="77777777" w:rsidR="00FF7FC8" w:rsidRDefault="00FF7FC8" w:rsidP="00565D1E">
      <w:pPr>
        <w:jc w:val="both"/>
      </w:pPr>
      <w:r>
        <w:t>Both the single-region models produced stable minimisations with converged solutions obtained (maximum gradients ~2.0e-04). Whereas the multi-region model produced a positive definite Hessian (PDH) solution, neither of the single-region models were PDH solutions (Table 1).</w:t>
      </w:r>
    </w:p>
    <w:p w14:paraId="7B30BB0C" w14:textId="4CA72224" w:rsidR="00FF7FC8" w:rsidRDefault="00FF7FC8" w:rsidP="00565D1E">
      <w:pPr>
        <w:jc w:val="both"/>
      </w:pPr>
      <w:r>
        <w:t>In respect of the size-composition data, comparable fits to the length-frequencies were obtained among the models, but markedly worse weight-frequency fits were obtained for the single-region models (21% worse negative-log likelihood) (Table 1). Similarly, worse fits were obtained to the tagging data (9.6% worse negative-log likelihood). Slightly better (1.1%) fits were obtained to the conditional age-length data by the single-region models. There was negligible difference in the fit to the CPUE indices among the single-region models (Figure 8), with that using the concentrated likelihood differing only slightly in respect of the indices in the early time periods for which temporal precision was low.</w:t>
      </w:r>
    </w:p>
    <w:p w14:paraId="1784C84D" w14:textId="3B193330" w:rsidR="00FF7FC8" w:rsidRDefault="00FF7FC8" w:rsidP="00565D1E">
      <w:pPr>
        <w:jc w:val="both"/>
      </w:pPr>
      <w:r>
        <w:t xml:space="preserve">There were notable differences in the recruitment and natural mortality estimates of the single-region models compared to the multi-region model. Absolute recruitments were approximately 50% lower in all time periods (Figure 2), but with similar temporal variation. The Lorenzen natural mortality function was lower overall by on average approximately 10%, </w:t>
      </w:r>
      <w:r w:rsidR="00B01CC3">
        <w:t xml:space="preserve">which </w:t>
      </w:r>
      <w:r>
        <w:t>accord</w:t>
      </w:r>
      <w:r w:rsidR="00B01CC3">
        <w:t>ed</w:t>
      </w:r>
      <w:r>
        <w:t xml:space="preserve"> lower mortality</w:t>
      </w:r>
      <w:r w:rsidR="00B01CC3">
        <w:t>,</w:t>
      </w:r>
      <w:r>
        <w:t xml:space="preserve"> particularly for age classes &lt; 12 quarters (Figure 5). In contrast, the growth function was almost identical (Figure 4). A number of the estimated selectivity-at-age functions were more dome-shaped, or with lower right-hand limbs (Figure 6).</w:t>
      </w:r>
    </w:p>
    <w:p w14:paraId="5C04FF13" w14:textId="40F11037" w:rsidR="00FF7FC8" w:rsidRDefault="00FF7FC8" w:rsidP="00565D1E">
      <w:pPr>
        <w:jc w:val="both"/>
      </w:pPr>
      <w:r>
        <w:t>Despite these differences in model fit to the observations and estimated parameters, overall absolute biomass was generally similar among the multi- and single-region models (Figure 1), and show</w:t>
      </w:r>
      <w:r w:rsidR="00B01CC3">
        <w:t>ed</w:t>
      </w:r>
      <w:r>
        <w:t xml:space="preserve"> similar temporal variation. Noticeable differences were however evident in the recent periods (the past 15 years), with absolute total biomass of the single-region model</w:t>
      </w:r>
      <w:r w:rsidR="00B01CC3">
        <w:t>s</w:t>
      </w:r>
      <w:r>
        <w:t xml:space="preserve"> being 23% lower (Table 1). Despite this similarity, the estimated depletion of adult biomass is at a 35% lower level compared to the multi-region model (Table 1 and Figure 7). Equilibrium quantities also differed, with MSY being 9.5% lower, and unfished total biomass (B0) being 8.6% higher (Table 1).</w:t>
      </w:r>
    </w:p>
    <w:p w14:paraId="46BA5238" w14:textId="74864A03" w:rsidR="000D7E71" w:rsidRDefault="00FF7FC8" w:rsidP="00565D1E">
      <w:pPr>
        <w:jc w:val="both"/>
      </w:pPr>
      <w:r>
        <w:t xml:space="preserve">These differences in the model derived variables can be attributed to the various parameter estimates that differ among the multi- and single-region models. It seems surprising that a model having substantially lower productivity (50% of the recruitments), yet sustains the equivalent total removals and produces a comparable absolute abundance, </w:t>
      </w:r>
      <w:r w:rsidR="00B01CC3">
        <w:t>with</w:t>
      </w:r>
      <w:r>
        <w:t xml:space="preserve"> only 10% lower equilibrium yield. Notably, the lower Lorenzen natural mortality over all age classes substantially reduces the total mortality – hence, B0 is higher. The more dome-shaped selectivities and </w:t>
      </w:r>
      <w:r w:rsidR="00417031">
        <w:t xml:space="preserve">being </w:t>
      </w:r>
      <w:r>
        <w:t xml:space="preserve">lower for older age classes, reduces fishing mortality for </w:t>
      </w:r>
      <w:r w:rsidR="00417031">
        <w:t xml:space="preserve">the </w:t>
      </w:r>
      <w:r>
        <w:t>older age</w:t>
      </w:r>
      <w:r w:rsidR="00417031">
        <w:t xml:space="preserve"> classe</w:t>
      </w:r>
      <w:r>
        <w:t xml:space="preserve">s and allows for “cryptic” biomass, and increases MSY. Also, the spatial dynamics of the multi-region model in respect of recruitment, movement and fishing mortality on sub-populations may increase the overall fishing mortality estimates. Whereas, </w:t>
      </w:r>
      <w:r w:rsidR="00417031">
        <w:t>the</w:t>
      </w:r>
      <w:r>
        <w:t xml:space="preserve"> fishing mortality of all fisheries acting upon a single population serves to exclude the effects of high impacts on sub-populations. </w:t>
      </w:r>
      <w:r>
        <w:lastRenderedPageBreak/>
        <w:t xml:space="preserve">The combined effects of the above parameter differences can accord higher resilience of the single-region model to fishing mortality. However, the lower natural mortality rate contributes to greater estimated depletion, indicating the </w:t>
      </w:r>
      <w:r w:rsidR="00417031">
        <w:t xml:space="preserve">relative </w:t>
      </w:r>
      <w:r>
        <w:t>fishing impact is higher.</w:t>
      </w:r>
      <w:r w:rsidR="0054230E">
        <w:t xml:space="preserve"> A closer examination of the estimated adult depletion within the equatorial regions of the multi-region model (regions 2, 3 and 4) reveals substantial regional differences, with that of region 2 being very similar to the estimated level of the single-region models. This might indicate a dominant effect of the region 2 observations upon the single-region model estimates.</w:t>
      </w:r>
    </w:p>
    <w:p w14:paraId="5ED24C13" w14:textId="77777777" w:rsidR="000D7E71" w:rsidRDefault="000D7E71">
      <w:r>
        <w:br w:type="page"/>
      </w:r>
    </w:p>
    <w:p w14:paraId="1933133C" w14:textId="2F44E506" w:rsidR="005D3153" w:rsidRPr="005D3153" w:rsidRDefault="005D3153" w:rsidP="00565D1E">
      <w:pPr>
        <w:pStyle w:val="Heading2"/>
        <w:jc w:val="both"/>
      </w:pPr>
      <w:r>
        <w:lastRenderedPageBreak/>
        <w:t>Tables and Figures</w:t>
      </w:r>
    </w:p>
    <w:p w14:paraId="381D3467" w14:textId="3312AA2A" w:rsidR="00A66285" w:rsidRDefault="00D431E4" w:rsidP="00565D1E">
      <w:pPr>
        <w:jc w:val="both"/>
      </w:pPr>
      <w:r>
        <w:t>Table 1. Comparison of selected model parameters</w:t>
      </w:r>
      <w:r w:rsidR="009F78ED">
        <w:t>,</w:t>
      </w:r>
      <w:r>
        <w:t xml:space="preserve"> negative log-likelihood terms </w:t>
      </w:r>
      <w:r w:rsidR="009F78ED">
        <w:t xml:space="preserve">and derived quantities, </w:t>
      </w:r>
      <w:r>
        <w:t>for the multi-region (</w:t>
      </w:r>
      <w:r w:rsidRPr="00D431E4">
        <w:rPr>
          <w:b/>
          <w:bCs/>
        </w:rPr>
        <w:t>mult_regs</w:t>
      </w:r>
      <w:r>
        <w:t>) and single-region models</w:t>
      </w:r>
      <w:r w:rsidR="00EA3A36">
        <w:t xml:space="preserve"> (</w:t>
      </w:r>
      <w:r w:rsidR="00EA3A36">
        <w:rPr>
          <w:b/>
          <w:bCs/>
        </w:rPr>
        <w:t>sngl_reg_cpue1</w:t>
      </w:r>
      <w:r w:rsidR="00EA3A36">
        <w:t xml:space="preserve">, </w:t>
      </w:r>
      <w:r w:rsidR="00EA3A36">
        <w:rPr>
          <w:b/>
          <w:bCs/>
        </w:rPr>
        <w:t>sngl_reg_conc_cpue1</w:t>
      </w:r>
      <w:r w:rsidR="00EA3A36">
        <w:t>)</w:t>
      </w:r>
      <w:r>
        <w:t>.</w:t>
      </w:r>
    </w:p>
    <w:tbl>
      <w:tblPr>
        <w:tblW w:w="10620" w:type="dxa"/>
        <w:tblInd w:w="-550" w:type="dxa"/>
        <w:tblLook w:val="04A0" w:firstRow="1" w:lastRow="0" w:firstColumn="1" w:lastColumn="0" w:noHBand="0" w:noVBand="1"/>
      </w:tblPr>
      <w:tblGrid>
        <w:gridCol w:w="1970"/>
        <w:gridCol w:w="1810"/>
        <w:gridCol w:w="1788"/>
        <w:gridCol w:w="2174"/>
        <w:gridCol w:w="1660"/>
        <w:gridCol w:w="1218"/>
      </w:tblGrid>
      <w:tr w:rsidR="00A66285" w:rsidRPr="009022FC" w14:paraId="1577A66E" w14:textId="4737FA13" w:rsidTr="00A66285">
        <w:trPr>
          <w:trHeight w:val="315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9598" w14:textId="58F61B5B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 quantity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CCB1F" w14:textId="11E7CDA9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mult_regs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5B7A" w14:textId="441B3E94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sngl_reg_cpue1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70A6C" w14:textId="7F2026DC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sngl_reg_conc_cpue1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CF80AB" w14:textId="0F7FCB39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%diff_nonconc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81838B" w14:textId="34A40294" w:rsidR="00A66285" w:rsidRPr="009022FC" w:rsidRDefault="00A66285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%diff_conc</w:t>
            </w:r>
          </w:p>
        </w:tc>
      </w:tr>
      <w:tr w:rsidR="000C720B" w:rsidRPr="009022FC" w14:paraId="2FED1565" w14:textId="08A040C5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89198" w14:textId="1160D1E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64092" w14:textId="0C60B974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7FE66" w14:textId="28CDFCF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153500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7554" w14:textId="7744486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681CBE" w14:textId="5A98C1E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E16DCF" w14:textId="514CF86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-9.49</w:t>
            </w:r>
          </w:p>
        </w:tc>
      </w:tr>
      <w:tr w:rsidR="000C720B" w:rsidRPr="009022FC" w14:paraId="6BF6D01E" w14:textId="113E4012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A387" w14:textId="78B4280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Ccurr.MSY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31BB" w14:textId="127A2F4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0BBE8" w14:textId="66C81AD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59F8D" w14:textId="1D9BF09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EF8DAE" w14:textId="4DDE243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CA9EA" w14:textId="783F9FD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10.37</w:t>
            </w:r>
          </w:p>
        </w:tc>
      </w:tr>
      <w:tr w:rsidR="000C720B" w:rsidRPr="009022FC" w14:paraId="5D15605D" w14:textId="787F3266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AFE50" w14:textId="6F5B384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472A" w14:textId="527CAA6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5D2BA" w14:textId="2C0D855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1F374" w14:textId="1CF9720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28170D" w14:textId="4C7EFF5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-18.08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BD5C54" w14:textId="4A08DD3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-18.08</w:t>
            </w:r>
          </w:p>
        </w:tc>
      </w:tr>
      <w:tr w:rsidR="000C720B" w:rsidRPr="009022FC" w14:paraId="681FBB9F" w14:textId="758BE44B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A49C" w14:textId="1B627C4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Fmult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A4EC" w14:textId="2C51115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1.676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F10A" w14:textId="2AA1DDF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1.209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7D76A" w14:textId="6CF812B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6ADA8E" w14:textId="32868FD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-27.86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21306" w14:textId="7E67037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-28.04</w:t>
            </w:r>
          </w:p>
        </w:tc>
      </w:tr>
      <w:tr w:rsidR="000C720B" w:rsidRPr="009022FC" w14:paraId="78ACFB03" w14:textId="3A6097BC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B2DB" w14:textId="0370CEA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Fcurr.Fmsy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34B36" w14:textId="74DC613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0D51" w14:textId="4BD84B7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A6D4" w14:textId="2C14B9C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45268" w14:textId="265FC5B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9D6DF" w14:textId="5DBFAB1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38.97</w:t>
            </w:r>
          </w:p>
        </w:tc>
      </w:tr>
      <w:tr w:rsidR="000C720B" w:rsidRPr="009022FC" w14:paraId="2209C546" w14:textId="5CA4FF1A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6A6CA" w14:textId="2E6D6FC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9613C" w14:textId="7E903D6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8510000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40A12" w14:textId="68BB002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9241000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33520" w14:textId="69CFF47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9244000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33FE51" w14:textId="7208C59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B7D55" w14:textId="502E8C7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</w:tr>
      <w:tr w:rsidR="000C720B" w:rsidRPr="009022FC" w14:paraId="153EC167" w14:textId="3F640D81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1CE31" w14:textId="0DEF6FC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01DBE" w14:textId="1BE5C92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2336000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EA41" w14:textId="305EAA4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6621" w14:textId="2192ACB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2581000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4554E" w14:textId="5DB1B5E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6EFB7" w14:textId="4EB9E70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</w:t>
            </w:r>
          </w:p>
        </w:tc>
      </w:tr>
      <w:tr w:rsidR="000C720B" w:rsidRPr="009022FC" w14:paraId="60621AC5" w14:textId="1407483A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E55DA" w14:textId="10B81394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Bcurr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03FF9" w14:textId="5AB22D3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4648625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AA4" w14:textId="1AE715C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3587013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62E7B" w14:textId="0B7C362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3577813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5D055" w14:textId="68DE81F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-22.84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A9F93" w14:textId="5F3DA5C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-23.04</w:t>
            </w:r>
          </w:p>
        </w:tc>
      </w:tr>
      <w:tr w:rsidR="000C720B" w:rsidRPr="009022FC" w14:paraId="32AB86CA" w14:textId="7378C7AE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DB99" w14:textId="432B536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42DD" w14:textId="6A2C99A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00A9" w14:textId="419C291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6573000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2E36" w14:textId="476A094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6576000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44515" w14:textId="33D098D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22.93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915305" w14:textId="46CFC424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22.98</w:t>
            </w:r>
          </w:p>
        </w:tc>
      </w:tr>
      <w:tr w:rsidR="000C720B" w:rsidRPr="009022FC" w14:paraId="7BE25F00" w14:textId="112AEDEA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BD8F" w14:textId="28000DD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B1068" w14:textId="6660DDD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1072000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1508E" w14:textId="1895053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C2B34" w14:textId="117B388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853DEB" w14:textId="5D7DA2B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F5F0AB" w14:textId="56CA29A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34.33</w:t>
            </w:r>
          </w:p>
        </w:tc>
      </w:tr>
      <w:tr w:rsidR="000C720B" w:rsidRPr="009022FC" w14:paraId="33ABBF7A" w14:textId="141E8E9D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37F88" w14:textId="413A17E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SBcurr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05A0D" w14:textId="0D063F4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2404755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B6FCD" w14:textId="2A16EEE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1996569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E575" w14:textId="7B00CF0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1991219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3CBCEF" w14:textId="17634CE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-16.97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1E33D" w14:textId="4BFB63F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-17.20</w:t>
            </w:r>
          </w:p>
        </w:tc>
      </w:tr>
      <w:tr w:rsidR="000C720B" w:rsidRPr="009022FC" w14:paraId="4482CD3D" w14:textId="2787A2EF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7C77" w14:textId="5FF267A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Bcurr.Bmsy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CD691" w14:textId="687AD2D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1.990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063C0" w14:textId="7228858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F85F4" w14:textId="09E6667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530591" w14:textId="221B53E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26366" w14:textId="604480E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-30.34</w:t>
            </w:r>
          </w:p>
        </w:tc>
      </w:tr>
      <w:tr w:rsidR="000C720B" w:rsidRPr="009022FC" w14:paraId="7B57CAB3" w14:textId="3A2BF8DA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870B4" w14:textId="6DBE002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SBcurr.SBmsy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978A" w14:textId="32EDA1B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3D0F" w14:textId="09C1AED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1.387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53D92" w14:textId="1C99516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A1A6EF" w14:textId="523DAD5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-38.19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F690E5" w14:textId="6F2E086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-38.36</w:t>
            </w:r>
          </w:p>
        </w:tc>
      </w:tr>
      <w:tr w:rsidR="000C720B" w:rsidRPr="009022FC" w14:paraId="7E4BE88F" w14:textId="652188E4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082BDD" w14:textId="395FEF8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SBcurr.SBcurrF0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7A8A8" w14:textId="67D7D81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1A1B" w14:textId="6FA9F0B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7F49" w14:textId="1F94C06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38EE2" w14:textId="4BEAD21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-34.92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D7BA7" w14:textId="60AAEA2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-35.08</w:t>
            </w:r>
          </w:p>
        </w:tc>
      </w:tr>
      <w:tr w:rsidR="000C720B" w:rsidRPr="009022FC" w14:paraId="29862992" w14:textId="18CD93EE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25BC5F" w14:textId="6957558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SBlatest.SBlatestF0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5D41" w14:textId="6236520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7129" w14:textId="50EDFBF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0.292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816F8" w14:textId="06EF2A5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2CA2CA" w14:textId="0FB9D63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-31.95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B0D845" w14:textId="6F23157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-32.15</w:t>
            </w:r>
          </w:p>
        </w:tc>
      </w:tr>
      <w:tr w:rsidR="000C720B" w:rsidRPr="009022FC" w14:paraId="529984C6" w14:textId="18659B7F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59B16" w14:textId="4639A83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obj_bhsteep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B54B0" w14:textId="43EF483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B887" w14:textId="0800BFA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1605" w14:textId="41C8DE14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BC31D4" w14:textId="439256A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0B151B" w14:textId="648148E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33.31</w:t>
            </w:r>
          </w:p>
        </w:tc>
      </w:tr>
      <w:tr w:rsidR="000C720B" w:rsidRPr="009022FC" w14:paraId="7222292A" w14:textId="26491526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9D5F2" w14:textId="5EAF92C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obj_lencomp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18EF1" w14:textId="51DE17D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-154969.914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67DA" w14:textId="3EEA6CE3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-153345.580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DE7CA" w14:textId="7BB5B5D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-153345.611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4F0765" w14:textId="08252FB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D0767" w14:textId="356BF87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-1.05</w:t>
            </w:r>
          </w:p>
        </w:tc>
      </w:tr>
      <w:tr w:rsidR="000C720B" w:rsidRPr="009022FC" w14:paraId="42658856" w14:textId="5AD1E7E3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228F8" w14:textId="0B58586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obj_wtcomp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7D8C" w14:textId="2537795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-610342.171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F3A54" w14:textId="65930E4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-483274.416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7384" w14:textId="1A287DF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-483273.668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C336DD" w14:textId="31A85F4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-20.82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B9D7C4" w14:textId="6F5955C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-20.82</w:t>
            </w:r>
          </w:p>
        </w:tc>
      </w:tr>
      <w:tr w:rsidR="000C720B" w:rsidRPr="009022FC" w14:paraId="2359148D" w14:textId="11974E0D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C2EF9" w14:textId="7869B43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obj_tagdata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D73B" w14:textId="52873F5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13217.201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C4EE" w14:textId="36063DA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14479.783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AB7C7" w14:textId="407C3C8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14479.435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D23CA6" w14:textId="4914105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A0603" w14:textId="7350B74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9.55</w:t>
            </w:r>
          </w:p>
        </w:tc>
      </w:tr>
      <w:tr w:rsidR="000C720B" w:rsidRPr="009022FC" w14:paraId="0CCB6443" w14:textId="53E59142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443" w14:textId="6D13A11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obj_agelngdata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5C45" w14:textId="0404849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2480.443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72F3" w14:textId="4CE1C67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2452.738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8A60" w14:textId="41B9E84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2452.727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FD166F" w14:textId="472D04E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267AC" w14:textId="04D90BA4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</w:t>
            </w:r>
          </w:p>
        </w:tc>
      </w:tr>
      <w:tr w:rsidR="000C720B" w:rsidRPr="009022FC" w14:paraId="4A43171B" w14:textId="5C4FEB07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2260B" w14:textId="4945988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obj_cpue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6DAE" w14:textId="55A232A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-1157.645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E8573" w14:textId="446C67C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-314.031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2736E" w14:textId="67201D9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-313.991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CE8C" w14:textId="3FC0A35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-72.87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F85891" w14:textId="5021D93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-72.88</w:t>
            </w:r>
          </w:p>
        </w:tc>
      </w:tr>
      <w:tr w:rsidR="000C720B" w:rsidRPr="009022FC" w14:paraId="02BA81F9" w14:textId="655165E2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F5C87" w14:textId="65688BF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D8E10" w14:textId="7F38771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-750515.800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FBD00" w14:textId="288C6D2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-619859.458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283E3" w14:textId="0533772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-619858.965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92DECF" w14:textId="03B70D1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E8C61" w14:textId="1955D1FB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-17.41</w:t>
            </w:r>
          </w:p>
        </w:tc>
      </w:tr>
      <w:tr w:rsidR="000C720B" w:rsidRPr="009022FC" w14:paraId="6516FDD6" w14:textId="6F1C5A0D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8CD27" w14:textId="11CD7CC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No. parameters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324A3" w14:textId="16F3D17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17F66" w14:textId="08B9D2B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1B08" w14:textId="2EF6BE75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B09FD" w14:textId="27A1588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-76.59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78575" w14:textId="40082BD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-76.59</w:t>
            </w:r>
          </w:p>
        </w:tc>
      </w:tr>
      <w:tr w:rsidR="000C720B" w:rsidRPr="009022FC" w14:paraId="45789342" w14:textId="7487A029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E537" w14:textId="0CCDBC5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gradient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A4D17" w14:textId="52310E4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0.0001268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4A98" w14:textId="4B7F129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0.0001774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5786" w14:textId="190BB56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CA8AEA" w14:textId="17A21979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21829C0" w14:textId="6BB7A9D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20.46</w:t>
            </w:r>
          </w:p>
        </w:tc>
      </w:tr>
      <w:tr w:rsidR="000C720B" w:rsidRPr="009022FC" w14:paraId="25C8C167" w14:textId="77777777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9082D5" w14:textId="104E5AF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Lmin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FF806C9" w14:textId="0162CC9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292BF4" w14:textId="29B502E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B880ECD" w14:textId="203C6A3A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DAC9C2C" w14:textId="6C6DFAE7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1F02BAF" w14:textId="62115CC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0C720B" w:rsidRPr="009022FC" w14:paraId="06E33C94" w14:textId="77777777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3A5B62" w14:textId="124E786D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Lmax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CD0ABB3" w14:textId="1475415C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141.958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57B77C" w14:textId="1AA781C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141.924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C26F880" w14:textId="2729A8E0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141.923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E1801EA" w14:textId="70D3B9BE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A0E6FC9" w14:textId="0CF3A3FF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0C720B" w:rsidRPr="009022FC" w14:paraId="456A6046" w14:textId="77777777" w:rsidTr="000C720B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FD6859E" w14:textId="64F4CA62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3D0D132" w14:textId="02B0995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F639FE" w14:textId="3FF9A681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1B7C0C" w14:textId="67757E4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272A9BC" w14:textId="34D9B118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3E64ED0" w14:textId="2472FBB6" w:rsidR="000C720B" w:rsidRPr="009022FC" w:rsidRDefault="000C720B" w:rsidP="00565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0C720B" w:rsidRPr="009022FC" w14:paraId="62FE2A4D" w14:textId="77777777" w:rsidTr="00A66285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FC094" w14:textId="7871B831" w:rsidR="000C720B" w:rsidRDefault="000C720B" w:rsidP="00565D1E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PDH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BD146" w14:textId="19481807" w:rsidR="000C720B" w:rsidRDefault="006C79E0" w:rsidP="00565D1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8264C" w14:textId="422CE45C" w:rsidR="000C720B" w:rsidRDefault="000C720B" w:rsidP="00565D1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21077" w14:textId="1ABD5737" w:rsidR="000C720B" w:rsidRDefault="000C720B" w:rsidP="00565D1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CEA3C8" w14:textId="6CC7A8B4" w:rsidR="000C720B" w:rsidRDefault="000C720B" w:rsidP="00565D1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6E27EA" w14:textId="429FE56C" w:rsidR="000C720B" w:rsidRDefault="000C720B" w:rsidP="00565D1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D35C2F7" w14:textId="77777777" w:rsidR="009022FC" w:rsidRDefault="009022FC" w:rsidP="00565D1E">
      <w:pPr>
        <w:jc w:val="both"/>
      </w:pPr>
    </w:p>
    <w:p w14:paraId="5E1069A5" w14:textId="77777777" w:rsidR="009022FC" w:rsidRDefault="009022FC" w:rsidP="00565D1E">
      <w:pPr>
        <w:jc w:val="both"/>
      </w:pPr>
    </w:p>
    <w:p w14:paraId="3CF97E50" w14:textId="4984FCF2" w:rsidR="007B3E30" w:rsidRDefault="00F70EEE" w:rsidP="002F6861">
      <w:pPr>
        <w:jc w:val="center"/>
      </w:pPr>
      <w:r>
        <w:rPr>
          <w:noProof/>
        </w:rPr>
        <w:lastRenderedPageBreak/>
        <w:drawing>
          <wp:inline distT="0" distB="0" distL="0" distR="0" wp14:anchorId="0DE8B97E" wp14:editId="7BD3C312">
            <wp:extent cx="3635952" cy="3635952"/>
            <wp:effectExtent l="0" t="0" r="3175" b="3175"/>
            <wp:docPr id="993181863" name="yft2023_multregs_vs_snglreg_SBiom_compr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1863" name="yft2023_multregs_vs_snglreg_SBiom_comprsn.png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00" cy="36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35B" w14:textId="53B10C59" w:rsidR="007B3E30" w:rsidRPr="000A280D" w:rsidRDefault="007B3E30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>Figure 1. Comparison of adult biomass between the multi-region (mult_regs) and single-region (</w:t>
      </w:r>
      <w:r w:rsidR="00F70EEE" w:rsidRPr="000A280D">
        <w:rPr>
          <w:b/>
          <w:bCs/>
          <w:sz w:val="20"/>
          <w:szCs w:val="20"/>
        </w:rPr>
        <w:t>sngl_reg_cpue1</w:t>
      </w:r>
      <w:r w:rsidR="00F70EEE" w:rsidRPr="000A280D">
        <w:rPr>
          <w:sz w:val="20"/>
          <w:szCs w:val="20"/>
        </w:rPr>
        <w:t xml:space="preserve">, </w:t>
      </w:r>
      <w:r w:rsidR="00F70EEE" w:rsidRPr="000A280D">
        <w:rPr>
          <w:b/>
          <w:bCs/>
          <w:sz w:val="20"/>
          <w:szCs w:val="20"/>
        </w:rPr>
        <w:t>sngl_reg_conc_cpue1</w:t>
      </w:r>
      <w:r w:rsidRPr="000A280D">
        <w:rPr>
          <w:b/>
          <w:bCs/>
          <w:sz w:val="20"/>
          <w:szCs w:val="20"/>
        </w:rPr>
        <w:t xml:space="preserve">) models. </w:t>
      </w:r>
    </w:p>
    <w:p w14:paraId="02C3E38F" w14:textId="153ABEEF" w:rsidR="007B3E30" w:rsidRDefault="00F70EEE" w:rsidP="002F6861">
      <w:pPr>
        <w:jc w:val="center"/>
      </w:pPr>
      <w:r>
        <w:rPr>
          <w:noProof/>
        </w:rPr>
        <w:drawing>
          <wp:inline distT="0" distB="0" distL="0" distR="0" wp14:anchorId="09BB85E2" wp14:editId="7542280C">
            <wp:extent cx="3581400" cy="3581400"/>
            <wp:effectExtent l="0" t="0" r="0" b="0"/>
            <wp:docPr id="2104061548" name="yft2023_multregs_vs_snglreg_recr_compr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61548" name="yft2023_multregs_vs_snglreg_recr_comprsn.pn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16" cy="35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EF9" w14:textId="3647FA16" w:rsidR="007B3E30" w:rsidRPr="000A280D" w:rsidRDefault="007B3E30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 xml:space="preserve">Figure 2. </w:t>
      </w:r>
      <w:r w:rsidR="00F70EEE" w:rsidRPr="000A280D">
        <w:rPr>
          <w:b/>
          <w:bCs/>
          <w:sz w:val="20"/>
          <w:szCs w:val="20"/>
        </w:rPr>
        <w:t xml:space="preserve">Comparison of estimated absolute recruitment </w:t>
      </w:r>
      <w:r w:rsidRPr="000A280D">
        <w:rPr>
          <w:b/>
          <w:bCs/>
          <w:sz w:val="20"/>
          <w:szCs w:val="20"/>
        </w:rPr>
        <w:t>between the multi-region (mult_regs) and single-region (</w:t>
      </w:r>
      <w:r w:rsidR="00F70EEE" w:rsidRPr="000A280D">
        <w:rPr>
          <w:b/>
          <w:bCs/>
          <w:sz w:val="20"/>
          <w:szCs w:val="20"/>
        </w:rPr>
        <w:t>sngl_reg_cpue1</w:t>
      </w:r>
      <w:r w:rsidR="00F70EEE" w:rsidRPr="000A280D">
        <w:rPr>
          <w:sz w:val="20"/>
          <w:szCs w:val="20"/>
        </w:rPr>
        <w:t xml:space="preserve">, </w:t>
      </w:r>
      <w:r w:rsidR="00F70EEE" w:rsidRPr="000A280D">
        <w:rPr>
          <w:b/>
          <w:bCs/>
          <w:sz w:val="20"/>
          <w:szCs w:val="20"/>
        </w:rPr>
        <w:t>sngl_reg_conc_cpue1</w:t>
      </w:r>
      <w:r w:rsidRPr="000A280D">
        <w:rPr>
          <w:b/>
          <w:bCs/>
          <w:sz w:val="20"/>
          <w:szCs w:val="20"/>
        </w:rPr>
        <w:t xml:space="preserve">) models. </w:t>
      </w:r>
    </w:p>
    <w:p w14:paraId="5D9C77D5" w14:textId="7E06D625" w:rsidR="007B3E30" w:rsidRDefault="00F70EEE" w:rsidP="002F6861">
      <w:pPr>
        <w:jc w:val="center"/>
      </w:pPr>
      <w:r>
        <w:rPr>
          <w:noProof/>
        </w:rPr>
        <w:lastRenderedPageBreak/>
        <w:drawing>
          <wp:inline distT="0" distB="0" distL="0" distR="0" wp14:anchorId="67523569" wp14:editId="5213EEB9">
            <wp:extent cx="3448050" cy="3448050"/>
            <wp:effectExtent l="0" t="0" r="0" b="0"/>
            <wp:docPr id="1603249609" name="yft2023_multregs_vs_snglreg_growth_compr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49609" name="yft2023_multregs_vs_snglreg_growth_comprsn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24B" w14:textId="75E1D875" w:rsidR="00E9551A" w:rsidRPr="00E9551A" w:rsidRDefault="004D2B32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>Figure 4. Comparison of estimated von Bertalanffy growth between the multi-region (mult_regs) and single-region (</w:t>
      </w:r>
      <w:r w:rsidR="00F70EEE" w:rsidRPr="000A280D">
        <w:rPr>
          <w:b/>
          <w:bCs/>
          <w:sz w:val="20"/>
          <w:szCs w:val="20"/>
        </w:rPr>
        <w:t>sngl_reg_cpue1</w:t>
      </w:r>
      <w:r w:rsidR="00F70EEE" w:rsidRPr="000A280D">
        <w:rPr>
          <w:sz w:val="20"/>
          <w:szCs w:val="20"/>
        </w:rPr>
        <w:t xml:space="preserve">, </w:t>
      </w:r>
      <w:r w:rsidR="00F70EEE" w:rsidRPr="000A280D">
        <w:rPr>
          <w:b/>
          <w:bCs/>
          <w:sz w:val="20"/>
          <w:szCs w:val="20"/>
        </w:rPr>
        <w:t>sngl_reg_conc_cpue1</w:t>
      </w:r>
      <w:r w:rsidRPr="000A280D">
        <w:rPr>
          <w:b/>
          <w:bCs/>
          <w:sz w:val="20"/>
          <w:szCs w:val="20"/>
        </w:rPr>
        <w:t>) models.</w:t>
      </w:r>
    </w:p>
    <w:p w14:paraId="3CBD890A" w14:textId="28E1A7F3" w:rsidR="00E9551A" w:rsidRDefault="00E9551A" w:rsidP="002F68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4E3CD" wp14:editId="2E2607C8">
            <wp:extent cx="3686175" cy="3686175"/>
            <wp:effectExtent l="0" t="0" r="9525" b="9525"/>
            <wp:docPr id="1827934826" name="yft2023_multregs_vs_snglreg_n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4826" name="yft2023_multregs_vs_snglreg_natM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3799" w14:textId="6AF7BD75" w:rsidR="00E9551A" w:rsidRPr="000A280D" w:rsidRDefault="00E9551A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t>5</w:t>
      </w:r>
      <w:r w:rsidRPr="000A280D">
        <w:rPr>
          <w:b/>
          <w:bCs/>
          <w:sz w:val="20"/>
          <w:szCs w:val="20"/>
        </w:rPr>
        <w:t xml:space="preserve">. Comparison of estimated </w:t>
      </w:r>
      <w:r>
        <w:rPr>
          <w:b/>
          <w:bCs/>
          <w:sz w:val="20"/>
          <w:szCs w:val="20"/>
        </w:rPr>
        <w:t>Lorenzen natural mortality function</w:t>
      </w:r>
      <w:r w:rsidR="00280F7D">
        <w:rPr>
          <w:b/>
          <w:bCs/>
          <w:sz w:val="20"/>
          <w:szCs w:val="20"/>
        </w:rPr>
        <w:t>s</w:t>
      </w:r>
      <w:r w:rsidRPr="000A280D">
        <w:rPr>
          <w:b/>
          <w:bCs/>
          <w:sz w:val="20"/>
          <w:szCs w:val="20"/>
        </w:rPr>
        <w:t xml:space="preserve"> between the multi-region (mult_regs) and single-region (sngl_reg_cpue1</w:t>
      </w:r>
      <w:r w:rsidRPr="000A280D">
        <w:rPr>
          <w:sz w:val="20"/>
          <w:szCs w:val="20"/>
        </w:rPr>
        <w:t xml:space="preserve">, </w:t>
      </w:r>
      <w:r w:rsidRPr="000A280D">
        <w:rPr>
          <w:b/>
          <w:bCs/>
          <w:sz w:val="20"/>
          <w:szCs w:val="20"/>
        </w:rPr>
        <w:t>sngl_reg_conc_cpue1) models.</w:t>
      </w:r>
    </w:p>
    <w:p w14:paraId="66D715BF" w14:textId="77777777" w:rsidR="00E9551A" w:rsidRDefault="00E9551A" w:rsidP="00565D1E">
      <w:pPr>
        <w:jc w:val="both"/>
        <w:rPr>
          <w:b/>
          <w:bCs/>
        </w:rPr>
      </w:pPr>
    </w:p>
    <w:p w14:paraId="222DC591" w14:textId="378D0C80" w:rsidR="00946A6A" w:rsidRDefault="00E9551A" w:rsidP="002F68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256CF5" wp14:editId="6D49309D">
            <wp:extent cx="5943600" cy="5943600"/>
            <wp:effectExtent l="0" t="0" r="0" b="0"/>
            <wp:docPr id="236680367" name="yft2023_multregs_vs_snglreg_Fig-sel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0367" name="yft2023_multregs_vs_snglreg_Fig-selectivity.pn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548" w14:textId="3C982893" w:rsidR="00946A6A" w:rsidRPr="000A280D" w:rsidRDefault="00946A6A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 xml:space="preserve">Figure </w:t>
      </w:r>
      <w:r w:rsidR="00FA6A8F">
        <w:rPr>
          <w:b/>
          <w:bCs/>
          <w:sz w:val="20"/>
          <w:szCs w:val="20"/>
        </w:rPr>
        <w:t>6</w:t>
      </w:r>
      <w:r w:rsidRPr="000A280D">
        <w:rPr>
          <w:b/>
          <w:bCs/>
          <w:sz w:val="20"/>
          <w:szCs w:val="20"/>
        </w:rPr>
        <w:t>. Comparison of estimated selectivity-at-age between the multi-region (mult_regs</w:t>
      </w:r>
      <w:r w:rsidR="00C976F2">
        <w:rPr>
          <w:b/>
          <w:bCs/>
          <w:sz w:val="20"/>
          <w:szCs w:val="20"/>
        </w:rPr>
        <w:t>, histograms</w:t>
      </w:r>
      <w:r w:rsidRPr="000A280D">
        <w:rPr>
          <w:b/>
          <w:bCs/>
          <w:sz w:val="20"/>
          <w:szCs w:val="20"/>
        </w:rPr>
        <w:t>) and single-region (</w:t>
      </w:r>
      <w:r w:rsidR="00F70EEE" w:rsidRPr="000A280D">
        <w:rPr>
          <w:b/>
          <w:bCs/>
          <w:sz w:val="20"/>
          <w:szCs w:val="20"/>
        </w:rPr>
        <w:t>sngl_reg_cpue1</w:t>
      </w:r>
      <w:r w:rsidR="00F70EEE" w:rsidRPr="000A280D">
        <w:rPr>
          <w:sz w:val="20"/>
          <w:szCs w:val="20"/>
        </w:rPr>
        <w:t xml:space="preserve">, </w:t>
      </w:r>
      <w:r w:rsidR="00F70EEE" w:rsidRPr="000A280D">
        <w:rPr>
          <w:b/>
          <w:bCs/>
          <w:sz w:val="20"/>
          <w:szCs w:val="20"/>
        </w:rPr>
        <w:t>sngl_reg_conc_cpue1</w:t>
      </w:r>
      <w:r w:rsidR="00C976F2">
        <w:rPr>
          <w:b/>
          <w:bCs/>
          <w:sz w:val="20"/>
          <w:szCs w:val="20"/>
        </w:rPr>
        <w:t>, red and green lines</w:t>
      </w:r>
      <w:r w:rsidRPr="000A280D">
        <w:rPr>
          <w:b/>
          <w:bCs/>
          <w:sz w:val="20"/>
          <w:szCs w:val="20"/>
        </w:rPr>
        <w:t>) models.</w:t>
      </w:r>
    </w:p>
    <w:p w14:paraId="2F9C7D95" w14:textId="77777777" w:rsidR="00946A6A" w:rsidRDefault="00946A6A" w:rsidP="00565D1E">
      <w:pPr>
        <w:jc w:val="both"/>
        <w:rPr>
          <w:b/>
          <w:bCs/>
        </w:rPr>
      </w:pPr>
    </w:p>
    <w:p w14:paraId="4BEF76E0" w14:textId="77777777" w:rsidR="00F70EEE" w:rsidRDefault="00F70EEE" w:rsidP="00565D1E">
      <w:pPr>
        <w:jc w:val="both"/>
        <w:rPr>
          <w:b/>
          <w:bCs/>
        </w:rPr>
      </w:pPr>
    </w:p>
    <w:p w14:paraId="51407CCD" w14:textId="7D9C8EA6" w:rsidR="00F70EEE" w:rsidRDefault="00F70EEE" w:rsidP="002F686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196DD0" wp14:editId="42AE3499">
            <wp:extent cx="3372593" cy="3372593"/>
            <wp:effectExtent l="0" t="0" r="0" b="0"/>
            <wp:docPr id="334414714" name="yft2023_multregs_vs_snglreg_SBiom_depltn_compr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4714" name="yft2023_multregs_vs_snglreg_SBiom_depltn_comprsn.png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15" cy="33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355A" w14:textId="28EF8650" w:rsidR="00F70EEE" w:rsidRPr="000A280D" w:rsidRDefault="00F70EEE" w:rsidP="00565D1E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 xml:space="preserve">Figure </w:t>
      </w:r>
      <w:r w:rsidR="00FA6A8F">
        <w:rPr>
          <w:b/>
          <w:bCs/>
          <w:sz w:val="20"/>
          <w:szCs w:val="20"/>
        </w:rPr>
        <w:t>7</w:t>
      </w:r>
      <w:r w:rsidRPr="000A280D">
        <w:rPr>
          <w:b/>
          <w:bCs/>
          <w:sz w:val="20"/>
          <w:szCs w:val="20"/>
        </w:rPr>
        <w:t>. Comparison of estimated spawning biomass depletion between the multi-region (mult_regs) and single-region (sngl_reg_cpue1</w:t>
      </w:r>
      <w:r w:rsidRPr="000A280D">
        <w:rPr>
          <w:sz w:val="20"/>
          <w:szCs w:val="20"/>
        </w:rPr>
        <w:t xml:space="preserve">, </w:t>
      </w:r>
      <w:r w:rsidRPr="000A280D">
        <w:rPr>
          <w:b/>
          <w:bCs/>
          <w:sz w:val="20"/>
          <w:szCs w:val="20"/>
        </w:rPr>
        <w:t>sngl_reg_conc_cpue1) models.</w:t>
      </w:r>
    </w:p>
    <w:p w14:paraId="5B5EE4E6" w14:textId="77777777" w:rsidR="00F70EEE" w:rsidRDefault="00F70EEE" w:rsidP="00565D1E">
      <w:pPr>
        <w:jc w:val="both"/>
        <w:rPr>
          <w:b/>
          <w:bCs/>
        </w:rPr>
      </w:pPr>
    </w:p>
    <w:p w14:paraId="7C71AFDB" w14:textId="3B739AA3" w:rsidR="00AA44AC" w:rsidRDefault="00AA44AC" w:rsidP="00AA44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002B7E" wp14:editId="1510FD19">
            <wp:extent cx="3348841" cy="3348841"/>
            <wp:effectExtent l="0" t="0" r="4445" b="4445"/>
            <wp:docPr id="771205779" name="yft2023_multregs_vs_snglreg_SBiom_depltn_comprsn_r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5779" name="yft2023_multregs_vs_snglreg_SBiom_depltn_comprsn_regs.png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78" cy="33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321" w14:textId="298EE729" w:rsidR="00AA44AC" w:rsidRPr="000A280D" w:rsidRDefault="00AA44AC" w:rsidP="00AA44AC">
      <w:pPr>
        <w:jc w:val="both"/>
        <w:rPr>
          <w:b/>
          <w:bCs/>
          <w:sz w:val="20"/>
          <w:szCs w:val="20"/>
        </w:rPr>
      </w:pPr>
      <w:r w:rsidRPr="000A280D"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t>8</w:t>
      </w:r>
      <w:r w:rsidRPr="000A280D">
        <w:rPr>
          <w:b/>
          <w:bCs/>
          <w:sz w:val="20"/>
          <w:szCs w:val="20"/>
        </w:rPr>
        <w:t xml:space="preserve">. Comparison of estimated spawning biomass depletion between </w:t>
      </w:r>
      <w:r>
        <w:rPr>
          <w:b/>
          <w:bCs/>
          <w:sz w:val="20"/>
          <w:szCs w:val="20"/>
        </w:rPr>
        <w:t xml:space="preserve">component regions of </w:t>
      </w:r>
      <w:r w:rsidRPr="000A280D">
        <w:rPr>
          <w:b/>
          <w:bCs/>
          <w:sz w:val="20"/>
          <w:szCs w:val="20"/>
        </w:rPr>
        <w:t>the multi-region</w:t>
      </w:r>
      <w:r>
        <w:rPr>
          <w:b/>
          <w:bCs/>
          <w:sz w:val="20"/>
          <w:szCs w:val="20"/>
        </w:rPr>
        <w:t xml:space="preserve"> model (Reg_2, Reg_3, Reg_4)</w:t>
      </w:r>
      <w:r w:rsidRPr="000A280D">
        <w:rPr>
          <w:b/>
          <w:bCs/>
          <w:sz w:val="20"/>
          <w:szCs w:val="20"/>
        </w:rPr>
        <w:t xml:space="preserve"> and single-region (sngl_reg_cpue1</w:t>
      </w:r>
      <w:r w:rsidRPr="000A280D">
        <w:rPr>
          <w:sz w:val="20"/>
          <w:szCs w:val="20"/>
        </w:rPr>
        <w:t xml:space="preserve">, </w:t>
      </w:r>
      <w:r w:rsidRPr="000A280D">
        <w:rPr>
          <w:b/>
          <w:bCs/>
          <w:sz w:val="20"/>
          <w:szCs w:val="20"/>
        </w:rPr>
        <w:t>sngl_reg_conc_cpue1) models.</w:t>
      </w:r>
    </w:p>
    <w:p w14:paraId="7C80FC33" w14:textId="77777777" w:rsidR="00AA44AC" w:rsidRDefault="00AA44AC" w:rsidP="00565D1E">
      <w:pPr>
        <w:jc w:val="both"/>
        <w:rPr>
          <w:b/>
          <w:bCs/>
        </w:rPr>
      </w:pPr>
    </w:p>
    <w:p w14:paraId="031B5332" w14:textId="77777777" w:rsidR="00AA44AC" w:rsidRDefault="00AA44AC" w:rsidP="00565D1E">
      <w:pPr>
        <w:jc w:val="both"/>
        <w:rPr>
          <w:b/>
          <w:bCs/>
        </w:rPr>
      </w:pPr>
    </w:p>
    <w:p w14:paraId="17CFC4AE" w14:textId="45353B13" w:rsidR="00F70EEE" w:rsidRDefault="00F70EEE" w:rsidP="002F686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281CF3" wp14:editId="0104C2DB">
            <wp:extent cx="3167780" cy="3752602"/>
            <wp:effectExtent l="0" t="0" r="0" b="635"/>
            <wp:docPr id="2011994567" name="plot_cpue_fit_sngl_reg_cp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4567" name="plot_cpue_fit_sngl_reg_cpue1.png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67" cy="37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A749" w14:textId="484F04D5" w:rsidR="00946A6A" w:rsidRPr="00893E88" w:rsidRDefault="00F70EEE" w:rsidP="00565D1E">
      <w:pPr>
        <w:jc w:val="both"/>
        <w:rPr>
          <w:b/>
          <w:bCs/>
        </w:rPr>
      </w:pPr>
      <w:r w:rsidRPr="000A280D">
        <w:rPr>
          <w:b/>
          <w:bCs/>
          <w:sz w:val="20"/>
          <w:szCs w:val="20"/>
        </w:rPr>
        <w:t xml:space="preserve">Figure </w:t>
      </w:r>
      <w:r w:rsidR="000D7E71">
        <w:rPr>
          <w:b/>
          <w:bCs/>
          <w:sz w:val="20"/>
          <w:szCs w:val="20"/>
        </w:rPr>
        <w:t>9</w:t>
      </w:r>
      <w:r w:rsidRPr="000A280D">
        <w:rPr>
          <w:b/>
          <w:bCs/>
          <w:sz w:val="20"/>
          <w:szCs w:val="20"/>
        </w:rPr>
        <w:t>. Comparison of the fit to the observed CPUE indices between the single-region models employing the non-concentrated (sngl_reg_cpue1), and concentrated</w:t>
      </w:r>
      <w:r w:rsidRPr="000A280D">
        <w:rPr>
          <w:sz w:val="20"/>
          <w:szCs w:val="20"/>
        </w:rPr>
        <w:t xml:space="preserve"> (</w:t>
      </w:r>
      <w:r w:rsidRPr="000A280D">
        <w:rPr>
          <w:b/>
          <w:bCs/>
          <w:sz w:val="20"/>
          <w:szCs w:val="20"/>
        </w:rPr>
        <w:t xml:space="preserve">sngl_reg_conc_cpue1) likelihood formulations. Vertical dashed lines are the index </w:t>
      </w:r>
      <w:r w:rsidR="000A280D" w:rsidRPr="000A280D">
        <w:rPr>
          <w:b/>
          <w:bCs/>
          <w:sz w:val="20"/>
          <w:szCs w:val="20"/>
        </w:rPr>
        <w:t>+ or – CV.</w:t>
      </w:r>
    </w:p>
    <w:sectPr w:rsidR="00946A6A" w:rsidRPr="0089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A6076"/>
    <w:multiLevelType w:val="hybridMultilevel"/>
    <w:tmpl w:val="CC4E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1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25"/>
    <w:rsid w:val="000748E5"/>
    <w:rsid w:val="00095E24"/>
    <w:rsid w:val="000A280D"/>
    <w:rsid w:val="000C720B"/>
    <w:rsid w:val="000D7E71"/>
    <w:rsid w:val="000E17EC"/>
    <w:rsid w:val="000F6996"/>
    <w:rsid w:val="00111247"/>
    <w:rsid w:val="00163C54"/>
    <w:rsid w:val="00172B71"/>
    <w:rsid w:val="00174752"/>
    <w:rsid w:val="00183DE2"/>
    <w:rsid w:val="001A6C12"/>
    <w:rsid w:val="001C3441"/>
    <w:rsid w:val="001F3F97"/>
    <w:rsid w:val="00220D35"/>
    <w:rsid w:val="0022403B"/>
    <w:rsid w:val="00280F7D"/>
    <w:rsid w:val="002D4A84"/>
    <w:rsid w:val="002F6861"/>
    <w:rsid w:val="003068C3"/>
    <w:rsid w:val="00312CEA"/>
    <w:rsid w:val="00316F25"/>
    <w:rsid w:val="00345940"/>
    <w:rsid w:val="00356A96"/>
    <w:rsid w:val="0037571D"/>
    <w:rsid w:val="00397075"/>
    <w:rsid w:val="003A562A"/>
    <w:rsid w:val="003B0379"/>
    <w:rsid w:val="003E32A2"/>
    <w:rsid w:val="00400A17"/>
    <w:rsid w:val="00417031"/>
    <w:rsid w:val="00424A6E"/>
    <w:rsid w:val="004812C3"/>
    <w:rsid w:val="004D2B32"/>
    <w:rsid w:val="004D48E1"/>
    <w:rsid w:val="004E7EB8"/>
    <w:rsid w:val="005237F9"/>
    <w:rsid w:val="005353BA"/>
    <w:rsid w:val="0054230E"/>
    <w:rsid w:val="0055071F"/>
    <w:rsid w:val="00565D1E"/>
    <w:rsid w:val="005A7C9A"/>
    <w:rsid w:val="005D3153"/>
    <w:rsid w:val="00683A09"/>
    <w:rsid w:val="00690B85"/>
    <w:rsid w:val="00691C4F"/>
    <w:rsid w:val="006C6B28"/>
    <w:rsid w:val="006C79E0"/>
    <w:rsid w:val="006F68EC"/>
    <w:rsid w:val="00727069"/>
    <w:rsid w:val="0073763C"/>
    <w:rsid w:val="00743E42"/>
    <w:rsid w:val="007645F0"/>
    <w:rsid w:val="007973E6"/>
    <w:rsid w:val="007B2B60"/>
    <w:rsid w:val="007B3E30"/>
    <w:rsid w:val="007B42E3"/>
    <w:rsid w:val="007B5D68"/>
    <w:rsid w:val="007B5F1B"/>
    <w:rsid w:val="007F7775"/>
    <w:rsid w:val="00804336"/>
    <w:rsid w:val="008070C7"/>
    <w:rsid w:val="008424D0"/>
    <w:rsid w:val="00843D4D"/>
    <w:rsid w:val="008851F8"/>
    <w:rsid w:val="00893E88"/>
    <w:rsid w:val="008A5D08"/>
    <w:rsid w:val="008D68C5"/>
    <w:rsid w:val="008D7F7E"/>
    <w:rsid w:val="008E4EFF"/>
    <w:rsid w:val="009022FC"/>
    <w:rsid w:val="00903E4D"/>
    <w:rsid w:val="009178F3"/>
    <w:rsid w:val="00946A6A"/>
    <w:rsid w:val="00963212"/>
    <w:rsid w:val="00985AC6"/>
    <w:rsid w:val="009D27E3"/>
    <w:rsid w:val="009D4023"/>
    <w:rsid w:val="009D5C5A"/>
    <w:rsid w:val="009F78ED"/>
    <w:rsid w:val="00A12524"/>
    <w:rsid w:val="00A130A7"/>
    <w:rsid w:val="00A42FC7"/>
    <w:rsid w:val="00A57213"/>
    <w:rsid w:val="00A66285"/>
    <w:rsid w:val="00A83295"/>
    <w:rsid w:val="00A902F4"/>
    <w:rsid w:val="00AA44AC"/>
    <w:rsid w:val="00AA62E9"/>
    <w:rsid w:val="00AB0F3B"/>
    <w:rsid w:val="00AC495B"/>
    <w:rsid w:val="00AD4E73"/>
    <w:rsid w:val="00B01CC3"/>
    <w:rsid w:val="00B32712"/>
    <w:rsid w:val="00B44236"/>
    <w:rsid w:val="00B5143B"/>
    <w:rsid w:val="00B72D26"/>
    <w:rsid w:val="00BB41E3"/>
    <w:rsid w:val="00C50DAF"/>
    <w:rsid w:val="00C81DB4"/>
    <w:rsid w:val="00C976F2"/>
    <w:rsid w:val="00CA686F"/>
    <w:rsid w:val="00CE2952"/>
    <w:rsid w:val="00D34D24"/>
    <w:rsid w:val="00D431E4"/>
    <w:rsid w:val="00D5401A"/>
    <w:rsid w:val="00D6704D"/>
    <w:rsid w:val="00D70B84"/>
    <w:rsid w:val="00D96DAB"/>
    <w:rsid w:val="00DA6BC9"/>
    <w:rsid w:val="00DA7CDF"/>
    <w:rsid w:val="00DC69C6"/>
    <w:rsid w:val="00DC7FF8"/>
    <w:rsid w:val="00E15AB6"/>
    <w:rsid w:val="00E45262"/>
    <w:rsid w:val="00E549CF"/>
    <w:rsid w:val="00E9551A"/>
    <w:rsid w:val="00EA3A36"/>
    <w:rsid w:val="00F21B8D"/>
    <w:rsid w:val="00F546FC"/>
    <w:rsid w:val="00F70EEE"/>
    <w:rsid w:val="00FA6A8F"/>
    <w:rsid w:val="00FC03F1"/>
    <w:rsid w:val="00FD7547"/>
    <w:rsid w:val="00FF791E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EEB2"/>
  <w15:chartTrackingRefBased/>
  <w15:docId w15:val="{EDAD5CB0-46A2-43FF-8D4E-00BECB60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6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2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24D0"/>
    <w:rPr>
      <w:color w:val="666666"/>
    </w:rPr>
  </w:style>
  <w:style w:type="table" w:styleId="TableGrid">
    <w:name w:val="Table Grid"/>
    <w:basedOn w:val="TableNormal"/>
    <w:uiPriority w:val="39"/>
    <w:rsid w:val="006C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Nick\I_Assessments\Pop%20dy%20modeling\MFCL\MFCL\next_gen_mod\yft_sngl_reg\yft2023_multregs_vs_snglreg_recr_comprsn.png" TargetMode="External"/><Relationship Id="rId13" Type="http://schemas.openxmlformats.org/officeDocument/2006/relationships/image" Target="media/image5.png"/><Relationship Id="rId18" Type="http://schemas.openxmlformats.org/officeDocument/2006/relationships/image" Target="file:///C:\Nick\I_Assessments\Pop%20dy%20modeling\MFCL\MFCL\next_gen_mod\yft_sngl_reg\yft2023_multregs_vs_snglreg_SBiom_depltn_comprsn_regs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file:///C:\Nick\I_Assessments\Pop%20dy%20modeling\MFCL\MFCL\next_gen_mod\yft_sngl_reg\yft2023_multregs_vs_snglreg_natM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file:///C:\Nick\I_Assessments\Pop%20dy%20modeling\MFCL\MFCL\next_gen_mod\yft_sngl_reg\yft2023_multregs_vs_snglreg_SBiom_depltn_comprsn.png" TargetMode="External"/><Relationship Id="rId20" Type="http://schemas.openxmlformats.org/officeDocument/2006/relationships/image" Target="file:///C:\Nick\I_Assessments\Pop%20dy%20modeling\MFCL\MFCL\next_gen_mod\yft_sngl_reg\sngl_reg_CPUE\plot_cpue_fit_sngl_reg_cpue1.pn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Nick\I_Assessments\Pop%20dy%20modeling\MFCL\MFCL\next_gen_mod\yft_sngl_reg\yft2023_multregs_vs_snglreg_SBiom_comprsn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file:///C:\Nick\I_Assessments\Pop%20dy%20modeling\MFCL\MFCL\next_gen_mod\yft_sngl_reg\yft2023_multregs_vs_snglreg_growth_comprsn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Nick\I_Assessments\Pop%20dy%20modeling\MFCL\MFCL\next_gen_mod\yft_sngl_reg\yft2023_multregs_vs_snglreg_Fig-selectivity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Davies</dc:creator>
  <cp:keywords/>
  <dc:description/>
  <cp:lastModifiedBy>Nick Davies</cp:lastModifiedBy>
  <cp:revision>6</cp:revision>
  <dcterms:created xsi:type="dcterms:W3CDTF">2025-07-01T02:37:00Z</dcterms:created>
  <dcterms:modified xsi:type="dcterms:W3CDTF">2025-07-01T02:46:00Z</dcterms:modified>
</cp:coreProperties>
</file>