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C3DEF" w14:textId="50BEB7A2" w:rsidR="007F7775" w:rsidRDefault="00316F25" w:rsidP="00316F25">
      <w:pPr>
        <w:pStyle w:val="Heading1"/>
        <w:jc w:val="center"/>
      </w:pPr>
      <w:r>
        <w:t>S</w:t>
      </w:r>
      <w:r w:rsidR="009022FC">
        <w:t>ingle-region YFT2023</w:t>
      </w:r>
      <w:r>
        <w:t xml:space="preserve"> model</w:t>
      </w:r>
    </w:p>
    <w:p w14:paraId="6B25BCF6" w14:textId="77777777" w:rsidR="00316F25" w:rsidRDefault="00316F25" w:rsidP="00316F25"/>
    <w:p w14:paraId="227AC35F" w14:textId="03D56D32" w:rsidR="00316F25" w:rsidRDefault="00FF791E" w:rsidP="00FF791E">
      <w:pPr>
        <w:pStyle w:val="Heading2"/>
      </w:pPr>
      <w:r>
        <w:t>Summary</w:t>
      </w:r>
    </w:p>
    <w:p w14:paraId="556882CC" w14:textId="4F4CC43B" w:rsidR="00FF791E" w:rsidRDefault="009022FC" w:rsidP="00FF791E">
      <w:r>
        <w:t>As part of the P123 project “Scoping the next Stock Assessment software”, a step includes the preparation of a simplified tuna stock assessment model and input data set</w:t>
      </w:r>
      <w:r w:rsidR="00BB41E3">
        <w:t>.</w:t>
      </w:r>
      <w:r>
        <w:t xml:space="preserve"> This report presents the preliminary results for the yellowfin tuna stock assessment model as undertaken in 2023. The original model was spatially stratified into 5 defined regions. A simplified version was developed </w:t>
      </w:r>
      <w:r w:rsidR="0055071F">
        <w:t>having</w:t>
      </w:r>
      <w:r>
        <w:t xml:space="preserve"> no spatial stratification (a single region), while retaining the original fisheries definitions (37 fisheries) and fishery-specific input data structures. The model was fitted and achieved convergence, and a comparison with the original multi-region model is presented here.</w:t>
      </w:r>
    </w:p>
    <w:p w14:paraId="2FC98DAD" w14:textId="77777777" w:rsidR="009022FC" w:rsidRDefault="009022FC" w:rsidP="00FF791E"/>
    <w:p w14:paraId="5EDF66A5" w14:textId="0ED38CAC" w:rsidR="00FF791E" w:rsidRDefault="00FF791E" w:rsidP="00FF791E">
      <w:pPr>
        <w:pStyle w:val="Heading2"/>
      </w:pPr>
      <w:r>
        <w:t>Method</w:t>
      </w:r>
    </w:p>
    <w:p w14:paraId="196AD4F4" w14:textId="216CC320" w:rsidR="00D431E4" w:rsidRPr="00D431E4" w:rsidRDefault="00D431E4" w:rsidP="00D431E4">
      <w:r w:rsidRPr="00172B71">
        <w:t>T</w:t>
      </w:r>
      <w:r>
        <w:t>he</w:t>
      </w:r>
      <w:r w:rsidRPr="00172B71">
        <w:t xml:space="preserve"> existing </w:t>
      </w:r>
      <w:r>
        <w:t xml:space="preserve">YFT2023 </w:t>
      </w:r>
      <w:r w:rsidRPr="00172B71">
        <w:t>example</w:t>
      </w:r>
      <w:r>
        <w:t xml:space="preserve"> model</w:t>
      </w:r>
      <w:r w:rsidRPr="00172B71">
        <w:t xml:space="preserve"> </w:t>
      </w:r>
      <w:r>
        <w:t xml:space="preserve">that employs </w:t>
      </w:r>
      <w:r w:rsidRPr="00172B71">
        <w:t xml:space="preserve">the </w:t>
      </w:r>
      <w:r>
        <w:t>catch-conditioned method</w:t>
      </w:r>
      <w:r w:rsidRPr="00172B71">
        <w:t xml:space="preserve"> </w:t>
      </w:r>
      <w:r>
        <w:t xml:space="preserve">was used for preparing the input data, and </w:t>
      </w:r>
      <w:r w:rsidR="0055071F">
        <w:t xml:space="preserve">to </w:t>
      </w:r>
      <w:r>
        <w:t>demonstrat</w:t>
      </w:r>
      <w:r w:rsidR="0055071F">
        <w:t>e</w:t>
      </w:r>
      <w:r>
        <w:t xml:space="preserve"> the application of MULTIFAN-CL to a spatially unstratified tuna data set</w:t>
      </w:r>
      <w:r w:rsidRPr="00172B71">
        <w:t>.</w:t>
      </w:r>
    </w:p>
    <w:p w14:paraId="06AFF8D2" w14:textId="62488F80" w:rsidR="00397075" w:rsidRPr="00397075" w:rsidRDefault="009022FC" w:rsidP="00397075">
      <w:pPr>
        <w:pStyle w:val="Heading3"/>
      </w:pPr>
      <w:r>
        <w:t>De-stratification of</w:t>
      </w:r>
      <w:r w:rsidR="00397075">
        <w:t xml:space="preserve"> </w:t>
      </w:r>
      <w:r w:rsidR="00D70B84">
        <w:t xml:space="preserve">model configuration and </w:t>
      </w:r>
      <w:r w:rsidR="00397075">
        <w:t>observ</w:t>
      </w:r>
      <w:r>
        <w:t>ation</w:t>
      </w:r>
      <w:r w:rsidR="00397075">
        <w:t>s</w:t>
      </w:r>
    </w:p>
    <w:p w14:paraId="7F6ECFA1" w14:textId="29F2D711" w:rsidR="008424D0" w:rsidRDefault="008424D0" w:rsidP="008424D0">
      <w:r>
        <w:t>T</w:t>
      </w:r>
      <w:r w:rsidR="00D70B84">
        <w:t xml:space="preserve">he input files that specify the spatial stratification, recruitment and movement </w:t>
      </w:r>
      <w:proofErr w:type="spellStart"/>
      <w:r w:rsidR="00D70B84">
        <w:t>parameterisations</w:t>
      </w:r>
      <w:proofErr w:type="spellEnd"/>
      <w:r w:rsidR="00D70B84">
        <w:t xml:space="preserve"> (*.</w:t>
      </w:r>
      <w:proofErr w:type="spellStart"/>
      <w:r w:rsidR="00D70B84">
        <w:t>ini</w:t>
      </w:r>
      <w:proofErr w:type="spellEnd"/>
      <w:r w:rsidR="00D70B84">
        <w:t>, *.</w:t>
      </w:r>
      <w:proofErr w:type="spellStart"/>
      <w:r w:rsidR="00D70B84">
        <w:t>frq</w:t>
      </w:r>
      <w:proofErr w:type="spellEnd"/>
      <w:r w:rsidR="00D70B84">
        <w:t>) were duly modified to define a single region with no movement diffusion coefficients</w:t>
      </w:r>
      <w:r w:rsidR="00D431E4">
        <w:t xml:space="preserve"> or spatial recruitments</w:t>
      </w:r>
      <w:r>
        <w:t>.</w:t>
      </w:r>
      <w:r w:rsidR="00D431E4">
        <w:t xml:space="preserve"> All fisheries were defined to occur in the same single region. All tagging release events were defined to occur in the same single region 1.</w:t>
      </w:r>
      <w:r w:rsidR="0055071F">
        <w:t xml:space="preserve"> All other fishery-specific observations (size compositions, catch, effort, CPUE, conditional age-length data) were retained without modification as these were not specific to model regions.</w:t>
      </w:r>
    </w:p>
    <w:p w14:paraId="49C34EA6" w14:textId="1FCE9F3A" w:rsidR="00172B71" w:rsidRDefault="00172B71" w:rsidP="00172B71">
      <w:r w:rsidRPr="00172B71">
        <w:t>The initial “-</w:t>
      </w:r>
      <w:proofErr w:type="spellStart"/>
      <w:r w:rsidRPr="00172B71">
        <w:t>makepar</w:t>
      </w:r>
      <w:proofErr w:type="spellEnd"/>
      <w:r w:rsidRPr="00172B71">
        <w:t>” operation was completed, and the input 00.par file structure was assessed</w:t>
      </w:r>
      <w:r w:rsidR="00D431E4">
        <w:t xml:space="preserve"> to</w:t>
      </w:r>
      <w:r w:rsidR="00400A17">
        <w:t xml:space="preserve"> correctly</w:t>
      </w:r>
      <w:r w:rsidR="00D431E4">
        <w:t xml:space="preserve"> exclude all spatial stratification or movement </w:t>
      </w:r>
      <w:proofErr w:type="spellStart"/>
      <w:r w:rsidR="00D431E4">
        <w:t>parameterisation</w:t>
      </w:r>
      <w:proofErr w:type="spellEnd"/>
      <w:r w:rsidRPr="00172B71">
        <w:t xml:space="preserve">. </w:t>
      </w:r>
      <w:r w:rsidR="00D431E4">
        <w:t>All</w:t>
      </w:r>
      <w:r w:rsidRPr="00172B71">
        <w:t xml:space="preserve"> phase</w:t>
      </w:r>
      <w:r w:rsidR="00D431E4">
        <w:t>s</w:t>
      </w:r>
      <w:r w:rsidRPr="00172B71">
        <w:t xml:space="preserve"> </w:t>
      </w:r>
      <w:r w:rsidR="00D431E4">
        <w:t xml:space="preserve">of the </w:t>
      </w:r>
      <w:proofErr w:type="spellStart"/>
      <w:r w:rsidR="00D431E4">
        <w:t>doitall</w:t>
      </w:r>
      <w:proofErr w:type="spellEnd"/>
      <w:r w:rsidR="00D431E4">
        <w:t xml:space="preserve"> minimization that </w:t>
      </w:r>
      <w:r w:rsidR="00400A17">
        <w:t xml:space="preserve">originally </w:t>
      </w:r>
      <w:r w:rsidR="00D431E4">
        <w:t>included spatial parameter estimation</w:t>
      </w:r>
      <w:r w:rsidR="00400A17">
        <w:t>,</w:t>
      </w:r>
      <w:r w:rsidR="00D431E4">
        <w:t xml:space="preserve"> </w:t>
      </w:r>
      <w:r w:rsidRPr="00172B71">
        <w:t xml:space="preserve">were </w:t>
      </w:r>
      <w:r w:rsidR="00D431E4">
        <w:t>modified to de-activate the estimation</w:t>
      </w:r>
      <w:r w:rsidR="00400A17">
        <w:t xml:space="preserve"> of these parameters</w:t>
      </w:r>
      <w:r w:rsidR="00D431E4">
        <w:t>. T</w:t>
      </w:r>
      <w:r w:rsidRPr="00172B71">
        <w:t xml:space="preserve">he phase 1 operation was </w:t>
      </w:r>
      <w:r w:rsidR="00D431E4">
        <w:t xml:space="preserve">successfully </w:t>
      </w:r>
      <w:r w:rsidR="00397075">
        <w:t>complet</w:t>
      </w:r>
      <w:r w:rsidRPr="00172B71">
        <w:t>ed</w:t>
      </w:r>
      <w:r w:rsidR="00220D35">
        <w:t xml:space="preserve">, and </w:t>
      </w:r>
      <w:r w:rsidR="005A7C9A">
        <w:t xml:space="preserve">then </w:t>
      </w:r>
      <w:r w:rsidR="00220D35">
        <w:t>all subsequent phases</w:t>
      </w:r>
      <w:r w:rsidR="005A7C9A">
        <w:t xml:space="preserve"> of the </w:t>
      </w:r>
      <w:r w:rsidR="00D431E4">
        <w:t>minimization run to convergence</w:t>
      </w:r>
      <w:r w:rsidRPr="00172B71">
        <w:t>.</w:t>
      </w:r>
    </w:p>
    <w:p w14:paraId="13C5D534" w14:textId="447C961C" w:rsidR="00400A17" w:rsidRDefault="00400A17">
      <w:r>
        <w:br w:type="page"/>
      </w:r>
    </w:p>
    <w:p w14:paraId="41C98423" w14:textId="7CC05663" w:rsidR="009022FC" w:rsidRDefault="00D431E4" w:rsidP="00D431E4">
      <w:pPr>
        <w:pStyle w:val="Heading2"/>
      </w:pPr>
      <w:r>
        <w:lastRenderedPageBreak/>
        <w:t>Results</w:t>
      </w:r>
    </w:p>
    <w:p w14:paraId="0A6D0FB3" w14:textId="5C7184DC" w:rsidR="009022FC" w:rsidRDefault="00D431E4" w:rsidP="00172B71">
      <w:r>
        <w:t>Table 1. Comparison of selected model quantities, parameters and negative log-likelihood terms for the multi-region (</w:t>
      </w:r>
      <w:proofErr w:type="spellStart"/>
      <w:r w:rsidRPr="00D431E4">
        <w:rPr>
          <w:b/>
          <w:bCs/>
        </w:rPr>
        <w:t>mult_regs</w:t>
      </w:r>
      <w:proofErr w:type="spellEnd"/>
      <w:r>
        <w:t>) and single-region (</w:t>
      </w:r>
      <w:proofErr w:type="spellStart"/>
      <w:r w:rsidRPr="00D431E4">
        <w:rPr>
          <w:b/>
          <w:bCs/>
        </w:rPr>
        <w:t>sngl_reg</w:t>
      </w:r>
      <w:proofErr w:type="spellEnd"/>
      <w:r>
        <w:t>) models.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1970"/>
        <w:gridCol w:w="1710"/>
        <w:gridCol w:w="1927"/>
        <w:gridCol w:w="1013"/>
      </w:tblGrid>
      <w:tr w:rsidR="009022FC" w:rsidRPr="009022FC" w14:paraId="1577A66E" w14:textId="77777777" w:rsidTr="009022FC">
        <w:trPr>
          <w:trHeight w:val="315"/>
        </w:trPr>
        <w:tc>
          <w:tcPr>
            <w:tcW w:w="1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9598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Model quantity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CCB1F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mult_regs</w:t>
            </w:r>
            <w:proofErr w:type="spellEnd"/>
          </w:p>
        </w:tc>
        <w:tc>
          <w:tcPr>
            <w:tcW w:w="1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95B7A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sngl_reg</w:t>
            </w:r>
            <w:proofErr w:type="spellEnd"/>
          </w:p>
        </w:tc>
        <w:tc>
          <w:tcPr>
            <w:tcW w:w="1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70A6C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%diff</w:t>
            </w:r>
          </w:p>
        </w:tc>
      </w:tr>
      <w:tr w:rsidR="009022FC" w:rsidRPr="009022FC" w14:paraId="2FED1565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89198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MSY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64092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169800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7FE66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144000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77554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-15.19</w:t>
            </w:r>
          </w:p>
        </w:tc>
      </w:tr>
      <w:tr w:rsidR="009022FC" w:rsidRPr="009022FC" w14:paraId="6BF6D01E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AA387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Ccurr.MSY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031BB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4.221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0BBE8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4.968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59F8D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17.69</w:t>
            </w:r>
          </w:p>
        </w:tc>
      </w:tr>
      <w:tr w:rsidR="009022FC" w:rsidRPr="009022FC" w14:paraId="5D15605D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AFE50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Fmsy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B472A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0.073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5D2BA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0.068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1F374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-6.51</w:t>
            </w:r>
          </w:p>
        </w:tc>
      </w:tr>
      <w:tr w:rsidR="009022FC" w:rsidRPr="009022FC" w14:paraId="681FBB9F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EA49C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Fmult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DA4EC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1.677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CF10A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1.128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7D76A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-32.74</w:t>
            </w:r>
          </w:p>
        </w:tc>
      </w:tr>
      <w:tr w:rsidR="009022FC" w:rsidRPr="009022FC" w14:paraId="78ACFB03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DB2DB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Fcurr.Fmsy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34B36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0.596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90D51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0.887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0A6D4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48.67</w:t>
            </w:r>
          </w:p>
        </w:tc>
      </w:tr>
      <w:tr w:rsidR="009022FC" w:rsidRPr="009022FC" w14:paraId="2209C546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6A6CA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B0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9613C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8515000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40A12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7331000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33520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-13.90</w:t>
            </w:r>
          </w:p>
        </w:tc>
      </w:tr>
      <w:tr w:rsidR="009022FC" w:rsidRPr="009022FC" w14:paraId="153EC167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1CE31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Bmsy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01DBE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2338000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1EA41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2121000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46621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-9.28</w:t>
            </w:r>
          </w:p>
        </w:tc>
      </w:tr>
      <w:tr w:rsidR="009022FC" w:rsidRPr="009022FC" w14:paraId="60621AC5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E55DA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Bcurr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03FF9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4649499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AA4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2932813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62E7B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-36.92</w:t>
            </w:r>
          </w:p>
        </w:tc>
      </w:tr>
      <w:tr w:rsidR="009022FC" w:rsidRPr="009022FC" w14:paraId="32AB86CA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9DB99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SB0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A42DD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5350000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400A9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4961000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A2E36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-7.27</w:t>
            </w:r>
          </w:p>
        </w:tc>
      </w:tr>
      <w:tr w:rsidR="009022FC" w:rsidRPr="009022FC" w14:paraId="7BE25F00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EBD8F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SBmsy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B1068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1072000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1508E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1060000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C2B34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-1.12</w:t>
            </w:r>
          </w:p>
        </w:tc>
      </w:tr>
      <w:tr w:rsidR="009022FC" w:rsidRPr="009022FC" w14:paraId="33ABBF7A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37F88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SBcurr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05A0D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2404955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B6FCD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1478269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CE575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-38.53</w:t>
            </w:r>
          </w:p>
        </w:tc>
      </w:tr>
      <w:tr w:rsidR="009022FC" w:rsidRPr="009022FC" w14:paraId="4482CD3D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D7C77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Bcurr.Bmsy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CD691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1.989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063C0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1.383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F85F4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-30.47</w:t>
            </w:r>
          </w:p>
        </w:tc>
      </w:tr>
      <w:tr w:rsidR="009022FC" w:rsidRPr="009022FC" w14:paraId="7B57CAB3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870B4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SBcurr.SBmsy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8978A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2.243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A3D0F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1.395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53D92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-37.84</w:t>
            </w:r>
          </w:p>
        </w:tc>
      </w:tr>
      <w:tr w:rsidR="009022FC" w:rsidRPr="009022FC" w14:paraId="7E4BE88F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82BDD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SBcurr.SBcurrF0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7A8A8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0.455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E1A1B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0.271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C7F49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-40.40</w:t>
            </w:r>
          </w:p>
        </w:tc>
      </w:tr>
      <w:tr w:rsidR="009022FC" w:rsidRPr="009022FC" w14:paraId="29862992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5BC5F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SBlatest.SBlatestF0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85D41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0.429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E7129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0.261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816F8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-39.34</w:t>
            </w:r>
          </w:p>
        </w:tc>
      </w:tr>
      <w:tr w:rsidR="009022FC" w:rsidRPr="009022FC" w14:paraId="529984C6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59B16" w14:textId="77777777" w:rsidR="009022FC" w:rsidRPr="009022FC" w:rsidRDefault="009022FC" w:rsidP="00902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obj_bhsteep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B54B0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0.311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CB887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0.467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01605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50.10</w:t>
            </w:r>
          </w:p>
        </w:tc>
      </w:tr>
      <w:tr w:rsidR="009022FC" w:rsidRPr="009022FC" w14:paraId="371BDF14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9AAAE" w14:textId="77777777" w:rsidR="009022FC" w:rsidRPr="009022FC" w:rsidRDefault="009022FC" w:rsidP="00902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obj_lencomp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5B50C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-154969.8466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F4D0D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-153243.124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BAE56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-1.11</w:t>
            </w:r>
          </w:p>
        </w:tc>
      </w:tr>
      <w:tr w:rsidR="009022FC" w:rsidRPr="009022FC" w14:paraId="7360834B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9C0D5" w14:textId="77777777" w:rsidR="009022FC" w:rsidRPr="009022FC" w:rsidRDefault="009022FC" w:rsidP="00902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obj_wtcomp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7788D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-610342.221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8BCE0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-609810.819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29665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-0.09</w:t>
            </w:r>
          </w:p>
        </w:tc>
      </w:tr>
      <w:tr w:rsidR="009022FC" w:rsidRPr="009022FC" w14:paraId="7222292A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9D5F2" w14:textId="77777777" w:rsidR="009022FC" w:rsidRPr="009022FC" w:rsidRDefault="009022FC" w:rsidP="00902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obj_tagdata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18EF1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13216.668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567DA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14515.258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DE7CA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9.83</w:t>
            </w:r>
          </w:p>
        </w:tc>
      </w:tr>
      <w:tr w:rsidR="009022FC" w:rsidRPr="009022FC" w14:paraId="42658856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228F8" w14:textId="77777777" w:rsidR="009022FC" w:rsidRPr="009022FC" w:rsidRDefault="009022FC" w:rsidP="00902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obj_agelngdata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A7D8C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2480.536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F3A54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2448.515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D7384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-1.29</w:t>
            </w:r>
          </w:p>
        </w:tc>
      </w:tr>
      <w:tr w:rsidR="009022FC" w:rsidRPr="009022FC" w14:paraId="2359148D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C2EF9" w14:textId="77777777" w:rsidR="009022FC" w:rsidRPr="009022FC" w:rsidRDefault="009022FC" w:rsidP="00902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obj_cpue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2D73B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-1157.205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7C4EE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1872.950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AB7C7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-261.85</w:t>
            </w:r>
          </w:p>
        </w:tc>
      </w:tr>
      <w:tr w:rsidR="009022FC" w:rsidRPr="009022FC" w14:paraId="0CCB6443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35443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Obj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45C45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-750515.788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472F3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-744076.435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A8A60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-0.86</w:t>
            </w:r>
          </w:p>
        </w:tc>
      </w:tr>
      <w:tr w:rsidR="009022FC" w:rsidRPr="009022FC" w14:paraId="4A43171B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2260B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No. parameters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A6DAE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1901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E8573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2736E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-76.59</w:t>
            </w:r>
          </w:p>
        </w:tc>
      </w:tr>
      <w:tr w:rsidR="009022FC" w:rsidRPr="009022FC" w14:paraId="089E4DE7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A3FFA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gradient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51323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0.0119610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C2432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0.0007190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55D06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-93.99</w:t>
            </w:r>
          </w:p>
        </w:tc>
      </w:tr>
      <w:tr w:rsidR="009022FC" w:rsidRPr="009022FC" w14:paraId="02BA81F9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F5C87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Lmin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D8E10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19.800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FBD00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19.800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283E3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  <w:tr w:rsidR="009022FC" w:rsidRPr="009022FC" w14:paraId="6516FDD6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8CD27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Lmax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324A3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141.958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17F66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141.319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1B08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-0.45</w:t>
            </w:r>
          </w:p>
        </w:tc>
      </w:tr>
      <w:tr w:rsidR="009022FC" w:rsidRPr="009022FC" w14:paraId="45789342" w14:textId="77777777" w:rsidTr="009022FC">
        <w:trPr>
          <w:trHeight w:val="315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4E537" w14:textId="77777777" w:rsidR="009022FC" w:rsidRPr="009022FC" w:rsidRDefault="009022FC" w:rsidP="009022F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22FC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A4D17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0.132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4A98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65786" w14:textId="77777777" w:rsidR="009022FC" w:rsidRPr="009022FC" w:rsidRDefault="009022FC" w:rsidP="00902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22FC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</w:tr>
    </w:tbl>
    <w:p w14:paraId="3D35C2F7" w14:textId="77777777" w:rsidR="009022FC" w:rsidRDefault="009022FC" w:rsidP="00172B71"/>
    <w:p w14:paraId="5E1069A5" w14:textId="77777777" w:rsidR="009022FC" w:rsidRDefault="009022FC" w:rsidP="00172B71"/>
    <w:p w14:paraId="5C2455A7" w14:textId="77777777" w:rsidR="009022FC" w:rsidRDefault="009022FC" w:rsidP="00172B71"/>
    <w:p w14:paraId="3BD6D36C" w14:textId="77777777" w:rsidR="007B3E30" w:rsidRDefault="007B3E30" w:rsidP="00172B71"/>
    <w:p w14:paraId="46F733FA" w14:textId="77777777" w:rsidR="007B3E30" w:rsidRDefault="007B3E30" w:rsidP="00172B71"/>
    <w:p w14:paraId="3CF97E50" w14:textId="369B3ED3" w:rsidR="007B3E30" w:rsidRDefault="007B3E30" w:rsidP="007B3E30">
      <w:pPr>
        <w:jc w:val="center"/>
      </w:pPr>
      <w:r>
        <w:rPr>
          <w:noProof/>
        </w:rPr>
        <w:lastRenderedPageBreak/>
        <w:drawing>
          <wp:inline distT="0" distB="0" distL="0" distR="0" wp14:anchorId="7CC5F1FA" wp14:editId="7566F9E0">
            <wp:extent cx="3398808" cy="3398808"/>
            <wp:effectExtent l="0" t="0" r="0" b="0"/>
            <wp:docPr id="97575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55801" name="Picture 9757558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619" cy="341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835B" w14:textId="5E29DCB8" w:rsidR="007B3E30" w:rsidRPr="007B3E30" w:rsidRDefault="007B3E30" w:rsidP="00172B71">
      <w:pPr>
        <w:rPr>
          <w:b/>
          <w:bCs/>
        </w:rPr>
      </w:pPr>
      <w:r>
        <w:rPr>
          <w:b/>
          <w:bCs/>
        </w:rPr>
        <w:t xml:space="preserve">Figure 1. Comparison of adult biomass between </w:t>
      </w:r>
      <w:r w:rsidRPr="007B3E30">
        <w:rPr>
          <w:b/>
          <w:bCs/>
        </w:rPr>
        <w:t>the multi-region (</w:t>
      </w:r>
      <w:proofErr w:type="spellStart"/>
      <w:r w:rsidRPr="007B3E30">
        <w:rPr>
          <w:b/>
          <w:bCs/>
        </w:rPr>
        <w:t>mult_regs</w:t>
      </w:r>
      <w:proofErr w:type="spellEnd"/>
      <w:r w:rsidRPr="007B3E30">
        <w:rPr>
          <w:b/>
          <w:bCs/>
        </w:rPr>
        <w:t>) and single-region (</w:t>
      </w:r>
      <w:proofErr w:type="spellStart"/>
      <w:r w:rsidRPr="007B3E30">
        <w:rPr>
          <w:b/>
          <w:bCs/>
        </w:rPr>
        <w:t>sngl_reg</w:t>
      </w:r>
      <w:proofErr w:type="spellEnd"/>
      <w:r w:rsidRPr="007B3E30">
        <w:rPr>
          <w:b/>
          <w:bCs/>
        </w:rPr>
        <w:t>) models</w:t>
      </w:r>
      <w:r>
        <w:rPr>
          <w:b/>
          <w:bCs/>
        </w:rPr>
        <w:t xml:space="preserve">. </w:t>
      </w:r>
    </w:p>
    <w:p w14:paraId="02C3E38F" w14:textId="5ACB92E9" w:rsidR="007B3E30" w:rsidRDefault="007B3E30" w:rsidP="007B3E30">
      <w:pPr>
        <w:jc w:val="center"/>
      </w:pPr>
      <w:r>
        <w:rPr>
          <w:noProof/>
        </w:rPr>
        <w:drawing>
          <wp:inline distT="0" distB="0" distL="0" distR="0" wp14:anchorId="4ECFC917" wp14:editId="206C72CE">
            <wp:extent cx="3562709" cy="3562709"/>
            <wp:effectExtent l="0" t="0" r="0" b="0"/>
            <wp:docPr id="250737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37068" name="Picture 2507370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887" cy="357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CEF9" w14:textId="656E994A" w:rsidR="007B3E30" w:rsidRPr="007B3E30" w:rsidRDefault="007B3E30" w:rsidP="007B3E30">
      <w:pPr>
        <w:rPr>
          <w:b/>
          <w:bCs/>
        </w:rPr>
      </w:pPr>
      <w:r>
        <w:rPr>
          <w:b/>
          <w:bCs/>
        </w:rPr>
        <w:t xml:space="preserve">Figure </w:t>
      </w:r>
      <w:r>
        <w:rPr>
          <w:b/>
          <w:bCs/>
        </w:rPr>
        <w:t>2</w:t>
      </w:r>
      <w:r>
        <w:rPr>
          <w:b/>
          <w:bCs/>
        </w:rPr>
        <w:t xml:space="preserve">. Comparison of adult biomass </w:t>
      </w:r>
      <w:r w:rsidR="004D2B32">
        <w:rPr>
          <w:b/>
          <w:bCs/>
        </w:rPr>
        <w:t xml:space="preserve">depletion </w:t>
      </w:r>
      <w:r>
        <w:rPr>
          <w:b/>
          <w:bCs/>
        </w:rPr>
        <w:t xml:space="preserve">between </w:t>
      </w:r>
      <w:r w:rsidRPr="007B3E30">
        <w:rPr>
          <w:b/>
          <w:bCs/>
        </w:rPr>
        <w:t>the multi-region (</w:t>
      </w:r>
      <w:proofErr w:type="spellStart"/>
      <w:r w:rsidRPr="007B3E30">
        <w:rPr>
          <w:b/>
          <w:bCs/>
        </w:rPr>
        <w:t>mult_regs</w:t>
      </w:r>
      <w:proofErr w:type="spellEnd"/>
      <w:r w:rsidRPr="007B3E30">
        <w:rPr>
          <w:b/>
          <w:bCs/>
        </w:rPr>
        <w:t>) and single-region (</w:t>
      </w:r>
      <w:proofErr w:type="spellStart"/>
      <w:r w:rsidRPr="007B3E30">
        <w:rPr>
          <w:b/>
          <w:bCs/>
        </w:rPr>
        <w:t>sngl_reg</w:t>
      </w:r>
      <w:proofErr w:type="spellEnd"/>
      <w:r w:rsidRPr="007B3E30">
        <w:rPr>
          <w:b/>
          <w:bCs/>
        </w:rPr>
        <w:t>) models</w:t>
      </w:r>
      <w:r>
        <w:rPr>
          <w:b/>
          <w:bCs/>
        </w:rPr>
        <w:t xml:space="preserve">. </w:t>
      </w:r>
    </w:p>
    <w:p w14:paraId="5C29CE61" w14:textId="155426CC" w:rsidR="007B3E30" w:rsidRDefault="004D2B32" w:rsidP="004D2B32">
      <w:pPr>
        <w:jc w:val="center"/>
      </w:pPr>
      <w:r>
        <w:rPr>
          <w:noProof/>
        </w:rPr>
        <w:lastRenderedPageBreak/>
        <w:drawing>
          <wp:inline distT="0" distB="0" distL="0" distR="0" wp14:anchorId="5861245E" wp14:editId="7E56A43D">
            <wp:extent cx="3467819" cy="3467819"/>
            <wp:effectExtent l="0" t="0" r="0" b="0"/>
            <wp:docPr id="965528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28571" name="Picture 9655285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575" cy="3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42BC" w14:textId="6C78918A" w:rsidR="009022FC" w:rsidRDefault="004D2B32" w:rsidP="00172B71">
      <w:r>
        <w:rPr>
          <w:b/>
          <w:bCs/>
        </w:rPr>
        <w:t xml:space="preserve">Figure </w:t>
      </w:r>
      <w:r>
        <w:rPr>
          <w:b/>
          <w:bCs/>
        </w:rPr>
        <w:t>3</w:t>
      </w:r>
      <w:r>
        <w:rPr>
          <w:b/>
          <w:bCs/>
        </w:rPr>
        <w:t xml:space="preserve">. Comparison of </w:t>
      </w:r>
      <w:r>
        <w:rPr>
          <w:b/>
          <w:bCs/>
        </w:rPr>
        <w:t>estimated absolute recruitment</w:t>
      </w:r>
      <w:r>
        <w:rPr>
          <w:b/>
          <w:bCs/>
        </w:rPr>
        <w:t xml:space="preserve"> between </w:t>
      </w:r>
      <w:r w:rsidRPr="007B3E30">
        <w:rPr>
          <w:b/>
          <w:bCs/>
        </w:rPr>
        <w:t>the multi-region (</w:t>
      </w:r>
      <w:proofErr w:type="spellStart"/>
      <w:r w:rsidRPr="007B3E30">
        <w:rPr>
          <w:b/>
          <w:bCs/>
        </w:rPr>
        <w:t>mult_regs</w:t>
      </w:r>
      <w:proofErr w:type="spellEnd"/>
      <w:r w:rsidRPr="007B3E30">
        <w:rPr>
          <w:b/>
          <w:bCs/>
        </w:rPr>
        <w:t>) and single-region (</w:t>
      </w:r>
      <w:proofErr w:type="spellStart"/>
      <w:r w:rsidRPr="007B3E30">
        <w:rPr>
          <w:b/>
          <w:bCs/>
        </w:rPr>
        <w:t>sngl_reg</w:t>
      </w:r>
      <w:proofErr w:type="spellEnd"/>
      <w:r w:rsidRPr="007B3E30">
        <w:rPr>
          <w:b/>
          <w:bCs/>
        </w:rPr>
        <w:t>) models</w:t>
      </w:r>
      <w:r>
        <w:rPr>
          <w:b/>
          <w:bCs/>
        </w:rPr>
        <w:t>.</w:t>
      </w:r>
    </w:p>
    <w:p w14:paraId="5D9C77D5" w14:textId="532B80A0" w:rsidR="007B3E30" w:rsidRDefault="004D2B32" w:rsidP="004D2B32">
      <w:pPr>
        <w:jc w:val="center"/>
      </w:pPr>
      <w:r>
        <w:rPr>
          <w:noProof/>
        </w:rPr>
        <w:drawing>
          <wp:inline distT="0" distB="0" distL="0" distR="0" wp14:anchorId="46F2626D" wp14:editId="543D02D0">
            <wp:extent cx="3476445" cy="3476445"/>
            <wp:effectExtent l="0" t="0" r="0" b="0"/>
            <wp:docPr id="228437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37884" name="Picture 2284378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714" cy="348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3D50" w14:textId="55DE8DE5" w:rsidR="007B3E30" w:rsidRDefault="004D2B32" w:rsidP="00172B71">
      <w:pPr>
        <w:rPr>
          <w:b/>
          <w:bCs/>
        </w:rPr>
      </w:pPr>
      <w:r>
        <w:rPr>
          <w:b/>
          <w:bCs/>
        </w:rPr>
        <w:t xml:space="preserve">Figure </w:t>
      </w:r>
      <w:r>
        <w:rPr>
          <w:b/>
          <w:bCs/>
        </w:rPr>
        <w:t>4</w:t>
      </w:r>
      <w:r>
        <w:rPr>
          <w:b/>
          <w:bCs/>
        </w:rPr>
        <w:t xml:space="preserve">. Comparison of estimated </w:t>
      </w:r>
      <w:r>
        <w:rPr>
          <w:b/>
          <w:bCs/>
        </w:rPr>
        <w:t xml:space="preserve">von </w:t>
      </w:r>
      <w:proofErr w:type="spellStart"/>
      <w:r>
        <w:rPr>
          <w:b/>
          <w:bCs/>
        </w:rPr>
        <w:t>Bertalanffy</w:t>
      </w:r>
      <w:proofErr w:type="spellEnd"/>
      <w:r>
        <w:rPr>
          <w:b/>
          <w:bCs/>
        </w:rPr>
        <w:t xml:space="preserve"> growth</w:t>
      </w:r>
      <w:r>
        <w:rPr>
          <w:b/>
          <w:bCs/>
        </w:rPr>
        <w:t xml:space="preserve"> between </w:t>
      </w:r>
      <w:r w:rsidRPr="007B3E30">
        <w:rPr>
          <w:b/>
          <w:bCs/>
        </w:rPr>
        <w:t>the multi-region (</w:t>
      </w:r>
      <w:proofErr w:type="spellStart"/>
      <w:r w:rsidRPr="007B3E30">
        <w:rPr>
          <w:b/>
          <w:bCs/>
        </w:rPr>
        <w:t>mult_regs</w:t>
      </w:r>
      <w:proofErr w:type="spellEnd"/>
      <w:r w:rsidRPr="007B3E30">
        <w:rPr>
          <w:b/>
          <w:bCs/>
        </w:rPr>
        <w:t>) and single-region (</w:t>
      </w:r>
      <w:proofErr w:type="spellStart"/>
      <w:r w:rsidRPr="007B3E30">
        <w:rPr>
          <w:b/>
          <w:bCs/>
        </w:rPr>
        <w:t>sngl_reg</w:t>
      </w:r>
      <w:proofErr w:type="spellEnd"/>
      <w:r w:rsidRPr="007B3E30">
        <w:rPr>
          <w:b/>
          <w:bCs/>
        </w:rPr>
        <w:t>) models</w:t>
      </w:r>
      <w:r>
        <w:rPr>
          <w:b/>
          <w:bCs/>
        </w:rPr>
        <w:t>.</w:t>
      </w:r>
    </w:p>
    <w:p w14:paraId="521458D0" w14:textId="77777777" w:rsidR="00946A6A" w:rsidRDefault="00946A6A" w:rsidP="00172B71">
      <w:pPr>
        <w:rPr>
          <w:b/>
          <w:bCs/>
        </w:rPr>
      </w:pPr>
    </w:p>
    <w:p w14:paraId="222DC591" w14:textId="5F551018" w:rsidR="00946A6A" w:rsidRDefault="00946A6A" w:rsidP="00172B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5752D1" wp14:editId="306E3C8B">
            <wp:extent cx="5943600" cy="5943600"/>
            <wp:effectExtent l="0" t="0" r="0" b="0"/>
            <wp:docPr id="1423192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92849" name="Picture 14231928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3548" w14:textId="2EAE4EA3" w:rsidR="00946A6A" w:rsidRDefault="00946A6A" w:rsidP="00946A6A">
      <w:pPr>
        <w:rPr>
          <w:b/>
          <w:bCs/>
        </w:rPr>
      </w:pPr>
      <w:r>
        <w:rPr>
          <w:b/>
          <w:bCs/>
        </w:rPr>
        <w:t xml:space="preserve">Figure </w:t>
      </w:r>
      <w:r>
        <w:rPr>
          <w:b/>
          <w:bCs/>
        </w:rPr>
        <w:t>5</w:t>
      </w:r>
      <w:r>
        <w:rPr>
          <w:b/>
          <w:bCs/>
        </w:rPr>
        <w:t xml:space="preserve">. Comparison of estimated </w:t>
      </w:r>
      <w:r>
        <w:rPr>
          <w:b/>
          <w:bCs/>
        </w:rPr>
        <w:t>selectivity-at-age</w:t>
      </w:r>
      <w:r>
        <w:rPr>
          <w:b/>
          <w:bCs/>
        </w:rPr>
        <w:t xml:space="preserve"> between </w:t>
      </w:r>
      <w:r w:rsidRPr="007B3E30">
        <w:rPr>
          <w:b/>
          <w:bCs/>
        </w:rPr>
        <w:t>the multi-region (</w:t>
      </w:r>
      <w:proofErr w:type="spellStart"/>
      <w:r w:rsidRPr="007B3E30">
        <w:rPr>
          <w:b/>
          <w:bCs/>
        </w:rPr>
        <w:t>mult_regs</w:t>
      </w:r>
      <w:proofErr w:type="spellEnd"/>
      <w:r w:rsidRPr="007B3E30">
        <w:rPr>
          <w:b/>
          <w:bCs/>
        </w:rPr>
        <w:t>) and single-region (</w:t>
      </w:r>
      <w:proofErr w:type="spellStart"/>
      <w:r w:rsidRPr="007B3E30">
        <w:rPr>
          <w:b/>
          <w:bCs/>
        </w:rPr>
        <w:t>sngl_reg</w:t>
      </w:r>
      <w:proofErr w:type="spellEnd"/>
      <w:r w:rsidRPr="007B3E30">
        <w:rPr>
          <w:b/>
          <w:bCs/>
        </w:rPr>
        <w:t>) models</w:t>
      </w:r>
      <w:r>
        <w:rPr>
          <w:b/>
          <w:bCs/>
        </w:rPr>
        <w:t>.</w:t>
      </w:r>
    </w:p>
    <w:p w14:paraId="2F9C7D95" w14:textId="77777777" w:rsidR="00946A6A" w:rsidRDefault="00946A6A" w:rsidP="00172B71">
      <w:pPr>
        <w:rPr>
          <w:b/>
          <w:bCs/>
        </w:rPr>
      </w:pPr>
    </w:p>
    <w:p w14:paraId="58DAA749" w14:textId="77777777" w:rsidR="00946A6A" w:rsidRDefault="00946A6A" w:rsidP="00172B71"/>
    <w:sectPr w:rsidR="0094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A6076"/>
    <w:multiLevelType w:val="hybridMultilevel"/>
    <w:tmpl w:val="CC4E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16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25"/>
    <w:rsid w:val="00095E24"/>
    <w:rsid w:val="000E17EC"/>
    <w:rsid w:val="000F6996"/>
    <w:rsid w:val="00111247"/>
    <w:rsid w:val="00163C54"/>
    <w:rsid w:val="00172B71"/>
    <w:rsid w:val="00183DE2"/>
    <w:rsid w:val="001A6C12"/>
    <w:rsid w:val="001C3441"/>
    <w:rsid w:val="00220D35"/>
    <w:rsid w:val="002D4A84"/>
    <w:rsid w:val="00316F25"/>
    <w:rsid w:val="00345940"/>
    <w:rsid w:val="0037571D"/>
    <w:rsid w:val="00397075"/>
    <w:rsid w:val="003B0379"/>
    <w:rsid w:val="003E32A2"/>
    <w:rsid w:val="00400A17"/>
    <w:rsid w:val="00424A6E"/>
    <w:rsid w:val="004812C3"/>
    <w:rsid w:val="004D2B32"/>
    <w:rsid w:val="004D48E1"/>
    <w:rsid w:val="004E7EB8"/>
    <w:rsid w:val="005237F9"/>
    <w:rsid w:val="0055071F"/>
    <w:rsid w:val="005A7C9A"/>
    <w:rsid w:val="00683A09"/>
    <w:rsid w:val="006C6B28"/>
    <w:rsid w:val="006F68EC"/>
    <w:rsid w:val="0073763C"/>
    <w:rsid w:val="00743E42"/>
    <w:rsid w:val="007645F0"/>
    <w:rsid w:val="007973E6"/>
    <w:rsid w:val="007B3E30"/>
    <w:rsid w:val="007B42E3"/>
    <w:rsid w:val="007B5D68"/>
    <w:rsid w:val="007F7775"/>
    <w:rsid w:val="00804336"/>
    <w:rsid w:val="008070C7"/>
    <w:rsid w:val="008424D0"/>
    <w:rsid w:val="00843D4D"/>
    <w:rsid w:val="008851F8"/>
    <w:rsid w:val="008A5D08"/>
    <w:rsid w:val="008D7F7E"/>
    <w:rsid w:val="009022FC"/>
    <w:rsid w:val="009178F3"/>
    <w:rsid w:val="00946A6A"/>
    <w:rsid w:val="00963212"/>
    <w:rsid w:val="00985AC6"/>
    <w:rsid w:val="009D27E3"/>
    <w:rsid w:val="009D4023"/>
    <w:rsid w:val="009D5C5A"/>
    <w:rsid w:val="00A57213"/>
    <w:rsid w:val="00A83295"/>
    <w:rsid w:val="00A902F4"/>
    <w:rsid w:val="00AA62E9"/>
    <w:rsid w:val="00B32712"/>
    <w:rsid w:val="00B44236"/>
    <w:rsid w:val="00B5143B"/>
    <w:rsid w:val="00B72D26"/>
    <w:rsid w:val="00BB41E3"/>
    <w:rsid w:val="00C81DB4"/>
    <w:rsid w:val="00CA686F"/>
    <w:rsid w:val="00CE2952"/>
    <w:rsid w:val="00D34D24"/>
    <w:rsid w:val="00D431E4"/>
    <w:rsid w:val="00D5401A"/>
    <w:rsid w:val="00D6704D"/>
    <w:rsid w:val="00D70B84"/>
    <w:rsid w:val="00DA6BC9"/>
    <w:rsid w:val="00DA7CDF"/>
    <w:rsid w:val="00DC69C6"/>
    <w:rsid w:val="00DC7FF8"/>
    <w:rsid w:val="00E15AB6"/>
    <w:rsid w:val="00E45262"/>
    <w:rsid w:val="00E549CF"/>
    <w:rsid w:val="00F546FC"/>
    <w:rsid w:val="00FC03F1"/>
    <w:rsid w:val="00F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EEB2"/>
  <w15:chartTrackingRefBased/>
  <w15:docId w15:val="{EDAD5CB0-46A2-43FF-8D4E-00BECB60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16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F2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424D0"/>
    <w:rPr>
      <w:color w:val="666666"/>
    </w:rPr>
  </w:style>
  <w:style w:type="table" w:styleId="TableGrid">
    <w:name w:val="Table Grid"/>
    <w:basedOn w:val="TableNormal"/>
    <w:uiPriority w:val="39"/>
    <w:rsid w:val="006C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Davies</dc:creator>
  <cp:keywords/>
  <dc:description/>
  <cp:lastModifiedBy>Nick Davies</cp:lastModifiedBy>
  <cp:revision>48</cp:revision>
  <dcterms:created xsi:type="dcterms:W3CDTF">2025-03-04T22:51:00Z</dcterms:created>
  <dcterms:modified xsi:type="dcterms:W3CDTF">2025-06-02T00:22:00Z</dcterms:modified>
</cp:coreProperties>
</file>