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ubprocessor-list"/>
    <w:p>
      <w:pPr>
        <w:pStyle w:val="Heading1"/>
      </w:pPr>
      <w:r>
        <w:t xml:space="preserve">Subprocessor List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Document Classification:</w:t>
      </w:r>
      <w:r>
        <w:t xml:space="preserve"> </w:t>
      </w:r>
      <w:r>
        <w:t xml:space="preserve">Public</w:t>
      </w:r>
      <w:r>
        <w:t xml:space="preserve"> </w:t>
      </w:r>
      <w:r>
        <w:rPr>
          <w:b/>
          <w:bCs/>
        </w:rPr>
        <w:t xml:space="preserve">Effective Date:</w:t>
      </w:r>
      <w:r>
        <w:t xml:space="preserve"> </w:t>
      </w:r>
      <w:r>
        <w:t xml:space="preserve">February 26, 2026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February 26, 2026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privacy@paciolus.com</w:t>
      </w:r>
      <w:r>
        <w:t xml:space="preserve"> </w:t>
      </w:r>
      <w:r>
        <w:rPr>
          <w:b/>
          <w:bCs/>
        </w:rPr>
        <w:t xml:space="preserve">Review Cycle:</w:t>
      </w:r>
      <w:r>
        <w:t xml:space="preserve"> </w:t>
      </w:r>
      <w:r>
        <w:t xml:space="preserve">Quarterly</w:t>
      </w:r>
      <w:r>
        <w:t xml:space="preserve"> </w:t>
      </w:r>
      <w:r>
        <w:rPr>
          <w:b/>
          <w:bCs/>
        </w:rPr>
        <w:t xml:space="preserve">Next Review:</w:t>
      </w:r>
      <w:r>
        <w:t xml:space="preserve"> </w:t>
      </w:r>
      <w:r>
        <w:t xml:space="preserve">May 26, 2026</w:t>
      </w:r>
    </w:p>
    <w:p>
      <w:r>
        <w:pict>
          <v:rect style="width:0;height:1.5pt" o:hralign="center" o:hrstd="t" o:hr="t"/>
        </w:pict>
      </w:r>
    </w:p>
    <w:bookmarkStart w:id="1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lists all third-party subprocessors engaged by Paciolus, Inc. (</w:t>
      </w:r>
      <w:r>
        <w:t xml:space="preserve">“Paciolus”</w:t>
      </w:r>
      <w:r>
        <w:t xml:space="preserve">) to process personal data on behalf of Customers, as referenced in the</w:t>
      </w:r>
      <w:r>
        <w:t xml:space="preserve"> </w:t>
      </w:r>
      <w:hyperlink r:id="rId9">
        <w:r>
          <w:rPr>
            <w:rStyle w:val="Hyperlink"/>
          </w:rPr>
          <w:t xml:space="preserve">Data Processing Addendum</w:t>
        </w:r>
      </w:hyperlink>
      <w:r>
        <w:t xml:space="preserve"> </w:t>
      </w:r>
      <w:r>
        <w:t xml:space="preserve">Section 6.</w:t>
      </w:r>
    </w:p>
    <w:p>
      <w:pPr>
        <w:pStyle w:val="BodyText"/>
      </w:pPr>
      <w:r>
        <w:t xml:space="preserve">Paciolus will notify Customers at least</w:t>
      </w:r>
      <w:r>
        <w:t xml:space="preserve"> </w:t>
      </w:r>
      <w:r>
        <w:rPr>
          <w:b/>
          <w:bCs/>
        </w:rPr>
        <w:t xml:space="preserve">30 days</w:t>
      </w:r>
      <w:r>
        <w:t xml:space="preserve"> </w:t>
      </w:r>
      <w:r>
        <w:t xml:space="preserve">before adding or replacing a subprocessor. Customers may subscribe to change notifications by contacting privacy@paciolus.com.</w:t>
      </w:r>
    </w:p>
    <w:p>
      <w:r>
        <w:pict>
          <v:rect style="width:0;height:1.5pt" o:hralign="center" o:hrstd="t" o:hr="t"/>
        </w:pict>
      </w:r>
    </w:p>
    <w:bookmarkEnd w:id="10"/>
    <w:bookmarkStart w:id="11" w:name="active-subprocessors"/>
    <w:p>
      <w:pPr>
        <w:pStyle w:val="Heading2"/>
      </w:pPr>
      <w:r>
        <w:t xml:space="preserve">Active Subprocessors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82"/>
        <w:gridCol w:w="990"/>
        <w:gridCol w:w="1514"/>
        <w:gridCol w:w="931"/>
        <w:gridCol w:w="1106"/>
        <w:gridCol w:w="1397"/>
        <w:gridCol w:w="698"/>
        <w:gridCol w:w="6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Service Function</w:t>
            </w:r>
          </w:p>
        </w:tc>
        <w:tc>
          <w:tcPr/>
          <w:p>
            <w:pPr>
              <w:pStyle w:val="Compact"/>
            </w:pPr>
            <w:r>
              <w:t xml:space="preserve">Data Categories Processed</w:t>
            </w:r>
          </w:p>
        </w:tc>
        <w:tc>
          <w:tcPr/>
          <w:p>
            <w:pPr>
              <w:pStyle w:val="Compact"/>
            </w:pPr>
            <w:r>
              <w:t xml:space="preserve">Hosting Region</w:t>
            </w:r>
          </w:p>
        </w:tc>
        <w:tc>
          <w:tcPr/>
          <w:p>
            <w:pPr>
              <w:pStyle w:val="Compact"/>
            </w:pPr>
            <w:r>
              <w:t xml:space="preserve">Transfer Mechanism</w:t>
            </w:r>
          </w:p>
        </w:tc>
        <w:tc>
          <w:tcPr/>
          <w:p>
            <w:pPr>
              <w:pStyle w:val="Compact"/>
            </w:pPr>
            <w:r>
              <w:t xml:space="preserve">Security Certifications</w:t>
            </w:r>
          </w:p>
        </w:tc>
        <w:tc>
          <w:tcPr/>
          <w:p>
            <w:pPr>
              <w:pStyle w:val="Compact"/>
            </w:pPr>
            <w:r>
              <w:t xml:space="preserve">DPA Status</w:t>
            </w:r>
          </w:p>
        </w:tc>
        <w:tc>
          <w:tcPr/>
          <w:p>
            <w:pPr>
              <w:pStyle w:val="Compact"/>
            </w:pPr>
            <w:r>
              <w:t xml:space="preserve">Date Added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</w:t>
            </w:r>
          </w:p>
        </w:tc>
        <w:tc>
          <w:tcPr/>
          <w:p>
            <w:pPr>
              <w:pStyle w:val="Compact"/>
            </w:pPr>
            <w:r>
              <w:t xml:space="preserve">Backend API hosting, managed PostgreSQL database</w:t>
            </w:r>
          </w:p>
        </w:tc>
        <w:tc>
          <w:tcPr/>
          <w:p>
            <w:pPr>
              <w:pStyle w:val="Compact"/>
            </w:pPr>
            <w:r>
              <w:t xml:space="preserve">User credentials (encrypted), client metadata, diagnostic metadata (aggregates), engagement metadata, activity logs</w:t>
            </w:r>
          </w:p>
        </w:tc>
        <w:tc>
          <w:tcPr/>
          <w:p>
            <w:pPr>
              <w:pStyle w:val="Compact"/>
            </w:pPr>
            <w:r>
              <w:t xml:space="preserve">United States (Oregon)</w:t>
            </w:r>
          </w:p>
        </w:tc>
        <w:tc>
          <w:tcPr/>
          <w:p>
            <w:pPr>
              <w:pStyle w:val="Compact"/>
            </w:pPr>
            <w:r>
              <w:t xml:space="preserve">EU-US DPF / SCCs</w:t>
            </w:r>
          </w:p>
        </w:tc>
        <w:tc>
          <w:tcPr/>
          <w:p>
            <w:pPr>
              <w:pStyle w:val="Compact"/>
            </w:pPr>
            <w:r>
              <w:t xml:space="preserve">SOC 2 Type II</w:t>
            </w:r>
          </w:p>
        </w:tc>
        <w:tc>
          <w:tcPr/>
          <w:p>
            <w:pPr>
              <w:pStyle w:val="Compact"/>
            </w:pPr>
            <w:r>
              <w:t xml:space="preserve">Signed</w:t>
            </w:r>
          </w:p>
        </w:tc>
        <w:tc>
          <w:tcPr/>
          <w:p>
            <w:pPr>
              <w:pStyle w:val="Compact"/>
            </w:pPr>
            <w:r>
              <w:t xml:space="preserve">2025-01-01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Frontend hosting, CDN, static asset delivery</w:t>
            </w:r>
          </w:p>
        </w:tc>
        <w:tc>
          <w:tcPr/>
          <w:p>
            <w:pPr>
              <w:pStyle w:val="Compact"/>
            </w:pPr>
            <w:r>
              <w:t xml:space="preserve">None (static files only; no personal data processed)</w:t>
            </w:r>
          </w:p>
        </w:tc>
        <w:tc>
          <w:tcPr/>
          <w:p>
            <w:pPr>
              <w:pStyle w:val="Compact"/>
            </w:pPr>
            <w:r>
              <w:t xml:space="preserve">United States / Global CDN</w:t>
            </w:r>
          </w:p>
        </w:tc>
        <w:tc>
          <w:tcPr/>
          <w:p>
            <w:pPr>
              <w:pStyle w:val="Compact"/>
            </w:pPr>
            <w:r>
              <w:t xml:space="preserve">EU-US DPF / SCCs</w:t>
            </w:r>
          </w:p>
        </w:tc>
        <w:tc>
          <w:tcPr/>
          <w:p>
            <w:pPr>
              <w:pStyle w:val="Compact"/>
            </w:pPr>
            <w:r>
              <w:t xml:space="preserve">SOC 2 Type II, ISO 27001</w:t>
            </w:r>
          </w:p>
        </w:tc>
        <w:tc>
          <w:tcPr/>
          <w:p>
            <w:pPr>
              <w:pStyle w:val="Compact"/>
            </w:pPr>
            <w:r>
              <w:t xml:space="preserve">Signed</w:t>
            </w:r>
          </w:p>
        </w:tc>
        <w:tc>
          <w:tcPr/>
          <w:p>
            <w:pPr>
              <w:pStyle w:val="Compact"/>
            </w:pPr>
            <w:r>
              <w:t xml:space="preserve">2025-01-01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Stripe</w:t>
            </w:r>
          </w:p>
        </w:tc>
        <w:tc>
          <w:tcPr/>
          <w:p>
            <w:pPr>
              <w:pStyle w:val="Compact"/>
            </w:pPr>
            <w:r>
              <w:t xml:space="preserve">Payment processing, subscription management, billing portal</w:t>
            </w:r>
          </w:p>
        </w:tc>
        <w:tc>
          <w:tcPr/>
          <w:p>
            <w:pPr>
              <w:pStyle w:val="Compact"/>
            </w:pPr>
            <w:r>
              <w:t xml:space="preserve">Email address, billing information (card details handled by Stripe — never touch Paciolus servers)</w:t>
            </w:r>
          </w:p>
        </w:tc>
        <w:tc>
          <w:tcPr/>
          <w:p>
            <w:pPr>
              <w:pStyle w:val="Compact"/>
            </w:pPr>
            <w:r>
              <w:t xml:space="preserve">United States</w:t>
            </w:r>
          </w:p>
        </w:tc>
        <w:tc>
          <w:tcPr/>
          <w:p>
            <w:pPr>
              <w:pStyle w:val="Compact"/>
            </w:pPr>
            <w:r>
              <w:t xml:space="preserve">EU-US DPF / SCCs</w:t>
            </w:r>
          </w:p>
        </w:tc>
        <w:tc>
          <w:tcPr/>
          <w:p>
            <w:pPr>
              <w:pStyle w:val="Compact"/>
            </w:pPr>
            <w:r>
              <w:t xml:space="preserve">PCI DSS Level 1, SOC 2 Type II</w:t>
            </w:r>
          </w:p>
        </w:tc>
        <w:tc>
          <w:tcPr/>
          <w:p>
            <w:pPr>
              <w:pStyle w:val="Compact"/>
            </w:pPr>
            <w:r>
              <w:t xml:space="preserve">Signed</w:t>
            </w:r>
          </w:p>
        </w:tc>
        <w:tc>
          <w:tcPr/>
          <w:p>
            <w:pPr>
              <w:pStyle w:val="Compact"/>
            </w:pPr>
            <w:r>
              <w:t xml:space="preserve">2025-12-01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Sentry</w:t>
            </w:r>
          </w:p>
        </w:tc>
        <w:tc>
          <w:tcPr/>
          <w:p>
            <w:pPr>
              <w:pStyle w:val="Compact"/>
            </w:pPr>
            <w:r>
              <w:t xml:space="preserve">Error tracking, application performance monitoring (APM)</w:t>
            </w:r>
          </w:p>
        </w:tc>
        <w:tc>
          <w:tcPr/>
          <w:p>
            <w:pPr>
              <w:pStyle w:val="Compact"/>
            </w:pPr>
            <w:r>
              <w:t xml:space="preserve">Anonymized user IDs, error messages (sanitized), performance traces (10% sampled). Request bodies stripped by</w:t>
            </w:r>
            <w:r>
              <w:t xml:space="preserve"> </w:t>
            </w:r>
            <w:r>
              <w:rPr>
                <w:rStyle w:val="VerbatimChar"/>
              </w:rPr>
              <w:t xml:space="preserve">before_send</w:t>
            </w:r>
            <w:r>
              <w:t xml:space="preserve"> </w:t>
            </w:r>
            <w:r>
              <w:t xml:space="preserve">hook (Zero-Storage compliant)</w:t>
            </w:r>
          </w:p>
        </w:tc>
        <w:tc>
          <w:tcPr/>
          <w:p>
            <w:pPr>
              <w:pStyle w:val="Compact"/>
            </w:pPr>
            <w:r>
              <w:t xml:space="preserve">United States</w:t>
            </w:r>
          </w:p>
        </w:tc>
        <w:tc>
          <w:tcPr/>
          <w:p>
            <w:pPr>
              <w:pStyle w:val="Compact"/>
            </w:pPr>
            <w:r>
              <w:t xml:space="preserve">EU-US DPF / SCCs</w:t>
            </w:r>
          </w:p>
        </w:tc>
        <w:tc>
          <w:tcPr/>
          <w:p>
            <w:pPr>
              <w:pStyle w:val="Compact"/>
            </w:pPr>
            <w:r>
              <w:t xml:space="preserve">SOC 2 Type II</w:t>
            </w:r>
          </w:p>
        </w:tc>
        <w:tc>
          <w:tcPr/>
          <w:p>
            <w:pPr>
              <w:pStyle w:val="Compact"/>
            </w:pPr>
            <w:r>
              <w:t xml:space="preserve">Signed</w:t>
            </w:r>
          </w:p>
        </w:tc>
        <w:tc>
          <w:tcPr/>
          <w:p>
            <w:pPr>
              <w:pStyle w:val="Compact"/>
            </w:pPr>
            <w:r>
              <w:t xml:space="preserve">2025-06-01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SendGrid</w:t>
            </w:r>
            <w:r>
              <w:t xml:space="preserve"> </w:t>
            </w:r>
            <w:r>
              <w:t xml:space="preserve">(Twilio)</w:t>
            </w:r>
          </w:p>
        </w:tc>
        <w:tc>
          <w:tcPr/>
          <w:p>
            <w:pPr>
              <w:pStyle w:val="Compact"/>
            </w:pPr>
            <w:r>
              <w:t xml:space="preserve">Transactional email delivery</w:t>
            </w:r>
          </w:p>
        </w:tc>
        <w:tc>
          <w:tcPr/>
          <w:p>
            <w:pPr>
              <w:pStyle w:val="Compact"/>
            </w:pPr>
            <w:r>
              <w:t xml:space="preserve">Email addresses, verification tokens (24-hour expiry), user display names</w:t>
            </w:r>
          </w:p>
        </w:tc>
        <w:tc>
          <w:tcPr/>
          <w:p>
            <w:pPr>
              <w:pStyle w:val="Compact"/>
            </w:pPr>
            <w:r>
              <w:t xml:space="preserve">United States</w:t>
            </w:r>
          </w:p>
        </w:tc>
        <w:tc>
          <w:tcPr/>
          <w:p>
            <w:pPr>
              <w:pStyle w:val="Compact"/>
            </w:pPr>
            <w:r>
              <w:t xml:space="preserve">EU-US DPF / SCCs</w:t>
            </w:r>
          </w:p>
        </w:tc>
        <w:tc>
          <w:tcPr/>
          <w:p>
            <w:pPr>
              <w:pStyle w:val="Compact"/>
            </w:pPr>
            <w:r>
              <w:t xml:space="preserve">SOC 2 Type II, ISO 27001</w:t>
            </w:r>
          </w:p>
        </w:tc>
        <w:tc>
          <w:tcPr/>
          <w:p>
            <w:pPr>
              <w:pStyle w:val="Compact"/>
            </w:pPr>
            <w:r>
              <w:t xml:space="preserve">Signed</w:t>
            </w:r>
          </w:p>
        </w:tc>
        <w:tc>
          <w:tcPr/>
          <w:p>
            <w:pPr>
              <w:pStyle w:val="Compact"/>
            </w:pPr>
            <w:r>
              <w:t xml:space="preserve">2025-01-01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data-categories-reference"/>
    <w:p>
      <w:pPr>
        <w:pStyle w:val="Heading2"/>
      </w:pPr>
      <w:r>
        <w:t xml:space="preserve">Data Categories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88"/>
        <w:gridCol w:w="1936"/>
        <w:gridCol w:w="19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Stored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credentials</w:t>
            </w:r>
          </w:p>
        </w:tc>
        <w:tc>
          <w:tcPr/>
          <w:p>
            <w:pPr>
              <w:pStyle w:val="Compact"/>
            </w:pPr>
            <w:r>
              <w:t xml:space="preserve">Email (plaintext), password (bcrypt hash), display name</w:t>
            </w:r>
          </w:p>
        </w:tc>
        <w:tc>
          <w:tcPr/>
          <w:p>
            <w:pPr>
              <w:pStyle w:val="Compact"/>
            </w:pPr>
            <w:r>
              <w:t xml:space="preserve">Account lifetime</w:t>
            </w:r>
          </w:p>
        </w:tc>
        <w:tc>
          <w:tcPr/>
          <w:p>
            <w:pPr>
              <w:pStyle w:val="Compact"/>
            </w:pPr>
            <w:r>
              <w:t xml:space="preserve">Render (PostgreSQL)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 metadata</w:t>
            </w:r>
          </w:p>
        </w:tc>
        <w:tc>
          <w:tcPr/>
          <w:p>
            <w:pPr>
              <w:pStyle w:val="Compact"/>
            </w:pPr>
            <w:r>
              <w:t xml:space="preserve">Client name, industry classification, fiscal year end</w:t>
            </w:r>
          </w:p>
        </w:tc>
        <w:tc>
          <w:tcPr/>
          <w:p>
            <w:pPr>
              <w:pStyle w:val="Compact"/>
            </w:pPr>
            <w:r>
              <w:t xml:space="preserve">Account lifetime</w:t>
            </w:r>
          </w:p>
        </w:tc>
        <w:tc>
          <w:tcPr/>
          <w:p>
            <w:pPr>
              <w:pStyle w:val="Compact"/>
            </w:pPr>
            <w:r>
              <w:t xml:space="preserve">Render (PostgreSQL)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Diagnostic metadata</w:t>
            </w:r>
          </w:p>
        </w:tc>
        <w:tc>
          <w:tcPr/>
          <w:p>
            <w:pPr>
              <w:pStyle w:val="Compact"/>
            </w:pPr>
            <w:r>
              <w:t xml:space="preserve">Aggregate totals, financial ratios, row counts, anomaly counts</w:t>
            </w:r>
          </w:p>
        </w:tc>
        <w:tc>
          <w:tcPr/>
          <w:p>
            <w:pPr>
              <w:pStyle w:val="Compact"/>
            </w:pPr>
            <w:r>
              <w:t xml:space="preserve">365 days</w:t>
            </w:r>
          </w:p>
        </w:tc>
        <w:tc>
          <w:tcPr/>
          <w:p>
            <w:pPr>
              <w:pStyle w:val="Compact"/>
            </w:pPr>
            <w:r>
              <w:t xml:space="preserve">Render (PostgreSQL)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Engagement metadata</w:t>
            </w:r>
          </w:p>
        </w:tc>
        <w:tc>
          <w:tcPr/>
          <w:p>
            <w:pPr>
              <w:pStyle w:val="Compact"/>
            </w:pPr>
            <w:r>
              <w:t xml:space="preserve">Period, status, materiality threshold, follow-up narratives</w:t>
            </w:r>
          </w:p>
        </w:tc>
        <w:tc>
          <w:tcPr/>
          <w:p>
            <w:pPr>
              <w:pStyle w:val="Compact"/>
            </w:pPr>
            <w:r>
              <w:t xml:space="preserve">365 days</w:t>
            </w:r>
          </w:p>
        </w:tc>
        <w:tc>
          <w:tcPr/>
          <w:p>
            <w:pPr>
              <w:pStyle w:val="Compact"/>
            </w:pPr>
            <w:r>
              <w:t xml:space="preserve">Render (PostgreSQL)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Billing information</w:t>
            </w:r>
          </w:p>
        </w:tc>
        <w:tc>
          <w:tcPr/>
          <w:p>
            <w:pPr>
              <w:pStyle w:val="Compact"/>
            </w:pPr>
            <w:r>
              <w:t xml:space="preserve">Stripe customer ID, subscription tier, billing interval</w:t>
            </w:r>
          </w:p>
        </w:tc>
        <w:tc>
          <w:tcPr/>
          <w:p>
            <w:pPr>
              <w:pStyle w:val="Compact"/>
            </w:pPr>
            <w:r>
              <w:t xml:space="preserve">Account lifetime</w:t>
            </w:r>
          </w:p>
        </w:tc>
        <w:tc>
          <w:tcPr/>
          <w:p>
            <w:pPr>
              <w:pStyle w:val="Compact"/>
            </w:pPr>
            <w:r>
              <w:t xml:space="preserve">Render (PostgreSQL) + Stripe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delivery data</w:t>
            </w:r>
          </w:p>
        </w:tc>
        <w:tc>
          <w:tcPr/>
          <w:p>
            <w:pPr>
              <w:pStyle w:val="Compact"/>
            </w:pPr>
            <w:r>
              <w:t xml:space="preserve">Recipient email, delivery status, verification tokens</w:t>
            </w:r>
          </w:p>
        </w:tc>
        <w:tc>
          <w:tcPr/>
          <w:p>
            <w:pPr>
              <w:pStyle w:val="Compact"/>
            </w:pPr>
            <w:r>
              <w:t xml:space="preserve">24 hours (tokens); per SendGrid policy (delivery logs)</w:t>
            </w:r>
          </w:p>
        </w:tc>
        <w:tc>
          <w:tcPr/>
          <w:p>
            <w:pPr>
              <w:pStyle w:val="Compact"/>
            </w:pPr>
            <w:r>
              <w:t xml:space="preserve">SendGrid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telemetry</w:t>
            </w:r>
          </w:p>
        </w:tc>
        <w:tc>
          <w:tcPr/>
          <w:p>
            <w:pPr>
              <w:pStyle w:val="Compact"/>
            </w:pPr>
            <w:r>
              <w:t xml:space="preserve">Anonymized user ID, error context, stack traces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  <w:tc>
          <w:tcPr/>
          <w:p>
            <w:pPr>
              <w:pStyle w:val="Compact"/>
            </w:pPr>
            <w:r>
              <w:t xml:space="preserve">Sentry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Uploaded financial data</w:t>
            </w:r>
          </w:p>
        </w:tc>
        <w:tc>
          <w:tcPr/>
          <w:p>
            <w:pPr>
              <w:pStyle w:val="Compact"/>
            </w:pPr>
            <w:r>
              <w:t xml:space="preserve">Trial balances, ledgers, payment registers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Never stored</w:t>
            </w:r>
            <w:r>
              <w:t xml:space="preserve"> </w:t>
            </w:r>
            <w:r>
              <w:t xml:space="preserve">(in-memory only)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zero-storage-compliance"/>
    <w:p>
      <w:pPr>
        <w:pStyle w:val="Heading2"/>
      </w:pPr>
      <w:r>
        <w:t xml:space="preserve">Zero-Storage Compliance</w:t>
      </w:r>
    </w:p>
    <w:p>
      <w:pPr>
        <w:pStyle w:val="FirstParagraph"/>
      </w:pPr>
      <w:r>
        <w:t xml:space="preserve">All subprocessors operate in compliance with the Paciolus Zero-Storage architecture: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Render / PostgreSQL:</w:t>
      </w:r>
      <w:r>
        <w:t xml:space="preserve"> </w:t>
      </w:r>
      <w:r>
        <w:t xml:space="preserve">Stores only aggregate metadata (row counts, ratio values, category totals). No line-level account names, balances, or transaction details are ever written to the database.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Vercel:</w:t>
      </w:r>
      <w:r>
        <w:t xml:space="preserve"> </w:t>
      </w:r>
      <w:r>
        <w:t xml:space="preserve">Serves static frontend assets only. No personal data is transmitted to or stored by Vercel.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Stripe:</w:t>
      </w:r>
      <w:r>
        <w:t xml:space="preserve"> </w:t>
      </w:r>
      <w:r>
        <w:t xml:space="preserve">Receives only email addresses and billing information. No financial analysis data is shared with Stripe. Credit card details are handled entirely by Stripe’s PCI-compliant infrastructure and never touch Paciolus servers.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Sentry: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before_send</w:t>
      </w:r>
      <w:r>
        <w:t xml:space="preserve"> </w:t>
      </w:r>
      <w:r>
        <w:t xml:space="preserve">hook strips all request body data before transmission.</w:t>
      </w:r>
      <w:r>
        <w:t xml:space="preserve"> </w:t>
      </w:r>
      <w:r>
        <w:rPr>
          <w:rStyle w:val="VerbatimChar"/>
        </w:rPr>
        <w:t xml:space="preserve">send_default_pii=False</w:t>
      </w:r>
      <w:r>
        <w:t xml:space="preserve"> </w:t>
      </w:r>
      <w:r>
        <w:t xml:space="preserve">is enforced. No financial data reaches Sentry.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SendGrid:</w:t>
      </w:r>
      <w:r>
        <w:t xml:space="preserve"> </w:t>
      </w:r>
      <w:r>
        <w:t xml:space="preserve">Receives only email addresses and short-lived verification tokens. No financial data is included in transactional emails.</w:t>
      </w:r>
    </w:p>
    <w:p>
      <w:r>
        <w:pict>
          <v:rect style="width:0;height:1.5pt" o:hralign="center" o:hrstd="t" o:hr="t"/>
        </w:pict>
      </w:r>
    </w:p>
    <w:bookmarkEnd w:id="13"/>
    <w:bookmarkStart w:id="14" w:name="X7eac266b75ad1f44a1da58ef09bfd869543400e"/>
    <w:p>
      <w:pPr>
        <w:pStyle w:val="Heading2"/>
      </w:pPr>
      <w:r>
        <w:t xml:space="preserve">Infrastructure-Only Services (Not Subprocessors)</w:t>
      </w:r>
    </w:p>
    <w:p>
      <w:pPr>
        <w:pStyle w:val="FirstParagraph"/>
      </w:pPr>
      <w:r>
        <w:t xml:space="preserve">The following services are used for infrastructure or operations but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process personal data on behalf of Customers: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2227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Data Exposure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Source code repository, CI/CD pipeline</w:t>
            </w:r>
          </w:p>
        </w:tc>
        <w:tc>
          <w:tcPr/>
          <w:p>
            <w:pPr>
              <w:pStyle w:val="Compact"/>
            </w:pPr>
            <w:r>
              <w:t xml:space="preserve">No customer data (code and configuration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t xml:space="preserve">Self-hosted metrics collection</w:t>
            </w:r>
          </w:p>
        </w:tc>
        <w:tc>
          <w:tcPr/>
          <w:p>
            <w:pPr>
              <w:pStyle w:val="Compact"/>
            </w:pPr>
            <w:r>
              <w:t xml:space="preserve">Aggregated counters only (no PII, no customer data)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Dependabot</w:t>
            </w:r>
          </w:p>
        </w:tc>
        <w:tc>
          <w:tcPr/>
          <w:p>
            <w:pPr>
              <w:pStyle w:val="Compact"/>
            </w:pPr>
            <w:r>
              <w:t xml:space="preserve">Automated dependency security updates</w:t>
            </w:r>
          </w:p>
        </w:tc>
        <w:tc>
          <w:tcPr/>
          <w:p>
            <w:pPr>
              <w:pStyle w:val="Compact"/>
            </w:pPr>
            <w:r>
              <w:t xml:space="preserve">No customer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subprocessor-change-log"/>
    <w:p>
      <w:pPr>
        <w:pStyle w:val="Heading2"/>
      </w:pPr>
      <w:r>
        <w:t xml:space="preserve">Subprocessor Change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2318"/>
        <w:gridCol w:w="1931"/>
        <w:gridCol w:w="25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 Type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2026-02-26</w:t>
            </w:r>
          </w:p>
        </w:tc>
        <w:tc>
          <w:tcPr/>
          <w:p>
            <w:pPr>
              <w:pStyle w:val="Compact"/>
            </w:pPr>
            <w:r>
              <w:t xml:space="preserve">Initial publication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Subprocessor list created (v1.0)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8" w:name="notification-and-objection"/>
    <w:p>
      <w:pPr>
        <w:pStyle w:val="Heading2"/>
      </w:pPr>
      <w:r>
        <w:t xml:space="preserve">Notification and Objection</w:t>
      </w:r>
    </w:p>
    <w:bookmarkStart w:id="16" w:name="subscribing-to-updates"/>
    <w:p>
      <w:pPr>
        <w:pStyle w:val="Heading3"/>
      </w:pPr>
      <w:r>
        <w:t xml:space="preserve">Subscribing to Updates</w:t>
      </w:r>
    </w:p>
    <w:p>
      <w:pPr>
        <w:pStyle w:val="FirstParagraph"/>
      </w:pPr>
      <w:r>
        <w:t xml:space="preserve">Customers may subscribe to subprocessor change notifications by emailing privacy@paciolus.com with subject</w:t>
      </w:r>
      <w:r>
        <w:t xml:space="preserve"> </w:t>
      </w:r>
      <w:r>
        <w:t xml:space="preserve">“Subprocessor Notification Subscription.”</w:t>
      </w:r>
    </w:p>
    <w:bookmarkEnd w:id="16"/>
    <w:bookmarkStart w:id="17" w:name="objection-process"/>
    <w:p>
      <w:pPr>
        <w:pStyle w:val="Heading3"/>
      </w:pPr>
      <w:r>
        <w:t xml:space="preserve">Objection Process</w:t>
      </w:r>
    </w:p>
    <w:p>
      <w:pPr>
        <w:pStyle w:val="FirstParagraph"/>
      </w:pPr>
      <w:r>
        <w:t xml:space="preserve">Per the</w:t>
      </w:r>
      <w:r>
        <w:t xml:space="preserve"> </w:t>
      </w:r>
      <w:hyperlink r:id="rId9">
        <w:r>
          <w:rPr>
            <w:rStyle w:val="Hyperlink"/>
          </w:rPr>
          <w:t xml:space="preserve">Data Processing Addendum</w:t>
        </w:r>
      </w:hyperlink>
      <w:r>
        <w:t xml:space="preserve"> </w:t>
      </w:r>
      <w:r>
        <w:t xml:space="preserve">Section 6.3:</w:t>
      </w:r>
    </w:p>
    <w:p>
      <w:pPr>
        <w:pStyle w:val="Compact"/>
        <w:numPr>
          <w:ilvl w:val="0"/>
          <w:numId w:val="1002"/>
        </w:numPr>
      </w:pPr>
      <w:r>
        <w:t xml:space="preserve">Paciolus publishes the proposed change at least</w:t>
      </w:r>
      <w:r>
        <w:t xml:space="preserve"> </w:t>
      </w:r>
      <w:r>
        <w:rPr>
          <w:b/>
          <w:bCs/>
        </w:rPr>
        <w:t xml:space="preserve">30 days</w:t>
      </w:r>
      <w:r>
        <w:t xml:space="preserve"> </w:t>
      </w:r>
      <w:r>
        <w:t xml:space="preserve">before it takes effect</w:t>
      </w:r>
    </w:p>
    <w:p>
      <w:pPr>
        <w:pStyle w:val="Compact"/>
        <w:numPr>
          <w:ilvl w:val="0"/>
          <w:numId w:val="1002"/>
        </w:numPr>
      </w:pPr>
      <w:r>
        <w:t xml:space="preserve">The Customer may object in writing to privacy@paciolus.com within the 30-day notice period</w:t>
      </w:r>
    </w:p>
    <w:p>
      <w:pPr>
        <w:pStyle w:val="Compact"/>
        <w:numPr>
          <w:ilvl w:val="0"/>
          <w:numId w:val="1002"/>
        </w:numPr>
      </w:pPr>
      <w:r>
        <w:t xml:space="preserve">Paciolus will work with the Customer to find a mutually acceptable resolution</w:t>
      </w:r>
    </w:p>
    <w:p>
      <w:pPr>
        <w:pStyle w:val="Compact"/>
        <w:numPr>
          <w:ilvl w:val="0"/>
          <w:numId w:val="1002"/>
        </w:numPr>
      </w:pPr>
      <w:r>
        <w:t xml:space="preserve">If no resolution is reached, the Customer may terminate the Agreement in accordance with the Terms of Service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contact"/>
    <w:p>
      <w:pPr>
        <w:pStyle w:val="Heading2"/>
      </w:pPr>
      <w:r>
        <w:t xml:space="preserve">Contact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Subprocessor inquiries:</w:t>
      </w:r>
      <w:r>
        <w:t xml:space="preserve"> </w:t>
      </w:r>
      <w:r>
        <w:t xml:space="preserve">privacy@paciolus.com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DPA requests:</w:t>
      </w:r>
      <w:r>
        <w:t xml:space="preserve"> </w:t>
      </w:r>
      <w:r>
        <w:t xml:space="preserve">legal@paciolus.com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Security assessments:</w:t>
      </w:r>
      <w:r>
        <w:t xml:space="preserve"> </w:t>
      </w:r>
      <w:r>
        <w:t xml:space="preserve">security@paciolus.com</w:t>
      </w:r>
    </w:p>
    <w:p>
      <w:r>
        <w:pict>
          <v:rect style="width:0;height:1.5pt" o:hralign="center" o:hrstd="t" o:hr="t"/>
        </w:pict>
      </w:r>
    </w:p>
    <w:bookmarkEnd w:id="19"/>
    <w:bookmarkStart w:id="20" w:name="version-history"/>
    <w:p>
      <w:pPr>
        <w:pStyle w:val="Heading2"/>
      </w:pPr>
      <w:r>
        <w:t xml:space="preserve">Version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2026-02-26</w:t>
            </w:r>
          </w:p>
        </w:tc>
        <w:tc>
          <w:tcPr/>
          <w:p>
            <w:pPr>
              <w:pStyle w:val="Compact"/>
            </w:pPr>
            <w:r>
              <w:t xml:space="preserve">Initial subprocessor list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Paciolus, Inc. — Professional Audit Intelligence Platform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ATA_PROCESSING_ADDENDUM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ATA_PROCESSING_ADDENDUM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2026-02-26T18:59:57Z</dcterms:created>
  <dcterms:modified xsi:type="dcterms:W3CDTF">2026-02-26T18:59:57Z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