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user-guide"/>
    <w:p>
      <w:pPr>
        <w:pStyle w:val="Heading1"/>
      </w:pPr>
      <w:r>
        <w:t xml:space="preserve">User Guide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Public (End User Documentation)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26, 2026</w:t>
      </w:r>
      <w:r>
        <w:t xml:space="preserve"> </w:t>
      </w:r>
      <w:r>
        <w:rPr>
          <w:b/>
          <w:bCs/>
        </w:rPr>
        <w:t xml:space="preserve">Product Version:</w:t>
      </w:r>
      <w:r>
        <w:t xml:space="preserve"> </w:t>
      </w:r>
      <w:r>
        <w:t xml:space="preserve">2.1.0</w:t>
      </w:r>
      <w:r>
        <w:t xml:space="preserve"> </w:t>
      </w:r>
      <w:r>
        <w:rPr>
          <w:b/>
          <w:bCs/>
        </w:rPr>
        <w:t xml:space="preserve">Support:</w:t>
      </w:r>
      <w:r>
        <w:t xml:space="preserve"> </w:t>
      </w:r>
      <w:r>
        <w:t xml:space="preserve">help@paciolus.com</w:t>
      </w:r>
    </w:p>
    <w:p>
      <w:r>
        <w:pict>
          <v:rect style="width:0;height:1.5pt" o:hralign="center" o:hrstd="t" o:hr="t"/>
        </w:pict>
      </w:r>
    </w:p>
    <w:bookmarkStart w:id="9" w:name="welcome-to-paciolus"/>
    <w:p>
      <w:pPr>
        <w:pStyle w:val="Heading2"/>
      </w:pPr>
      <w:r>
        <w:t xml:space="preserve">Welcome to Paciolus</w:t>
      </w:r>
    </w:p>
    <w:p>
      <w:pPr>
        <w:pStyle w:val="FirstParagraph"/>
      </w:pPr>
      <w:r>
        <w:t xml:space="preserve">Paciolus is a diagnostic intelligence platform for financial professionals — twelve analysis tools, ten supported file formats, zero data storage. Upload a trial balance, general ledger, payment register, or other financial data; receive instant diagnostics, anomaly detection, and client-ready reports. Your data is processed in-memory and never stored on our servers.</w:t>
      </w:r>
    </w:p>
    <w:p>
      <w:pPr>
        <w:pStyle w:val="BodyText"/>
      </w:pPr>
      <w:r>
        <w:rPr>
          <w:b/>
          <w:bCs/>
        </w:rPr>
        <w:t xml:space="preserve">What makes Paciolus different: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Zero-Storage Architecture:</w:t>
      </w:r>
      <w:r>
        <w:t xml:space="preserve"> </w:t>
      </w:r>
      <w:r>
        <w:t xml:space="preserve">Financial data is processed in-memory and immediately discarded — never written to disk or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 Diagnostic Tools:</w:t>
      </w:r>
      <w:r>
        <w:t xml:space="preserve"> </w:t>
      </w:r>
      <w:r>
        <w:t xml:space="preserve">Trial Balance Diagnostics, Multi-Period Comparison, Journal Entry Testing, AP Payment Testing, Bank Reconciliation, Payroll Testing, Three-Way Match, Revenue Testing, AR Aging, Fixed Asset Testing, Inventory Testing, and Statistical Sampling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File Formats:</w:t>
      </w:r>
      <w:r>
        <w:t xml:space="preserve"> </w:t>
      </w:r>
      <w:r>
        <w:t xml:space="preserve">CSV, Excel (.xlsx/.xls), TSV, TXT, OFX, QBO, IIF, PDF, and 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Professional Reports:</w:t>
      </w:r>
      <w:r>
        <w:t xml:space="preserve"> </w:t>
      </w:r>
      <w:r>
        <w:t xml:space="preserve">Client-ready PDF memos, Excel workpapers, and CSV exports with workpaper signoff</w:t>
      </w:r>
    </w:p>
    <w:p>
      <w:pPr>
        <w:pStyle w:val="BodyText"/>
      </w:pPr>
      <w:r>
        <w:rPr>
          <w:b/>
          <w:bCs/>
        </w:rPr>
        <w:t xml:space="preserve">Need help?</w:t>
      </w:r>
      <w:r>
        <w:t xml:space="preserve"> </w:t>
      </w:r>
      <w:r>
        <w:t xml:space="preserve">Email help@paciolus.com or visit our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Help Center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a7e2528bd729956006bd22e1aeb8f8fcd3f1bba">
        <w:r>
          <w:rPr>
            <w:rStyle w:val="Hyperlink"/>
          </w:rPr>
          <w:t xml:space="preserve">Data Upload Standards</w:t>
        </w:r>
      </w:hyperlink>
    </w:p>
    <w:p>
      <w:pPr>
        <w:pStyle w:val="Compact"/>
        <w:numPr>
          <w:ilvl w:val="0"/>
          <w:numId w:val="1001"/>
        </w:numPr>
      </w:pPr>
      <w:hyperlink w:anchor="X1d3fd611cac987e8eb495d5e35c430131a6c516">
        <w:r>
          <w:rPr>
            <w:rStyle w:val="Hyperlink"/>
          </w:rPr>
          <w:t xml:space="preserve">Tool 1: Trial Balance Diagnostics</w:t>
        </w:r>
      </w:hyperlink>
    </w:p>
    <w:p>
      <w:pPr>
        <w:pStyle w:val="Compact"/>
        <w:numPr>
          <w:ilvl w:val="0"/>
          <w:numId w:val="1001"/>
        </w:numPr>
      </w:pPr>
      <w:hyperlink w:anchor="Xad3c752096993eb31417d8fcda781c1acbdafa7">
        <w:r>
          <w:rPr>
            <w:rStyle w:val="Hyperlink"/>
          </w:rPr>
          <w:t xml:space="preserve">Tool 2: Multi-Period Comparison</w:t>
        </w:r>
      </w:hyperlink>
    </w:p>
    <w:p>
      <w:pPr>
        <w:pStyle w:val="Compact"/>
        <w:numPr>
          <w:ilvl w:val="0"/>
          <w:numId w:val="1001"/>
        </w:numPr>
      </w:pPr>
      <w:hyperlink w:anchor="Xd414361afd08117f3f0ee86dde1297087303605">
        <w:r>
          <w:rPr>
            <w:rStyle w:val="Hyperlink"/>
          </w:rPr>
          <w:t xml:space="preserve">Tool 3: Journal Entry Testing</w:t>
        </w:r>
      </w:hyperlink>
    </w:p>
    <w:p>
      <w:pPr>
        <w:pStyle w:val="Compact"/>
        <w:numPr>
          <w:ilvl w:val="0"/>
          <w:numId w:val="1001"/>
        </w:numPr>
      </w:pPr>
      <w:hyperlink w:anchor="X4def7bc4dcfcbf61c924c338f0467a3c959f87a">
        <w:r>
          <w:rPr>
            <w:rStyle w:val="Hyperlink"/>
          </w:rPr>
          <w:t xml:space="preserve">Tool 4: AP Payment Testing</w:t>
        </w:r>
      </w:hyperlink>
    </w:p>
    <w:p>
      <w:pPr>
        <w:pStyle w:val="Compact"/>
        <w:numPr>
          <w:ilvl w:val="0"/>
          <w:numId w:val="1001"/>
        </w:numPr>
      </w:pPr>
      <w:hyperlink w:anchor="X4f9fbbec5595f7b1743e98f0356d80772437676">
        <w:r>
          <w:rPr>
            <w:rStyle w:val="Hyperlink"/>
          </w:rPr>
          <w:t xml:space="preserve">Tool 5: Bank Reconciliation</w:t>
        </w:r>
      </w:hyperlink>
    </w:p>
    <w:p>
      <w:pPr>
        <w:pStyle w:val="Compact"/>
        <w:numPr>
          <w:ilvl w:val="0"/>
          <w:numId w:val="1001"/>
        </w:numPr>
      </w:pPr>
      <w:hyperlink w:anchor="X6289c735701650336d11b4339e89b3e8d7dfd1f">
        <w:r>
          <w:rPr>
            <w:rStyle w:val="Hyperlink"/>
          </w:rPr>
          <w:t xml:space="preserve">Tool 6: Payroll Testing</w:t>
        </w:r>
      </w:hyperlink>
    </w:p>
    <w:p>
      <w:pPr>
        <w:pStyle w:val="Compact"/>
        <w:numPr>
          <w:ilvl w:val="0"/>
          <w:numId w:val="1001"/>
        </w:numPr>
      </w:pPr>
      <w:hyperlink w:anchor="X16c5bd3a6a5ee9456242be2c211df367dd5647d">
        <w:r>
          <w:rPr>
            <w:rStyle w:val="Hyperlink"/>
          </w:rPr>
          <w:t xml:space="preserve">Tool 7: Three-Way Match</w:t>
        </w:r>
      </w:hyperlink>
    </w:p>
    <w:p>
      <w:pPr>
        <w:pStyle w:val="Compact"/>
        <w:numPr>
          <w:ilvl w:val="0"/>
          <w:numId w:val="1001"/>
        </w:numPr>
      </w:pPr>
      <w:hyperlink w:anchor="X054bce9a1df505dc73b71b687bc748d0ec41337">
        <w:r>
          <w:rPr>
            <w:rStyle w:val="Hyperlink"/>
          </w:rPr>
          <w:t xml:space="preserve">Tool 8: Revenue Testing</w:t>
        </w:r>
      </w:hyperlink>
    </w:p>
    <w:p>
      <w:pPr>
        <w:pStyle w:val="Compact"/>
        <w:numPr>
          <w:ilvl w:val="0"/>
          <w:numId w:val="1001"/>
        </w:numPr>
      </w:pPr>
      <w:hyperlink w:anchor="X16a8e677398bc5e16fd8018d5ef4812b5549a7c">
        <w:r>
          <w:rPr>
            <w:rStyle w:val="Hyperlink"/>
          </w:rPr>
          <w:t xml:space="preserve">Tool 9: AR Aging Analysis</w:t>
        </w:r>
      </w:hyperlink>
    </w:p>
    <w:p>
      <w:pPr>
        <w:pStyle w:val="Compact"/>
        <w:numPr>
          <w:ilvl w:val="0"/>
          <w:numId w:val="1001"/>
        </w:numPr>
      </w:pPr>
      <w:hyperlink w:anchor="X27d2a4b0244ad79eda3840c464f212535be176f">
        <w:r>
          <w:rPr>
            <w:rStyle w:val="Hyperlink"/>
          </w:rPr>
          <w:t xml:space="preserve">Tool 10: Fixed Asset Testing</w:t>
        </w:r>
      </w:hyperlink>
    </w:p>
    <w:p>
      <w:pPr>
        <w:pStyle w:val="Compact"/>
        <w:numPr>
          <w:ilvl w:val="0"/>
          <w:numId w:val="1001"/>
        </w:numPr>
      </w:pPr>
      <w:hyperlink w:anchor="X9052526dd153eab14f7c4110ecd1d826a33294d">
        <w:r>
          <w:rPr>
            <w:rStyle w:val="Hyperlink"/>
          </w:rPr>
          <w:t xml:space="preserve">Tool 11: Inventory Testing</w:t>
        </w:r>
      </w:hyperlink>
    </w:p>
    <w:p>
      <w:pPr>
        <w:pStyle w:val="Compact"/>
        <w:numPr>
          <w:ilvl w:val="0"/>
          <w:numId w:val="1001"/>
        </w:numPr>
      </w:pPr>
      <w:hyperlink w:anchor="X2d2ec772a64f3ca4c1b5b8b6ddd0a5f87e77240">
        <w:r>
          <w:rPr>
            <w:rStyle w:val="Hyperlink"/>
          </w:rPr>
          <w:t xml:space="preserve">Tool 12: Statistical Sampling</w:t>
        </w:r>
      </w:hyperlink>
    </w:p>
    <w:p>
      <w:pPr>
        <w:pStyle w:val="Compact"/>
        <w:numPr>
          <w:ilvl w:val="0"/>
          <w:numId w:val="1001"/>
        </w:numPr>
      </w:pPr>
      <w:hyperlink w:anchor="Xa793aa49cd461750ad6fb4667d436c1f2eb17c2">
        <w:r>
          <w:rPr>
            <w:rStyle w:val="Hyperlink"/>
          </w:rPr>
          <w:t xml:space="preserve">Billing &amp; Plans</w:t>
        </w:r>
      </w:hyperlink>
    </w:p>
    <w:p>
      <w:pPr>
        <w:pStyle w:val="Compact"/>
        <w:numPr>
          <w:ilvl w:val="0"/>
          <w:numId w:val="1001"/>
        </w:numPr>
      </w:pPr>
      <w:hyperlink w:anchor="X4e48d7150e1cbdd0e2b7434a9f64064a3972e11">
        <w:r>
          <w:rPr>
            <w:rStyle w:val="Hyperlink"/>
          </w:rPr>
          <w:t xml:space="preserve">Data Handling Guarantees</w:t>
        </w:r>
      </w:hyperlink>
    </w:p>
    <w:p>
      <w:pPr>
        <w:pStyle w:val="Compact"/>
        <w:numPr>
          <w:ilvl w:val="0"/>
          <w:numId w:val="1001"/>
        </w:numPr>
      </w:pPr>
      <w:hyperlink w:anchor="X0f289ef9a2ab4f3dfffa87e6ee3550127626e37">
        <w:r>
          <w:rPr>
            <w:rStyle w:val="Hyperlink"/>
          </w:rPr>
          <w:t xml:space="preserve">Engagement Workspaces</w:t>
        </w:r>
      </w:hyperlink>
    </w:p>
    <w:p>
      <w:pPr>
        <w:pStyle w:val="Compact"/>
        <w:numPr>
          <w:ilvl w:val="0"/>
          <w:numId w:val="1001"/>
        </w:numPr>
      </w:pPr>
      <w:hyperlink w:anchor="Xc91b2d6f6825205236c151419733a643f38959e">
        <w:r>
          <w:rPr>
            <w:rStyle w:val="Hyperlink"/>
          </w:rPr>
          <w:t xml:space="preserve">Managing Clients</w:t>
        </w:r>
      </w:hyperlink>
    </w:p>
    <w:p>
      <w:pPr>
        <w:pStyle w:val="Compact"/>
        <w:numPr>
          <w:ilvl w:val="0"/>
          <w:numId w:val="1001"/>
        </w:numPr>
      </w:pPr>
      <w:hyperlink w:anchor="Xe422ae48be078f85f2cfda49c4703735dcc5f55">
        <w:r>
          <w:rPr>
            <w:rStyle w:val="Hyperlink"/>
          </w:rPr>
          <w:t xml:space="preserve">Exports &amp; Reports</w:t>
        </w:r>
      </w:hyperlink>
    </w:p>
    <w:p>
      <w:pPr>
        <w:pStyle w:val="Compact"/>
        <w:numPr>
          <w:ilvl w:val="0"/>
          <w:numId w:val="1001"/>
        </w:numPr>
      </w:pPr>
      <w:hyperlink w:anchor="Xb8726d92559032804136345ededbd5ac3ed233c">
        <w:r>
          <w:rPr>
            <w:rStyle w:val="Hyperlink"/>
          </w:rPr>
          <w:t xml:space="preserve">Customizing Settings</w:t>
        </w:r>
      </w:hyperlink>
    </w:p>
    <w:p>
      <w:pPr>
        <w:pStyle w:val="Compact"/>
        <w:numPr>
          <w:ilvl w:val="0"/>
          <w:numId w:val="1001"/>
        </w:numPr>
      </w:pPr>
      <w:hyperlink w:anchor="Xa6d7981dcff9f392e9a88afd2bab00572aa44ad">
        <w:r>
          <w:rPr>
            <w:rStyle w:val="Hyperlink"/>
          </w:rPr>
          <w:t xml:space="preserve">Command Palette</w:t>
        </w:r>
      </w:hyperlink>
    </w:p>
    <w:p>
      <w:pPr>
        <w:pStyle w:val="Compact"/>
        <w:numPr>
          <w:ilvl w:val="0"/>
          <w:numId w:val="1001"/>
        </w:numPr>
      </w:pPr>
      <w:hyperlink w:anchor="X48fd9549df30b47d967be79eb8089080435058e">
        <w:r>
          <w:rPr>
            <w:rStyle w:val="Hyperlink"/>
          </w:rPr>
          <w:t xml:space="preserve">Activity History</w:t>
        </w:r>
      </w:hyperlink>
    </w:p>
    <w:p>
      <w:pPr>
        <w:pStyle w:val="Compact"/>
        <w:numPr>
          <w:ilvl w:val="0"/>
          <w:numId w:val="1001"/>
        </w:numPr>
      </w:pPr>
      <w:hyperlink w:anchor="X2210e8b989241d04dd603dfcb046cc953cab203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5ccea82989b305815cac5cbdd76d97664c1bd8b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getting-started"/>
    <w:p>
      <w:pPr>
        <w:pStyle w:val="Heading2"/>
      </w:pPr>
      <w:r>
        <w:t xml:space="preserve">1. Getting Started</w:t>
      </w:r>
    </w:p>
    <w:bookmarkStart w:id="13" w:name="creating-your-account"/>
    <w:p>
      <w:pPr>
        <w:pStyle w:val="Heading3"/>
      </w:pPr>
      <w:r>
        <w:t xml:space="preserve">1.1 Creating Your Account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hyperlink r:id="rId11">
        <w:r>
          <w:rPr>
            <w:rStyle w:val="Hyperlink"/>
          </w:rPr>
          <w:t xml:space="preserve">paciolus.com/register</w:t>
        </w:r>
      </w:hyperlink>
    </w:p>
    <w:p>
      <w:pPr>
        <w:pStyle w:val="Compact"/>
        <w:numPr>
          <w:ilvl w:val="0"/>
          <w:numId w:val="1002"/>
        </w:numPr>
      </w:pPr>
      <w:r>
        <w:t xml:space="preserve">Enter your email address</w:t>
      </w:r>
    </w:p>
    <w:p>
      <w:pPr>
        <w:pStyle w:val="Compact"/>
        <w:numPr>
          <w:ilvl w:val="0"/>
          <w:numId w:val="1002"/>
        </w:numPr>
      </w:pPr>
      <w:r>
        <w:t xml:space="preserve">Create a strong password (8+ characters, uppercase, lowercase, number, special character)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“Create Account”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your email</w:t>
      </w:r>
      <w:r>
        <w:t xml:space="preserve"> </w:t>
      </w:r>
      <w:r>
        <w:t xml:space="preserve">— check for a verification link (required to access tools)</w:t>
      </w:r>
    </w:p>
    <w:p>
      <w:pPr>
        <w:pStyle w:val="Compact"/>
        <w:numPr>
          <w:ilvl w:val="0"/>
          <w:numId w:val="1002"/>
        </w:numPr>
      </w:pPr>
      <w:r>
        <w:t xml:space="preserve">Log in at</w:t>
      </w:r>
      <w:r>
        <w:t xml:space="preserve"> </w:t>
      </w:r>
      <w:hyperlink r:id="rId12">
        <w:r>
          <w:rPr>
            <w:rStyle w:val="Hyperlink"/>
          </w:rPr>
          <w:t xml:space="preserve">paciolus.com/login</w:t>
        </w:r>
      </w:hyperlink>
    </w:p>
    <w:p>
      <w:pPr>
        <w:pStyle w:val="FirstParagraph"/>
      </w:pPr>
      <w:r>
        <w:t xml:space="preserve">All new accounts start on the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plan. You can upgrade at any time from the Billing page.</w:t>
      </w:r>
    </w:p>
    <w:bookmarkEnd w:id="13"/>
    <w:bookmarkStart w:id="14" w:name="email-verification"/>
    <w:p>
      <w:pPr>
        <w:pStyle w:val="Heading3"/>
      </w:pPr>
      <w:r>
        <w:t xml:space="preserve">1.2 Email Verification</w:t>
      </w:r>
    </w:p>
    <w:p>
      <w:pPr>
        <w:pStyle w:val="FirstParagraph"/>
      </w:pPr>
      <w:r>
        <w:t xml:space="preserve">All diagnostic tools require a verified email address. Without verification, you’ll see a</w:t>
      </w:r>
      <w:r>
        <w:t xml:space="preserve"> </w:t>
      </w:r>
      <w:r>
        <w:t xml:space="preserve">“Verify Your Email”</w:t>
      </w:r>
      <w:r>
        <w:t xml:space="preserve"> </w:t>
      </w:r>
      <w:r>
        <w:t xml:space="preserve">banner instead of the tool interface.</w:t>
      </w:r>
    </w:p>
    <w:p>
      <w:pPr>
        <w:pStyle w:val="BodyText"/>
      </w:pPr>
      <w:r>
        <w:rPr>
          <w:b/>
          <w:bCs/>
        </w:rPr>
        <w:t xml:space="preserve">To verify:</w:t>
      </w:r>
      <w:r>
        <w:t xml:space="preserve"> </w:t>
      </w:r>
      <w:r>
        <w:t xml:space="preserve">Check your inbox for the verification email and click the link. If you don’t see it, use the</w:t>
      </w:r>
      <w:r>
        <w:t xml:space="preserve"> </w:t>
      </w:r>
      <w:r>
        <w:t xml:space="preserve">“Resend Verification”</w:t>
      </w:r>
      <w:r>
        <w:t xml:space="preserve"> </w:t>
      </w:r>
      <w:r>
        <w:t xml:space="preserve">button.</w:t>
      </w:r>
    </w:p>
    <w:bookmarkEnd w:id="14"/>
    <w:bookmarkStart w:id="15" w:name="navigating-the-platform"/>
    <w:p>
      <w:pPr>
        <w:pStyle w:val="Heading3"/>
      </w:pPr>
      <w:r>
        <w:t xml:space="preserve">1.3 Navigating the Platform</w:t>
      </w:r>
    </w:p>
    <w:p>
      <w:pPr>
        <w:pStyle w:val="FirstParagraph"/>
      </w:pPr>
      <w:r>
        <w:t xml:space="preserve">The tool navigation bar appears at the top of every tool page. The first six tools are shown inline; the remaining six are accessible from the</w:t>
      </w:r>
      <w:r>
        <w:t xml:space="preserve"> </w:t>
      </w:r>
      <w:r>
        <w:t xml:space="preserve">“More”</w:t>
      </w:r>
      <w:r>
        <w:t xml:space="preserve"> </w:t>
      </w:r>
      <w:r>
        <w:t xml:space="preserve">dropdown menu.</w:t>
      </w:r>
    </w:p>
    <w:p>
      <w:pPr>
        <w:pStyle w:val="SourceCode"/>
      </w:pPr>
      <w:r>
        <w:rPr>
          <w:rStyle w:val="VerbatimChar"/>
        </w:rPr>
        <w:t xml:space="preserve">[Logo] | TB Diagnostics | Multi-Period | JE Testing | AP Testing | Bank Rec | Payroll | More ▾ | [Cmd+K] | [Profile]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“More”</w:t>
      </w:r>
      <w:r>
        <w:t xml:space="preserve"> </w:t>
      </w:r>
      <w:r>
        <w:t xml:space="preserve">dropdown contains: Three-Way Match, Revenue, AR Aging, Fixed Assets, Inventory, and Sampling.</w:t>
      </w:r>
    </w:p>
    <w:p>
      <w:pPr>
        <w:pStyle w:val="BodyText"/>
      </w:pPr>
      <w:r>
        <w:t xml:space="preserve">Tools that require a higher plan tier show an upgrade prompt when accessed.</w:t>
      </w:r>
    </w:p>
    <w:bookmarkEnd w:id="15"/>
    <w:bookmarkStart w:id="16" w:name="keyboard-shortcuts"/>
    <w:p>
      <w:pPr>
        <w:pStyle w:val="Heading3"/>
      </w:pPr>
      <w:r>
        <w:t xml:space="preserve">1.4 Keyboard Shortcuts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Cmd+K</w:t>
      </w:r>
      <w:r>
        <w:t xml:space="preserve"> </w:t>
      </w:r>
      <w:r>
        <w:t xml:space="preserve">(Mac) or</w:t>
      </w:r>
      <w:r>
        <w:t xml:space="preserve"> </w:t>
      </w:r>
      <w:r>
        <w:rPr>
          <w:b/>
          <w:bCs/>
        </w:rPr>
        <w:t xml:space="preserve">Ctrl+K</w:t>
      </w:r>
      <w:r>
        <w:t xml:space="preserve"> </w:t>
      </w:r>
      <w:r>
        <w:t xml:space="preserve">(Windows) anywhere to open the command palette. Type a tool name, page, or action to navigate instantly.</w:t>
      </w:r>
    </w:p>
    <w:p>
      <w:pPr>
        <w:pStyle w:val="BodyText"/>
      </w:pPr>
      <w:r>
        <w:t xml:space="preserve">Additional shortcuts: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Cmd+1</w:t>
      </w:r>
      <w:r>
        <w:t xml:space="preserve"> </w:t>
      </w:r>
      <w:r>
        <w:t xml:space="preserve">— Client Portfolio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Cmd+2</w:t>
      </w:r>
      <w:r>
        <w:t xml:space="preserve"> </w:t>
      </w:r>
      <w:r>
        <w:t xml:space="preserve">— Diagnostic Workspace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Cmd+[** / **Cmd+]</w:t>
      </w:r>
      <w:r>
        <w:t xml:space="preserve"> </w:t>
      </w:r>
      <w:r>
        <w:t xml:space="preserve">— Collapse/expand sidebars (workspace view)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— Close modals and menus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data-upload-standards"/>
    <w:p>
      <w:pPr>
        <w:pStyle w:val="Heading2"/>
      </w:pPr>
      <w:r>
        <w:t xml:space="preserve">2. Data Upload Standards</w:t>
      </w:r>
    </w:p>
    <w:bookmarkStart w:id="18" w:name="supported-file-formats"/>
    <w:p>
      <w:pPr>
        <w:pStyle w:val="Heading3"/>
      </w:pPr>
      <w:r>
        <w:t xml:space="preserve">2.1 Supported File Formats</w:t>
      </w:r>
    </w:p>
    <w:p>
      <w:pPr>
        <w:pStyle w:val="FirstParagraph"/>
      </w:pPr>
      <w:r>
        <w:t xml:space="preserve">Paciolus accepts the following file formats for upload. Format availability depends on your plan tier.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292"/>
        <w:gridCol w:w="2709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Comma-separated values</w:t>
            </w:r>
          </w:p>
        </w:tc>
        <w:tc>
          <w:tcPr/>
          <w:p>
            <w:pPr>
              <w:pStyle w:val="Compact"/>
            </w:pPr>
            <w:r>
              <w:t xml:space="preserve">All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(modern)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Excel 2007+ (OOXML)</w:t>
            </w:r>
          </w:p>
        </w:tc>
        <w:tc>
          <w:tcPr/>
          <w:p>
            <w:pPr>
              <w:pStyle w:val="Compact"/>
            </w:pPr>
            <w:r>
              <w:t xml:space="preserve">All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(legacy)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</w:t>
            </w:r>
          </w:p>
        </w:tc>
        <w:tc>
          <w:tcPr/>
          <w:p>
            <w:pPr>
              <w:pStyle w:val="Compact"/>
            </w:pPr>
            <w:r>
              <w:t xml:space="preserve">Excel 97–2003 (BIFF)</w:t>
            </w:r>
          </w:p>
        </w:tc>
        <w:tc>
          <w:tcPr/>
          <w:p>
            <w:pPr>
              <w:pStyle w:val="Compact"/>
            </w:pPr>
            <w:r>
              <w:t xml:space="preserve">All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.tsv</w:t>
            </w:r>
          </w:p>
        </w:tc>
        <w:tc>
          <w:tcPr/>
          <w:p>
            <w:pPr>
              <w:pStyle w:val="Compact"/>
            </w:pPr>
            <w:r>
              <w:t xml:space="preserve">Tab-separated values</w:t>
            </w:r>
          </w:p>
        </w:tc>
        <w:tc>
          <w:tcPr/>
          <w:p>
            <w:pPr>
              <w:pStyle w:val="Compact"/>
            </w:pPr>
            <w:r>
              <w:t xml:space="preserve">All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</w:p>
        </w:tc>
        <w:tc>
          <w:tcPr/>
          <w:p>
            <w:pPr>
              <w:pStyle w:val="Compact"/>
            </w:pPr>
            <w:r>
              <w:t xml:space="preserve">Plain text with delimiter detection</w:t>
            </w:r>
          </w:p>
        </w:tc>
        <w:tc>
          <w:tcPr/>
          <w:p>
            <w:pPr>
              <w:pStyle w:val="Compact"/>
            </w:pPr>
            <w:r>
              <w:t xml:space="preserve">All 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.qbo</w:t>
            </w:r>
          </w:p>
        </w:tc>
        <w:tc>
          <w:tcPr/>
          <w:p>
            <w:pPr>
              <w:pStyle w:val="Compact"/>
            </w:pPr>
            <w:r>
              <w:t xml:space="preserve">Quicken/QuickBooks Online interchange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.ofx</w:t>
            </w:r>
          </w:p>
        </w:tc>
        <w:tc>
          <w:tcPr/>
          <w:p>
            <w:pPr>
              <w:pStyle w:val="Compact"/>
            </w:pPr>
            <w:r>
              <w:t xml:space="preserve">Open Financial Exchange (SGML v1 / XML v2)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.iif</w:t>
            </w:r>
          </w:p>
        </w:tc>
        <w:tc>
          <w:tcPr/>
          <w:p>
            <w:pPr>
              <w:pStyle w:val="Compact"/>
            </w:pPr>
            <w:r>
              <w:t xml:space="preserve">QuickBooks Interchange Format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Table extraction from PDF documents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.ods</w:t>
            </w:r>
          </w:p>
        </w:tc>
        <w:tc>
          <w:tcPr/>
          <w:p>
            <w:pPr>
              <w:pStyle w:val="Compact"/>
            </w:pPr>
            <w:r>
              <w:t xml:space="preserve">OpenDocument Spreadsheet (LibreOffice/Calc)</w:t>
            </w:r>
          </w:p>
        </w:tc>
        <w:tc>
          <w:tcPr/>
          <w:p>
            <w:pPr>
              <w:pStyle w:val="Compact"/>
            </w:pPr>
            <w:r>
              <w:t xml:space="preserve">Team and above</w:t>
            </w:r>
          </w:p>
        </w:tc>
      </w:tr>
    </w:tbl>
    <w:bookmarkEnd w:id="18"/>
    <w:bookmarkStart w:id="19" w:name="file-requirements"/>
    <w:p>
      <w:pPr>
        <w:pStyle w:val="Heading3"/>
      </w:pPr>
      <w:r>
        <w:t xml:space="preserve">2.2 File Requirements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Maximum file size:</w:t>
      </w:r>
      <w:r>
        <w:t xml:space="preserve"> </w:t>
      </w:r>
      <w:r>
        <w:t xml:space="preserve">50 MB per upload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Headers:</w:t>
      </w:r>
      <w:r>
        <w:t xml:space="preserve"> </w:t>
      </w:r>
      <w:r>
        <w:t xml:space="preserve">Place column headers in the first row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Column detection:</w:t>
      </w:r>
      <w:r>
        <w:t xml:space="preserve"> </w:t>
      </w:r>
      <w:r>
        <w:t xml:space="preserve">Paciolus auto-detects columns using weighted pattern matching. If detection fails, use</w:t>
      </w:r>
      <w:r>
        <w:t xml:space="preserve"> </w:t>
      </w:r>
      <w:r>
        <w:t xml:space="preserve">“Manual Mapping”</w:t>
      </w:r>
      <w:r>
        <w:t xml:space="preserve"> </w:t>
      </w:r>
      <w:r>
        <w:t xml:space="preserve">to assign columns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UTF-8 recommended for CSV/TSV/TXT files</w:t>
      </w:r>
    </w:p>
    <w:bookmarkEnd w:id="19"/>
    <w:bookmarkStart w:id="20" w:name="column-detection"/>
    <w:p>
      <w:pPr>
        <w:pStyle w:val="Heading3"/>
      </w:pPr>
      <w:r>
        <w:t xml:space="preserve">2.3 Column Detection</w:t>
      </w:r>
    </w:p>
    <w:p>
      <w:pPr>
        <w:pStyle w:val="FirstParagraph"/>
      </w:pPr>
      <w:r>
        <w:t xml:space="preserve">Each tool expects specific columns. Paciolus uses pattern matching to identify them automatically:</w:t>
      </w:r>
    </w:p>
    <w:p>
      <w:pPr>
        <w:pStyle w:val="Compact"/>
        <w:numPr>
          <w:ilvl w:val="0"/>
          <w:numId w:val="1004"/>
        </w:numPr>
      </w:pPr>
      <w:r>
        <w:t xml:space="preserve">A green checkmark means the column was confidently detected</w:t>
      </w:r>
    </w:p>
    <w:p>
      <w:pPr>
        <w:pStyle w:val="Compact"/>
        <w:numPr>
          <w:ilvl w:val="0"/>
          <w:numId w:val="1004"/>
        </w:numPr>
      </w:pPr>
      <w:r>
        <w:t xml:space="preserve">A yellow warning means low-confidence detection — review before proceeding</w:t>
      </w:r>
    </w:p>
    <w:p>
      <w:pPr>
        <w:pStyle w:val="Compact"/>
        <w:numPr>
          <w:ilvl w:val="0"/>
          <w:numId w:val="1004"/>
        </w:numPr>
      </w:pPr>
      <w:r>
        <w:t xml:space="preserve">If columns are not detected, click</w:t>
      </w:r>
      <w:r>
        <w:t xml:space="preserve"> </w:t>
      </w:r>
      <w:r>
        <w:t xml:space="preserve">“Manual Mapping”</w:t>
      </w:r>
      <w:r>
        <w:t xml:space="preserve"> </w:t>
      </w:r>
      <w:r>
        <w:t xml:space="preserve">to assign them yourself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ool-1-trial-balance-diagnostics"/>
    <w:p>
      <w:pPr>
        <w:pStyle w:val="Heading2"/>
      </w:pPr>
      <w:r>
        <w:t xml:space="preserve">3. Tool 1: Trial Balance Diagnostics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/tools/trial-balance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 a trial balance for instant anomaly detection, ratio analysis, lead sheet mapping, financial statement generation, and diagnostic analytics.</w:t>
      </w:r>
    </w:p>
    <w:bookmarkStart w:id="22" w:name="uploading-your-trial-balance"/>
    <w:p>
      <w:pPr>
        <w:pStyle w:val="Heading3"/>
      </w:pPr>
      <w:r>
        <w:t xml:space="preserve">3.1 Uploading Your Trial Balance</w:t>
      </w:r>
    </w:p>
    <w:p>
      <w:pPr>
        <w:pStyle w:val="FirstParagraph"/>
      </w:pPr>
      <w:r>
        <w:rPr>
          <w:b/>
          <w:bCs/>
        </w:rPr>
        <w:t xml:space="preserve">Required columns:</w:t>
      </w:r>
      <w:r>
        <w:t xml:space="preserve"> </w:t>
      </w:r>
      <w:r>
        <w:t xml:space="preserve">Account Name + Debit/Credit (auto-detected). Optional: Account Number, Sub-Account, Notes.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Drag-and-drop your file onto the upload zone (or click to browse)</w:t>
      </w:r>
      <w:r>
        <w:t xml:space="preserve"> </w:t>
      </w:r>
      <w:r>
        <w:t xml:space="preserve">2. Paciolus auto-detects columns (green checkmark = detected)</w:t>
      </w:r>
      <w:r>
        <w:t xml:space="preserve"> </w:t>
      </w:r>
      <w:r>
        <w:t xml:space="preserve">3. If not detected, click</w:t>
      </w:r>
      <w:r>
        <w:t xml:space="preserve"> </w:t>
      </w:r>
      <w:r>
        <w:t xml:space="preserve">“Manual Mapping”</w:t>
      </w:r>
      <w:r>
        <w:t xml:space="preserve"> </w:t>
      </w:r>
      <w:r>
        <w:t xml:space="preserve">to assign columns</w:t>
      </w:r>
      <w:r>
        <w:t xml:space="preserve"> </w:t>
      </w:r>
      <w:r>
        <w:t xml:space="preserve">4. Processing takes 5–30 seconds depending on file size</w:t>
      </w:r>
    </w:p>
    <w:bookmarkEnd w:id="22"/>
    <w:bookmarkStart w:id="23" w:name="understanding-results"/>
    <w:p>
      <w:pPr>
        <w:pStyle w:val="Heading3"/>
      </w:pPr>
      <w:r>
        <w:t xml:space="preserve">3.2 Understanding Results</w:t>
      </w:r>
    </w:p>
    <w:p>
      <w:pPr>
        <w:pStyle w:val="FirstParagraph"/>
      </w:pPr>
      <w:r>
        <w:rPr>
          <w:b/>
          <w:bCs/>
        </w:rPr>
        <w:t xml:space="preserve">Summary Card:</w:t>
      </w:r>
      <w:r>
        <w:t xml:space="preserve"> </w:t>
      </w:r>
      <w:r>
        <w:t xml:space="preserve">Total records, debits, credits, balanced status, variance.</w:t>
      </w:r>
    </w:p>
    <w:p>
      <w:pPr>
        <w:pStyle w:val="BodyText"/>
      </w:pPr>
      <w:r>
        <w:rPr>
          <w:b/>
          <w:bCs/>
        </w:rPr>
        <w:t xml:space="preserve">Classifications:</w:t>
      </w:r>
      <w:r>
        <w:t xml:space="preserve"> </w:t>
      </w:r>
      <w:r>
        <w:t xml:space="preserve">Accounts grouped into Assets, Liabilities, Equity, Revenue, and Expenses using 80+ keyword classification rules.</w:t>
      </w:r>
    </w:p>
    <w:p>
      <w:pPr>
        <w:pStyle w:val="BodyText"/>
      </w:pPr>
      <w:r>
        <w:rPr>
          <w:b/>
          <w:bCs/>
        </w:rPr>
        <w:t xml:space="preserve">Anomalies:</w:t>
      </w:r>
      <w:r>
        <w:t xml:space="preserve"> </w:t>
      </w:r>
      <w:r>
        <w:t xml:space="preserve">Flagged items include:</w:t>
      </w:r>
      <w:r>
        <w:t xml:space="preserve"> </w:t>
      </w:r>
      <w:r>
        <w:t xml:space="preserve">- Abnormal balances (credit balance on asset, debit balance on liability)</w:t>
      </w:r>
      <w:r>
        <w:t xml:space="preserve"> </w:t>
      </w:r>
      <w:r>
        <w:t xml:space="preserve">- Suspense account detection</w:t>
      </w:r>
      <w:r>
        <w:t xml:space="preserve"> </w:t>
      </w:r>
      <w:r>
        <w:t xml:space="preserve">- Concentration risk (single account holding disproportionate balance)</w:t>
      </w:r>
      <w:r>
        <w:t xml:space="preserve"> </w:t>
      </w:r>
      <w:r>
        <w:t xml:space="preserve">- Rounding anomalies</w:t>
      </w:r>
      <w:r>
        <w:t xml:space="preserve"> </w:t>
      </w:r>
      <w:r>
        <w:t xml:space="preserve">- Balance sheet imbalance detection</w:t>
      </w:r>
    </w:p>
    <w:p>
      <w:pPr>
        <w:pStyle w:val="BodyText"/>
      </w:pPr>
      <w:r>
        <w:rPr>
          <w:b/>
          <w:bCs/>
        </w:rPr>
        <w:t xml:space="preserve">Financial Ratios:</w:t>
      </w:r>
      <w:r>
        <w:t xml:space="preserve"> </w:t>
      </w:r>
      <w:r>
        <w:t xml:space="preserve">12 core ratios (Current, Quick, Debt-to-Equity, Gross/Net/Operating margin, ROA, ROE, DSO, DPO, DIO, Cash Conversion Cycle) plus industry-specific ratios when the client’s industry is set.</w:t>
      </w:r>
    </w:p>
    <w:p>
      <w:pPr>
        <w:pStyle w:val="BodyText"/>
      </w:pPr>
      <w:r>
        <w:rPr>
          <w:b/>
          <w:bCs/>
        </w:rPr>
        <w:t xml:space="preserve">Lead Sheets:</w:t>
      </w:r>
      <w:r>
        <w:t xml:space="preserve"> </w:t>
      </w:r>
      <w:r>
        <w:t xml:space="preserve">Accounts mapped to A–Z workpaper categories for professional organization.</w:t>
      </w:r>
    </w:p>
    <w:p>
      <w:pPr>
        <w:pStyle w:val="BodyText"/>
      </w:pPr>
      <w:r>
        <w:rPr>
          <w:b/>
          <w:bCs/>
        </w:rPr>
        <w:t xml:space="preserve">Financial Statements:</w:t>
      </w:r>
      <w:r>
        <w:t xml:space="preserve"> </w:t>
      </w:r>
      <w:r>
        <w:t xml:space="preserve">Balance Sheet, Income Statement, and Cash Flow Statement (indirect method, ASC 230/IAS 7) generated from lead sheet groupings.</w:t>
      </w:r>
    </w:p>
    <w:p>
      <w:pPr>
        <w:pStyle w:val="BodyText"/>
      </w:pPr>
      <w:r>
        <w:rPr>
          <w:b/>
          <w:bCs/>
        </w:rPr>
        <w:t xml:space="preserve">Diagnostic Analytics: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Quality Pre-Flight</w:t>
      </w:r>
      <w:r>
        <w:t xml:space="preserve"> </w:t>
      </w:r>
      <w:r>
        <w:t xml:space="preserve">— Format issues, outliers, and completeness checks run before full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Population Profile</w:t>
      </w:r>
      <w:r>
        <w:t xml:space="preserve"> </w:t>
      </w:r>
      <w:r>
        <w:t xml:space="preserve">— Gini coefficient, magnitude distribution, top-N accounts by balance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Expense Category Analytics</w:t>
      </w:r>
      <w:r>
        <w:t xml:space="preserve"> </w:t>
      </w:r>
      <w:r>
        <w:t xml:space="preserve">— ISA 520 five-category decomposition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Accrual Completeness</w:t>
      </w:r>
      <w:r>
        <w:t xml:space="preserve"> </w:t>
      </w:r>
      <w:r>
        <w:t xml:space="preserve">— Run-rate ratios and completeness estimation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Validator</w:t>
      </w:r>
      <w:r>
        <w:t xml:space="preserve"> </w:t>
      </w:r>
      <w:r>
        <w:t xml:space="preserve">— 6 structural COA checks (duplicates, orphans, unclassified, gaps, naming, sign anomalies)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Account-to-Statement Mapping Trace</w:t>
      </w:r>
      <w:r>
        <w:t xml:space="preserve"> </w:t>
      </w:r>
      <w:r>
        <w:t xml:space="preserve">— Raw aggregate and sign correction for each financial statement 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Lease Account Diagnostic</w:t>
      </w:r>
      <w:r>
        <w:t xml:space="preserve"> </w:t>
      </w:r>
      <w:r>
        <w:t xml:space="preserve">— IFRS 16/ASC 842 consistency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Cutoff Risk Indicator</w:t>
      </w:r>
      <w:r>
        <w:t xml:space="preserve"> </w:t>
      </w:r>
      <w:r>
        <w:t xml:space="preserve">— ISA 501 cutoff risk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Going Concern Indicator Profile</w:t>
      </w:r>
      <w:r>
        <w:t xml:space="preserve"> </w:t>
      </w:r>
      <w:r>
        <w:t xml:space="preserve">— ISA 570 six-indicator assessment (mandatory disclaimer)</w:t>
      </w:r>
    </w:p>
    <w:bookmarkEnd w:id="23"/>
    <w:bookmarkStart w:id="24" w:name="multi-currency-support"/>
    <w:p>
      <w:pPr>
        <w:pStyle w:val="Heading3"/>
      </w:pPr>
      <w:r>
        <w:t xml:space="preserve">3.3 Multi-Currency Support</w:t>
      </w:r>
    </w:p>
    <w:p>
      <w:pPr>
        <w:pStyle w:val="FirstParagraph"/>
      </w:pPr>
      <w:r>
        <w:t xml:space="preserve">If your trial balance contains amounts in multiple currencies:</w:t>
      </w:r>
      <w:r>
        <w:t xml:space="preserve"> </w:t>
      </w:r>
      <w:r>
        <w:t xml:space="preserve">1. Upload or manually enter currency exchange rates (closing rates)</w:t>
      </w:r>
      <w:r>
        <w:t xml:space="preserve"> </w:t>
      </w:r>
      <w:r>
        <w:t xml:space="preserve">2. Paciolus converts all amounts to a single reporting currency</w:t>
      </w:r>
      <w:r>
        <w:t xml:space="preserve"> </w:t>
      </w:r>
      <w:r>
        <w:t xml:space="preserve">3. Unconverted items are flagged for review</w:t>
      </w:r>
      <w:r>
        <w:t xml:space="preserve"> </w:t>
      </w:r>
      <w:r>
        <w:t xml:space="preserve">4. A Currency Conversion Memo (PDF) documents the methodology</w:t>
      </w:r>
    </w:p>
    <w:bookmarkEnd w:id="24"/>
    <w:bookmarkStart w:id="25" w:name="exporting"/>
    <w:p>
      <w:pPr>
        <w:pStyle w:val="Heading3"/>
      </w:pPr>
      <w:r>
        <w:t xml:space="preserve">3.4 Exporting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PDF Report</w:t>
      </w:r>
      <w:r>
        <w:t xml:space="preserve"> </w:t>
      </w:r>
      <w:r>
        <w:t xml:space="preserve">— Professional diagnostic report with legal disclaimers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Excel Workpaper</w:t>
      </w:r>
      <w:r>
        <w:t xml:space="preserve"> </w:t>
      </w:r>
      <w:r>
        <w:t xml:space="preserve">— Multi-tab structure (Summary, Standardized TB, Anomalies, Ratios)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— Standardized trial balance or anomalies 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Lead Sheets</w:t>
      </w:r>
      <w:r>
        <w:t xml:space="preserve"> </w:t>
      </w:r>
      <w:r>
        <w:t xml:space="preserve">— A–Z workbook (Excel)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Statements</w:t>
      </w:r>
      <w:r>
        <w:t xml:space="preserve"> </w:t>
      </w:r>
      <w:r>
        <w:t xml:space="preserve">— Balance Sheet + Income Statement + Cash Flow (PDF or Excel)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Pre-Flight Memo</w:t>
      </w:r>
      <w:r>
        <w:t xml:space="preserve"> </w:t>
      </w:r>
      <w:r>
        <w:t xml:space="preserve">— Data quality assessment (PDF)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Population Profile Memo</w:t>
      </w:r>
      <w:r>
        <w:t xml:space="preserve"> </w:t>
      </w:r>
      <w:r>
        <w:t xml:space="preserve">— Account population analysis (PDF)</w:t>
      </w:r>
    </w:p>
    <w:bookmarkEnd w:id="25"/>
    <w:bookmarkStart w:id="26" w:name="sensitivity-tuning"/>
    <w:p>
      <w:pPr>
        <w:pStyle w:val="Heading3"/>
      </w:pPr>
      <w:r>
        <w:t xml:space="preserve">3.5 Sensitivity Tuning</w:t>
      </w:r>
    </w:p>
    <w:p>
      <w:pPr>
        <w:pStyle w:val="FirstParagraph"/>
      </w:pPr>
      <w:r>
        <w:t xml:space="preserve">Adjust the materiality threshold in real-time to see more or fewer flagged items. The materiality cascade flows from engagement-level settings down through practice and client defaults.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tool-2-multi-period-comparison"/>
    <w:p>
      <w:pPr>
        <w:pStyle w:val="Heading2"/>
      </w:pPr>
      <w:r>
        <w:t xml:space="preserve">4. Tool 2: Multi-Period Comparison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/tools/multi-period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Compare up to three trial balance periods side-by-side with variance and flux analysis.</w:t>
      </w:r>
    </w:p>
    <w:bookmarkStart w:id="28" w:name="how-it-works"/>
    <w:p>
      <w:pPr>
        <w:pStyle w:val="Heading3"/>
      </w:pPr>
      <w:r>
        <w:t xml:space="preserve">4.1 How It Works</w:t>
      </w:r>
    </w:p>
    <w:p>
      <w:pPr>
        <w:pStyle w:val="Compact"/>
        <w:numPr>
          <w:ilvl w:val="0"/>
          <w:numId w:val="1006"/>
        </w:numPr>
      </w:pPr>
      <w:r>
        <w:t xml:space="preserve">Upload two files:</w:t>
      </w:r>
      <w:r>
        <w:t xml:space="preserve"> </w:t>
      </w:r>
      <w:r>
        <w:rPr>
          <w:b/>
          <w:bCs/>
        </w:rPr>
        <w:t xml:space="preserve">Prior Period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Current Period</w:t>
      </w:r>
    </w:p>
    <w:p>
      <w:pPr>
        <w:pStyle w:val="Compact"/>
        <w:numPr>
          <w:ilvl w:val="0"/>
          <w:numId w:val="1006"/>
        </w:numPr>
      </w:pPr>
      <w:r>
        <w:t xml:space="preserve">Label each period (e.g.,</w:t>
      </w:r>
      <w:r>
        <w:t xml:space="preserve"> </w:t>
      </w:r>
      <w:r>
        <w:t xml:space="preserve">“FY2024”</w:t>
      </w:r>
      <w:r>
        <w:t xml:space="preserve">,</w:t>
      </w:r>
      <w:r>
        <w:t xml:space="preserve"> </w:t>
      </w:r>
      <w:r>
        <w:t xml:space="preserve">“FY2025”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Both files are analyzed independently, then compared</w:t>
      </w:r>
    </w:p>
    <w:p>
      <w:pPr>
        <w:pStyle w:val="Compact"/>
        <w:numPr>
          <w:ilvl w:val="0"/>
          <w:numId w:val="1006"/>
        </w:numPr>
      </w:pPr>
      <w:r>
        <w:t xml:space="preserve">For three-way comparison, add a budget period</w:t>
      </w:r>
    </w:p>
    <w:bookmarkEnd w:id="28"/>
    <w:bookmarkStart w:id="29" w:name="movement-types"/>
    <w:p>
      <w:pPr>
        <w:pStyle w:val="Heading3"/>
      </w:pPr>
      <w:r>
        <w:t xml:space="preserve">4.2 Movement Types</w:t>
      </w:r>
    </w:p>
    <w:p>
      <w:pPr>
        <w:pStyle w:val="FirstParagraph"/>
      </w:pPr>
      <w:r>
        <w:t xml:space="preserve">Each account is classified into one of six movement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Account exists in current but not prior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Account exists in prior but not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SIGN_CHANGE</w:t>
            </w:r>
          </w:p>
        </w:tc>
        <w:tc>
          <w:tcPr/>
          <w:p>
            <w:pPr>
              <w:pStyle w:val="Compact"/>
            </w:pPr>
            <w:r>
              <w:t xml:space="preserve">Balance changed from debit to credit (or vice versa)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Balance increased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DECREASE</w:t>
            </w:r>
          </w:p>
        </w:tc>
        <w:tc>
          <w:tcPr/>
          <w:p>
            <w:pPr>
              <w:pStyle w:val="Compact"/>
            </w:pPr>
            <w:r>
              <w:t xml:space="preserve">Balance decreased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</w:tbl>
    <w:bookmarkEnd w:id="29"/>
    <w:bookmarkStart w:id="30" w:name="significance-tiers"/>
    <w:p>
      <w:pPr>
        <w:pStyle w:val="Heading3"/>
      </w:pPr>
      <w:r>
        <w:t xml:space="preserve">4.3 Significance Tiers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MATERIAL</w:t>
      </w:r>
      <w:r>
        <w:t xml:space="preserve"> </w:t>
      </w:r>
      <w:r>
        <w:t xml:space="preserve">— Exceeds materiality threshold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SIGNIFICANT</w:t>
      </w:r>
      <w:r>
        <w:t xml:space="preserve"> </w:t>
      </w:r>
      <w:r>
        <w:t xml:space="preserve">— &gt;10% change or &gt;$10K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— Small changes (&lt;10% and &lt;$10K)</w:t>
      </w:r>
    </w:p>
    <w:bookmarkEnd w:id="30"/>
    <w:bookmarkStart w:id="31" w:name="budget-variance-three-way"/>
    <w:p>
      <w:pPr>
        <w:pStyle w:val="Heading3"/>
      </w:pPr>
      <w:r>
        <w:t xml:space="preserve">4.4 Budget Variance (Three-Way)</w:t>
      </w:r>
    </w:p>
    <w:p>
      <w:pPr>
        <w:pStyle w:val="FirstParagraph"/>
      </w:pPr>
      <w:r>
        <w:t xml:space="preserve">When a budget period is included, each account shows:</w:t>
      </w:r>
      <w:r>
        <w:t xml:space="preserve"> </w:t>
      </w:r>
      <w:r>
        <w:t xml:space="preserve">- Budget amount, actual amount, variance amount</w:t>
      </w:r>
      <w:r>
        <w:t xml:space="preserve"> </w:t>
      </w:r>
      <w:r>
        <w:t xml:space="preserve">- Variance percentage and significance tier</w:t>
      </w:r>
    </w:p>
    <w:bookmarkEnd w:id="31"/>
    <w:bookmarkStart w:id="32" w:name="interperiod-reclassification-detection"/>
    <w:p>
      <w:pPr>
        <w:pStyle w:val="Heading3"/>
      </w:pPr>
      <w:r>
        <w:t xml:space="preserve">4.5 Interperiod Reclassification Detection</w:t>
      </w:r>
    </w:p>
    <w:p>
      <w:pPr>
        <w:pStyle w:val="FirstParagraph"/>
      </w:pPr>
      <w:r>
        <w:t xml:space="preserve">Paciolus flags accounts that appear to have been reclassified between periods — for example, an account that moves from one financial statement category to another.</w:t>
      </w:r>
    </w:p>
    <w:bookmarkEnd w:id="32"/>
    <w:bookmarkStart w:id="33" w:name="exporting-1"/>
    <w:p>
      <w:pPr>
        <w:pStyle w:val="Heading3"/>
      </w:pPr>
      <w:r>
        <w:t xml:space="preserve">4.6 Exporting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Multi-Period Memo (PDF)</w:t>
      </w:r>
      <w:r>
        <w:t xml:space="preserve"> </w:t>
      </w:r>
      <w:r>
        <w:t xml:space="preserve">— Trend analysis and variance workpaper memo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CSV</w:t>
      </w:r>
      <w:r>
        <w:t xml:space="preserve"> </w:t>
      </w:r>
      <w:r>
        <w:t xml:space="preserve">— Comparison data with movement types and variances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ool-3-journal-entry-testing"/>
    <w:p>
      <w:pPr>
        <w:pStyle w:val="Heading2"/>
      </w:pPr>
      <w:r>
        <w:t xml:space="preserve">5. Tool 3: Journal Entry Testing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/tools/journal-entry-testing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Automated general ledger analysis with 19 tests, Benford’s Law, and stratified sampling.</w:t>
      </w:r>
    </w:p>
    <w:bookmarkStart w:id="35" w:name="upload"/>
    <w:p>
      <w:pPr>
        <w:pStyle w:val="Heading3"/>
      </w:pPr>
      <w:r>
        <w:t xml:space="preserve">5.1 Upload</w:t>
      </w:r>
    </w:p>
    <w:p>
      <w:pPr>
        <w:pStyle w:val="FirstParagraph"/>
      </w:pPr>
      <w:r>
        <w:t xml:space="preserve">Upload a General Ledger export. Required columns: Entry Number, Date, Account, Debit, Credit. Optional: Description, User, Reference.</w:t>
      </w:r>
    </w:p>
    <w:bookmarkEnd w:id="35"/>
    <w:bookmarkStart w:id="36" w:name="test-battery-19-tests"/>
    <w:p>
      <w:pPr>
        <w:pStyle w:val="Heading3"/>
      </w:pPr>
      <w:r>
        <w:t xml:space="preserve">5.2 Test Battery (19 Tests)</w:t>
      </w:r>
    </w:p>
    <w:p>
      <w:pPr>
        <w:pStyle w:val="FirstParagraph"/>
      </w:pPr>
      <w:r>
        <w:rPr>
          <w:b/>
          <w:bCs/>
        </w:rPr>
        <w:t xml:space="preserve">Tier 1 — Structural (5 tests):</w:t>
      </w:r>
      <w:r>
        <w:t xml:space="preserve"> </w:t>
      </w:r>
      <w:r>
        <w:t xml:space="preserve">- Unbalanced journal entries</w:t>
      </w:r>
      <w:r>
        <w:t xml:space="preserve"> </w:t>
      </w:r>
      <w:r>
        <w:t xml:space="preserve">- Missing required fields</w:t>
      </w:r>
      <w:r>
        <w:t xml:space="preserve"> </w:t>
      </w:r>
      <w:r>
        <w:t xml:space="preserve">- Duplicate entries</w:t>
      </w:r>
      <w:r>
        <w:t xml:space="preserve"> </w:t>
      </w:r>
      <w:r>
        <w:t xml:space="preserve">- Backdated entries</w:t>
      </w:r>
      <w:r>
        <w:t xml:space="preserve"> </w:t>
      </w:r>
      <w:r>
        <w:t xml:space="preserve">- Unusual amounts (z-score outliers)</w:t>
      </w:r>
    </w:p>
    <w:p>
      <w:pPr>
        <w:pStyle w:val="BodyText"/>
      </w:pPr>
      <w:r>
        <w:rPr>
          <w:b/>
          <w:bCs/>
        </w:rPr>
        <w:t xml:space="preserve">Tier 2 — Statistical (5 tests):</w:t>
      </w:r>
      <w:r>
        <w:t xml:space="preserve"> </w:t>
      </w:r>
      <w:r>
        <w:t xml:space="preserve">- Benford’s Law first-digit analysis</w:t>
      </w:r>
      <w:r>
        <w:t xml:space="preserve"> </w:t>
      </w:r>
      <w:r>
        <w:t xml:space="preserve">- Round amount concentration</w:t>
      </w:r>
      <w:r>
        <w:t xml:space="preserve"> </w:t>
      </w:r>
      <w:r>
        <w:t xml:space="preserve">- Weekend/holiday posting detection</w:t>
      </w:r>
      <w:r>
        <w:t xml:space="preserve"> </w:t>
      </w:r>
      <w:r>
        <w:t xml:space="preserve">- Unusual user activity</w:t>
      </w:r>
      <w:r>
        <w:t xml:space="preserve"> </w:t>
      </w:r>
      <w:r>
        <w:t xml:space="preserve">- Description anomaly detection</w:t>
      </w:r>
    </w:p>
    <w:p>
      <w:pPr>
        <w:pStyle w:val="BodyText"/>
      </w:pPr>
      <w:r>
        <w:rPr>
          <w:b/>
          <w:bCs/>
        </w:rPr>
        <w:t xml:space="preserve">Tier 3 — Advanced (9 tests):</w:t>
      </w:r>
      <w:r>
        <w:t xml:space="preserve"> </w:t>
      </w:r>
      <w:r>
        <w:t xml:space="preserve">- Split transaction patterns</w:t>
      </w:r>
      <w:r>
        <w:t xml:space="preserve"> </w:t>
      </w:r>
      <w:r>
        <w:t xml:space="preserve">- Sequential anomalies</w:t>
      </w:r>
      <w:r>
        <w:t xml:space="preserve"> </w:t>
      </w:r>
      <w:r>
        <w:t xml:space="preserve">- Cross-period entries</w:t>
      </w:r>
      <w:r>
        <w:t xml:space="preserve"> </w:t>
      </w:r>
      <w:r>
        <w:t xml:space="preserve">- Related party indicators</w:t>
      </w:r>
      <w:r>
        <w:t xml:space="preserve"> </w:t>
      </w:r>
      <w:r>
        <w:t xml:space="preserve">- Fraud keyword detection</w:t>
      </w:r>
      <w:r>
        <w:t xml:space="preserve"> </w:t>
      </w:r>
      <w:r>
        <w:t xml:space="preserve">- Holiday posting detection (ISA 240.A40, JT-19)</w:t>
      </w:r>
      <w:r>
        <w:t xml:space="preserve"> </w:t>
      </w:r>
      <w:r>
        <w:t xml:space="preserve">- And additional pattern-based tests</w:t>
      </w:r>
    </w:p>
    <w:bookmarkEnd w:id="36"/>
    <w:bookmarkStart w:id="37" w:name="results"/>
    <w:p>
      <w:pPr>
        <w:pStyle w:val="Heading3"/>
      </w:pPr>
      <w:r>
        <w:t xml:space="preserve">5.3 Results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Composite Score</w:t>
      </w:r>
      <w:r>
        <w:t xml:space="preserve"> </w:t>
      </w:r>
      <w:r>
        <w:t xml:space="preserve">— Overall risk tier (LOW, MODERATE, ELEVATED, HIGH)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Result Grid</w:t>
      </w:r>
      <w:r>
        <w:t xml:space="preserve"> </w:t>
      </w:r>
      <w:r>
        <w:t xml:space="preserve">— Pass/fail status per test with flagged count and flag rate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Flagged Entry Table</w:t>
      </w:r>
      <w:r>
        <w:t xml:space="preserve"> </w:t>
      </w:r>
      <w:r>
        <w:t xml:space="preserve">— Sortable, filterable, paginated (25 per page)</w:t>
      </w:r>
    </w:p>
    <w:bookmarkEnd w:id="37"/>
    <w:bookmarkStart w:id="38" w:name="stratified-sampling"/>
    <w:p>
      <w:pPr>
        <w:pStyle w:val="Heading3"/>
      </w:pPr>
      <w:r>
        <w:t xml:space="preserve">5.4 Stratified Sampling</w:t>
      </w:r>
    </w:p>
    <w:p>
      <w:pPr>
        <w:pStyle w:val="Compact"/>
        <w:numPr>
          <w:ilvl w:val="0"/>
          <w:numId w:val="1010"/>
        </w:numPr>
      </w:pPr>
      <w:r>
        <w:t xml:space="preserve">Configure sample parameters (confidence level, expected error rate)</w:t>
      </w:r>
    </w:p>
    <w:p>
      <w:pPr>
        <w:pStyle w:val="Compact"/>
        <w:numPr>
          <w:ilvl w:val="0"/>
          <w:numId w:val="1010"/>
        </w:numPr>
      </w:pPr>
      <w:r>
        <w:t xml:space="preserve">Preview stratification (strata breakdown by amount range)</w:t>
      </w:r>
    </w:p>
    <w:p>
      <w:pPr>
        <w:pStyle w:val="Compact"/>
        <w:numPr>
          <w:ilvl w:val="0"/>
          <w:numId w:val="1010"/>
        </w:numPr>
      </w:pPr>
      <w:r>
        <w:t xml:space="preserve">Execute CSPRNG-based sample selection (PCAOB AS 2315 compliant)</w:t>
      </w:r>
    </w:p>
    <w:bookmarkEnd w:id="38"/>
    <w:bookmarkStart w:id="39" w:name="exporting-2"/>
    <w:p>
      <w:pPr>
        <w:pStyle w:val="Heading3"/>
      </w:pPr>
      <w:r>
        <w:t xml:space="preserve">5.5 Exporting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JE Testing Memo (PDF)</w:t>
      </w:r>
      <w:r>
        <w:t xml:space="preserve"> </w:t>
      </w:r>
      <w:r>
        <w:t xml:space="preserve">— Professional testing memorandum (PCAOB AS 1215 / ISA 530 references)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Flagged Entries (CSV)</w:t>
      </w:r>
      <w:r>
        <w:t xml:space="preserve"> </w:t>
      </w:r>
      <w:r>
        <w:t xml:space="preserve">— All flagged entries with test key, severity, and confidence</w:t>
      </w:r>
    </w:p>
    <w:bookmarkEnd w:id="39"/>
    <w:bookmarkStart w:id="40" w:name="threshold-configuration"/>
    <w:p>
      <w:pPr>
        <w:pStyle w:val="Heading3"/>
      </w:pPr>
      <w:r>
        <w:t xml:space="preserve">5.6 Threshold Configuration</w:t>
      </w:r>
    </w:p>
    <w:p>
      <w:pPr>
        <w:pStyle w:val="FirstParagraph"/>
      </w:pPr>
      <w:r>
        <w:t xml:space="preserve">Go to Settings &gt; Practice to configure test thresholds: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Presets:</w:t>
      </w:r>
      <w:r>
        <w:t xml:space="preserve"> </w:t>
      </w:r>
      <w:r>
        <w:t xml:space="preserve">Conservative, Standard, Permissive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Custom:</w:t>
      </w:r>
      <w:r>
        <w:t xml:space="preserve"> </w:t>
      </w:r>
      <w:r>
        <w:t xml:space="preserve">Adjust individual thresholds per test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tool-4-ap-payment-testing"/>
    <w:p>
      <w:pPr>
        <w:pStyle w:val="Heading2"/>
      </w:pPr>
      <w:r>
        <w:t xml:space="preserve">6. Tool 4: AP Payment Testing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/tools/ap-testing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Detect duplicate payments, vendor anomalies, and fraud indicators in accounts payable data.</w:t>
      </w:r>
    </w:p>
    <w:bookmarkStart w:id="42" w:name="upload-1"/>
    <w:p>
      <w:pPr>
        <w:pStyle w:val="Heading3"/>
      </w:pPr>
      <w:r>
        <w:t xml:space="preserve">6.1 Upload</w:t>
      </w:r>
    </w:p>
    <w:p>
      <w:pPr>
        <w:pStyle w:val="FirstParagraph"/>
      </w:pPr>
      <w:r>
        <w:t xml:space="preserve">Upload an AP payment register. Key columns: Vendor, Invoice Number, Amount, Payment Date. Optional: Check Number, Description, Payment Method.</w:t>
      </w:r>
    </w:p>
    <w:bookmarkEnd w:id="42"/>
    <w:bookmarkStart w:id="43" w:name="test-battery-13-tests"/>
    <w:p>
      <w:pPr>
        <w:pStyle w:val="Heading3"/>
      </w:pPr>
      <w:r>
        <w:t xml:space="preserve">6.2 Test Battery (13 Tests)</w:t>
      </w:r>
    </w:p>
    <w:p>
      <w:pPr>
        <w:pStyle w:val="FirstParagraph"/>
      </w:pPr>
      <w:r>
        <w:rPr>
          <w:b/>
          <w:bCs/>
        </w:rPr>
        <w:t xml:space="preserve">Tier 1 — Structural (5 tests):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AP-T1:</w:t>
      </w:r>
      <w:r>
        <w:t xml:space="preserve"> </w:t>
      </w:r>
      <w:r>
        <w:t xml:space="preserve">Exact duplicate payments (same vendor + invoice + amount + date)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AP-T2:</w:t>
      </w:r>
      <w:r>
        <w:t xml:space="preserve"> </w:t>
      </w:r>
      <w:r>
        <w:t xml:space="preserve">Missing critical fields (blank vendor, zero amount)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AP-T3:</w:t>
      </w:r>
      <w:r>
        <w:t xml:space="preserve"> </w:t>
      </w:r>
      <w:r>
        <w:t xml:space="preserve">Check number gaps (sequential gap detection)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AP-T4:</w:t>
      </w:r>
      <w:r>
        <w:t xml:space="preserve"> </w:t>
      </w:r>
      <w:r>
        <w:t xml:space="preserve">Round dollar amounts ($10K+ thresholds)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AP-T5:</w:t>
      </w:r>
      <w:r>
        <w:t xml:space="preserve"> </w:t>
      </w:r>
      <w:r>
        <w:t xml:space="preserve">Payment before invoice date</w:t>
      </w:r>
    </w:p>
    <w:p>
      <w:pPr>
        <w:pStyle w:val="BodyText"/>
      </w:pPr>
      <w:r>
        <w:rPr>
          <w:b/>
          <w:bCs/>
        </w:rPr>
        <w:t xml:space="preserve">Tier 2 — Statistical (5 tests):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AP-T6:</w:t>
      </w:r>
      <w:r>
        <w:t xml:space="preserve"> </w:t>
      </w:r>
      <w:r>
        <w:t xml:space="preserve">Fuzzy duplicate payments (same vendor, similar amount, different dates)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AP-T7:</w:t>
      </w:r>
      <w:r>
        <w:t xml:space="preserve"> </w:t>
      </w:r>
      <w:r>
        <w:t xml:space="preserve">Invoice number reuse across vendors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AP-T8:</w:t>
      </w:r>
      <w:r>
        <w:t xml:space="preserve"> </w:t>
      </w:r>
      <w:r>
        <w:t xml:space="preserve">Unusual payment amounts (per-vendor z-score outliers)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AP-T9:</w:t>
      </w:r>
      <w:r>
        <w:t xml:space="preserve"> </w:t>
      </w:r>
      <w:r>
        <w:t xml:space="preserve">Weekend payments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AP-T10:</w:t>
      </w:r>
      <w:r>
        <w:t xml:space="preserve"> </w:t>
      </w:r>
      <w:r>
        <w:t xml:space="preserve">High-frequency vendors (5+ payments on one day)</w:t>
      </w:r>
    </w:p>
    <w:p>
      <w:pPr>
        <w:pStyle w:val="BodyText"/>
      </w:pPr>
      <w:r>
        <w:rPr>
          <w:b/>
          <w:bCs/>
        </w:rPr>
        <w:t xml:space="preserve">Tier 3 — Fraud Indicators (3 tests):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AP-T11:</w:t>
      </w:r>
      <w:r>
        <w:t xml:space="preserve"> </w:t>
      </w:r>
      <w:r>
        <w:t xml:space="preserve">Vendor name variations (similar names that might be the same vendor)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AP-T12:</w:t>
      </w:r>
      <w:r>
        <w:t xml:space="preserve"> </w:t>
      </w:r>
      <w:r>
        <w:t xml:space="preserve">Just-below-threshold amounts (within 5% of approval limits)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AP-T13:</w:t>
      </w:r>
      <w:r>
        <w:t xml:space="preserve"> </w:t>
      </w:r>
      <w:r>
        <w:t xml:space="preserve">Suspicious descriptions (16 AP-specific keywords)</w:t>
      </w:r>
    </w:p>
    <w:bookmarkEnd w:id="43"/>
    <w:bookmarkStart w:id="44" w:name="results-1"/>
    <w:p>
      <w:pPr>
        <w:pStyle w:val="Heading3"/>
      </w:pPr>
      <w:r>
        <w:t xml:space="preserve">6.3 Results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Composite Score Ring</w:t>
      </w:r>
      <w:r>
        <w:t xml:space="preserve"> </w:t>
      </w:r>
      <w:r>
        <w:t xml:space="preserve">— Visual risk tier indicator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Result Grid</w:t>
      </w:r>
      <w:r>
        <w:t xml:space="preserve"> </w:t>
      </w:r>
      <w:r>
        <w:t xml:space="preserve">— Cards organized by tier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Flagged Payment Table</w:t>
      </w:r>
      <w:r>
        <w:t xml:space="preserve"> </w:t>
      </w:r>
      <w:r>
        <w:t xml:space="preserve">— Sortable by test, vendor, amount, date, severity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Quality Badge</w:t>
      </w:r>
      <w:r>
        <w:t xml:space="preserve"> </w:t>
      </w:r>
      <w:r>
        <w:t xml:space="preserve">— Field completeness score</w:t>
      </w:r>
    </w:p>
    <w:bookmarkEnd w:id="44"/>
    <w:bookmarkStart w:id="45" w:name="exporting-3"/>
    <w:p>
      <w:pPr>
        <w:pStyle w:val="Heading3"/>
      </w:pPr>
      <w:r>
        <w:t xml:space="preserve">6.4 Exporting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 Testing Memo (PDF)</w:t>
      </w:r>
      <w:r>
        <w:t xml:space="preserve"> </w:t>
      </w:r>
      <w:r>
        <w:t xml:space="preserve">— Professional memorandum (ISA 240 / ISA 500 / PCAOB AS 2401)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Flagged Payments (CSV)</w:t>
      </w:r>
      <w:r>
        <w:t xml:space="preserve"> </w:t>
      </w:r>
      <w:r>
        <w:t xml:space="preserve">— All flagged items with test details, severity, confidence</w:t>
      </w:r>
    </w:p>
    <w:bookmarkEnd w:id="45"/>
    <w:bookmarkStart w:id="46" w:name="threshold-configuration-1"/>
    <w:p>
      <w:pPr>
        <w:pStyle w:val="Heading3"/>
      </w:pPr>
      <w:r>
        <w:t xml:space="preserve">6.5 Threshold Configuration</w:t>
      </w:r>
    </w:p>
    <w:p>
      <w:pPr>
        <w:pStyle w:val="FirstParagraph"/>
      </w:pPr>
      <w:r>
        <w:t xml:space="preserve">Settings &gt; Practice &gt; AP Testing section: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Presets:</w:t>
      </w:r>
      <w:r>
        <w:t xml:space="preserve"> </w:t>
      </w:r>
      <w:r>
        <w:t xml:space="preserve">Conservative, Standard, Permissive, Custom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thresholds:</w:t>
      </w:r>
      <w:r>
        <w:t xml:space="preserve"> </w:t>
      </w:r>
      <w:r>
        <w:t xml:space="preserve">Round Amount ($), Duplicate Date Window (days), Unusual Amount Sensitivity (sigma), Keyword Sensitivity (%)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Toggle tests:</w:t>
      </w:r>
      <w:r>
        <w:t xml:space="preserve"> </w:t>
      </w:r>
      <w:r>
        <w:t xml:space="preserve">Enable/disable individual tests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tool-5-bank-reconciliation"/>
    <w:p>
      <w:pPr>
        <w:pStyle w:val="Heading2"/>
      </w:pPr>
      <w:r>
        <w:t xml:space="preserve">7. Tool 5: Bank Reconciliation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/tools/bank-rec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Reconcile bank statement transactions against general ledger cash detail.</w:t>
      </w:r>
    </w:p>
    <w:bookmarkStart w:id="48" w:name="upload-2"/>
    <w:p>
      <w:pPr>
        <w:pStyle w:val="Heading3"/>
      </w:pPr>
      <w:r>
        <w:t xml:space="preserve">7.1 Upload</w:t>
      </w:r>
    </w:p>
    <w:p>
      <w:pPr>
        <w:pStyle w:val="FirstParagraph"/>
      </w:pPr>
      <w:r>
        <w:t xml:space="preserve">Upload two files side-by-side: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Left:</w:t>
      </w:r>
      <w:r>
        <w:t xml:space="preserve"> </w:t>
      </w:r>
      <w:r>
        <w:t xml:space="preserve">Bank Statement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Right:</w:t>
      </w:r>
      <w:r>
        <w:t xml:space="preserve"> </w:t>
      </w:r>
      <w:r>
        <w:t xml:space="preserve">GL Cash Detail</w:t>
      </w:r>
    </w:p>
    <w:p>
      <w:pPr>
        <w:pStyle w:val="BodyText"/>
      </w:pPr>
      <w:r>
        <w:t xml:space="preserve">Column detection is automatic. If columns aren’t detected confidently, a warning appears.</w:t>
      </w:r>
    </w:p>
    <w:bookmarkEnd w:id="48"/>
    <w:bookmarkStart w:id="49" w:name="how-matching-works"/>
    <w:p>
      <w:pPr>
        <w:pStyle w:val="Heading3"/>
      </w:pPr>
      <w:r>
        <w:t xml:space="preserve">7.2 How Matching Works</w:t>
      </w:r>
    </w:p>
    <w:p>
      <w:pPr>
        <w:pStyle w:val="FirstParagraph"/>
      </w:pPr>
      <w:r>
        <w:t xml:space="preserve">Paciolus uses exact matching:</w:t>
      </w:r>
      <w:r>
        <w:t xml:space="preserve"> </w:t>
      </w:r>
      <w:r>
        <w:t xml:space="preserve">- Matches by amount (with configurable tolerance, default $0.01)</w:t>
      </w:r>
      <w:r>
        <w:t xml:space="preserve"> </w:t>
      </w:r>
      <w:r>
        <w:t xml:space="preserve">- Greedy algorithm processes largest amounts first</w:t>
      </w:r>
      <w:r>
        <w:t xml:space="preserve"> </w:t>
      </w:r>
      <w:r>
        <w:t xml:space="preserve">- Each transaction can only match once (one-to-one)</w:t>
      </w:r>
      <w:r>
        <w:t xml:space="preserve"> </w:t>
      </w:r>
      <w:r>
        <w:t xml:space="preserve">- Date tolerance also configurable</w:t>
      </w:r>
    </w:p>
    <w:bookmarkEnd w:id="49"/>
    <w:bookmarkStart w:id="50" w:name="results-2"/>
    <w:p>
      <w:pPr>
        <w:pStyle w:val="Heading3"/>
      </w:pPr>
      <w:r>
        <w:t xml:space="preserve">7.3 Results</w:t>
      </w:r>
    </w:p>
    <w:p>
      <w:pPr>
        <w:pStyle w:val="FirstParagraph"/>
      </w:pPr>
      <w:r>
        <w:rPr>
          <w:b/>
          <w:bCs/>
        </w:rPr>
        <w:t xml:space="preserve">Match Summary Cards:</w:t>
      </w:r>
      <w:r>
        <w:t xml:space="preserve"> </w:t>
      </w:r>
      <w:r>
        <w:t xml:space="preserve">- Matched count and amount</w:t>
      </w:r>
      <w:r>
        <w:t xml:space="preserve"> </w:t>
      </w:r>
      <w:r>
        <w:t xml:space="preserve">- Bank-only items (outstanding deposits/checks)</w:t>
      </w:r>
      <w:r>
        <w:t xml:space="preserve"> </w:t>
      </w:r>
      <w:r>
        <w:t xml:space="preserve">- Ledger-only items (unrecorded transactions)</w:t>
      </w:r>
      <w:r>
        <w:t xml:space="preserve"> </w:t>
      </w:r>
      <w:r>
        <w:t xml:space="preserve">- Reconciling difference</w:t>
      </w:r>
    </w:p>
    <w:p>
      <w:pPr>
        <w:pStyle w:val="BodyText"/>
      </w:pPr>
      <w:r>
        <w:rPr>
          <w:b/>
          <w:bCs/>
        </w:rPr>
        <w:t xml:space="preserve">Match Table:</w:t>
      </w:r>
      <w:r>
        <w:t xml:space="preserve"> </w:t>
      </w:r>
      <w:r>
        <w:t xml:space="preserve">Color-coded rows:</w:t>
      </w:r>
      <w:r>
        <w:t xml:space="preserve"> </w:t>
      </w:r>
      <w:r>
        <w:t xml:space="preserve">- Matched transactions (paired)</w:t>
      </w:r>
      <w:r>
        <w:t xml:space="preserve"> </w:t>
      </w:r>
      <w:r>
        <w:t xml:space="preserve">- Bank-only items (auto-categorized as Outstanding Check/Deposit, Deposit in Transit)</w:t>
      </w:r>
      <w:r>
        <w:t xml:space="preserve"> </w:t>
      </w:r>
      <w:r>
        <w:t xml:space="preserve">- Ledger-only items (auto-categorized as Unrecorded Check)</w:t>
      </w:r>
    </w:p>
    <w:p>
      <w:pPr>
        <w:pStyle w:val="BodyText"/>
      </w:pPr>
      <w:r>
        <w:rPr>
          <w:b/>
          <w:bCs/>
        </w:rPr>
        <w:t xml:space="preserve">Reconciliation Bridge:</w:t>
      </w:r>
      <w:r>
        <w:t xml:space="preserve"> </w:t>
      </w:r>
      <w:r>
        <w:t xml:space="preserve">Standard bank rec workpaper format showing:</w:t>
      </w:r>
      <w:r>
        <w:t xml:space="preserve"> </w:t>
      </w:r>
      <w:r>
        <w:t xml:space="preserve">- Bank balance → Adjusted bank balance</w:t>
      </w:r>
      <w:r>
        <w:t xml:space="preserve"> </w:t>
      </w:r>
      <w:r>
        <w:t xml:space="preserve">- GL balance → Adjusted GL balance</w:t>
      </w:r>
      <w:r>
        <w:t xml:space="preserve"> </w:t>
      </w:r>
      <w:r>
        <w:t xml:space="preserve">- Reconciling items breakdown</w:t>
      </w:r>
    </w:p>
    <w:bookmarkEnd w:id="50"/>
    <w:bookmarkStart w:id="51" w:name="exporting-4"/>
    <w:p>
      <w:pPr>
        <w:pStyle w:val="Heading3"/>
      </w:pPr>
      <w:r>
        <w:t xml:space="preserve">7.4 Exporting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Bank Rec Memo (PDF)</w:t>
      </w:r>
      <w:r>
        <w:t xml:space="preserve"> </w:t>
      </w:r>
      <w:r>
        <w:t xml:space="preserve">— Reconciliation verification workpaper memo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CSV Report</w:t>
      </w:r>
      <w:r>
        <w:t xml:space="preserve"> </w:t>
      </w:r>
      <w:r>
        <w:t xml:space="preserve">— 4 sections: Matched, Bank-Only, Ledger-Only, Summary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ool-6-payroll-testing"/>
    <w:p>
      <w:pPr>
        <w:pStyle w:val="Heading2"/>
      </w:pPr>
      <w:r>
        <w:t xml:space="preserve">8. Tool 6: Payroll Testing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/tools/payroll-testing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Automated payroll register analysis with 11 tests covering structural, statistical, and fraud indicators.</w:t>
      </w:r>
    </w:p>
    <w:bookmarkStart w:id="53" w:name="upload-3"/>
    <w:p>
      <w:pPr>
        <w:pStyle w:val="Heading3"/>
      </w:pPr>
      <w:r>
        <w:t xml:space="preserve">8.1 Upload</w:t>
      </w:r>
    </w:p>
    <w:p>
      <w:pPr>
        <w:pStyle w:val="FirstParagraph"/>
      </w:pPr>
      <w:r>
        <w:t xml:space="preserve">Upload a payroll register. Key columns: Employee Name/ID, Gross Pay, Pay Date. Optional: Department, Hours, Rate, Net Pay, Deductions.</w:t>
      </w:r>
    </w:p>
    <w:bookmarkEnd w:id="53"/>
    <w:bookmarkStart w:id="54" w:name="test-battery-11-tests"/>
    <w:p>
      <w:pPr>
        <w:pStyle w:val="Heading3"/>
      </w:pPr>
      <w:r>
        <w:t xml:space="preserve">8.2 Test Battery (11 Tests)</w:t>
      </w:r>
    </w:p>
    <w:p>
      <w:pPr>
        <w:pStyle w:val="FirstParagraph"/>
      </w:pPr>
      <w:r>
        <w:rPr>
          <w:b/>
          <w:bCs/>
        </w:rPr>
        <w:t xml:space="preserve">Structural tests:</w:t>
      </w:r>
      <w:r>
        <w:t xml:space="preserve"> </w:t>
      </w:r>
      <w:r>
        <w:t xml:space="preserve">Missing fields, duplicate records, pay frequency anomalies, termination-date checks.</w:t>
      </w:r>
    </w:p>
    <w:p>
      <w:pPr>
        <w:pStyle w:val="BodyText"/>
      </w:pPr>
      <w:r>
        <w:rPr>
          <w:b/>
          <w:bCs/>
        </w:rPr>
        <w:t xml:space="preserve">Statistical tests:</w:t>
      </w:r>
      <w:r>
        <w:t xml:space="preserve"> </w:t>
      </w:r>
      <w:r>
        <w:t xml:space="preserve">Gross pay outliers, overtime concentration, departmental variance.</w:t>
      </w:r>
    </w:p>
    <w:p>
      <w:pPr>
        <w:pStyle w:val="BodyText"/>
      </w:pPr>
      <w:r>
        <w:rPr>
          <w:b/>
          <w:bCs/>
        </w:rPr>
        <w:t xml:space="preserve">Fraud indicators:</w:t>
      </w:r>
      <w:r>
        <w:t xml:space="preserve"> </w:t>
      </w:r>
      <w:r>
        <w:t xml:space="preserve">Ghost employee detection (terminated employees still receiving pay), split-payroll patterns, round-amount concentration.</w:t>
      </w:r>
    </w:p>
    <w:bookmarkEnd w:id="54"/>
    <w:bookmarkStart w:id="55" w:name="results-3"/>
    <w:p>
      <w:pPr>
        <w:pStyle w:val="Heading3"/>
      </w:pPr>
      <w:r>
        <w:t xml:space="preserve">8.3 Results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Composite Score</w:t>
      </w:r>
      <w:r>
        <w:t xml:space="preserve"> </w:t>
      </w:r>
      <w:r>
        <w:t xml:space="preserve">— Risk tier assessment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Result Grid</w:t>
      </w:r>
      <w:r>
        <w:t xml:space="preserve"> </w:t>
      </w:r>
      <w:r>
        <w:t xml:space="preserve">— Pass/fail by test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Flagged Employee Table</w:t>
      </w:r>
      <w:r>
        <w:t xml:space="preserve"> </w:t>
      </w:r>
      <w:r>
        <w:t xml:space="preserve">— Sortable by test, employee, amount, severity</w:t>
      </w:r>
    </w:p>
    <w:bookmarkEnd w:id="55"/>
    <w:bookmarkStart w:id="56" w:name="exporting-5"/>
    <w:p>
      <w:pPr>
        <w:pStyle w:val="Heading3"/>
      </w:pPr>
      <w:r>
        <w:t xml:space="preserve">8.4 Exporting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Payroll Testing Memo (PDF)</w:t>
      </w:r>
      <w:r>
        <w:t xml:space="preserve"> </w:t>
      </w:r>
      <w:r>
        <w:t xml:space="preserve">— ISA 500 workpaper memo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Flagged Entries (CSV)</w:t>
      </w:r>
      <w:r>
        <w:t xml:space="preserve"> </w:t>
      </w:r>
      <w:r>
        <w:t xml:space="preserve">— All flagged items with test details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ool-7-three-way-match"/>
    <w:p>
      <w:pPr>
        <w:pStyle w:val="Heading2"/>
      </w:pPr>
      <w:r>
        <w:t xml:space="preserve">9. Tool 7: Three-Way Match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/tools/three-way-match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Match Purchase Orders to Invoices to Receipts with variance analysis.</w:t>
      </w:r>
    </w:p>
    <w:bookmarkStart w:id="58" w:name="upload-4"/>
    <w:p>
      <w:pPr>
        <w:pStyle w:val="Heading3"/>
      </w:pPr>
      <w:r>
        <w:t xml:space="preserve">9.1 Upload</w:t>
      </w:r>
    </w:p>
    <w:p>
      <w:pPr>
        <w:pStyle w:val="FirstParagraph"/>
      </w:pPr>
      <w:r>
        <w:t xml:space="preserve">Upload up to three data files: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 Orders</w:t>
      </w:r>
      <w:r>
        <w:t xml:space="preserve"> </w:t>
      </w:r>
      <w:r>
        <w:t xml:space="preserve">— PO Number, Vendor, Amount,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Invoices</w:t>
      </w:r>
      <w:r>
        <w:t xml:space="preserve"> </w:t>
      </w:r>
      <w:r>
        <w:t xml:space="preserve">— Invoice Number, Vendor, Amount, Date, PO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Receipts</w:t>
      </w:r>
      <w:r>
        <w:t xml:space="preserve"> </w:t>
      </w:r>
      <w:r>
        <w:t xml:space="preserve">— Receipt ID, PO Reference, Quantity/Amount Received</w:t>
      </w:r>
    </w:p>
    <w:bookmarkEnd w:id="58"/>
    <w:bookmarkStart w:id="59" w:name="matching-logic"/>
    <w:p>
      <w:pPr>
        <w:pStyle w:val="Heading3"/>
      </w:pPr>
      <w:r>
        <w:t xml:space="preserve">9.2 Matching Logic</w:t>
      </w:r>
    </w:p>
    <w:p>
      <w:pPr>
        <w:pStyle w:val="FirstParagraph"/>
      </w:pPr>
      <w:r>
        <w:t xml:space="preserve">Paciolus performs exact PO# linkage first, then falls back to fuzzy matching (vendor + amount similarity). Variances between PO, Invoice, and Receipt amounts are flagged.</w:t>
      </w:r>
    </w:p>
    <w:bookmarkEnd w:id="59"/>
    <w:bookmarkStart w:id="60" w:name="results-4"/>
    <w:p>
      <w:pPr>
        <w:pStyle w:val="Heading3"/>
      </w:pPr>
      <w:r>
        <w:t xml:space="preserve">9.3 Results</w:t>
      </w:r>
    </w:p>
    <w:p>
      <w:pPr>
        <w:pStyle w:val="Compact"/>
        <w:numPr>
          <w:ilvl w:val="0"/>
          <w:numId w:val="1017"/>
        </w:numPr>
      </w:pPr>
      <w:r>
        <w:t xml:space="preserve">Match status per document set (Fully Matched, Partial Match, Unmatched)</w:t>
      </w:r>
    </w:p>
    <w:p>
      <w:pPr>
        <w:pStyle w:val="Compact"/>
        <w:numPr>
          <w:ilvl w:val="0"/>
          <w:numId w:val="1017"/>
        </w:numPr>
      </w:pPr>
      <w:r>
        <w:t xml:space="preserve">Variance analysis (PO vs. Invoice, Invoice vs. Receipt)</w:t>
      </w:r>
    </w:p>
    <w:p>
      <w:pPr>
        <w:pStyle w:val="Compact"/>
        <w:numPr>
          <w:ilvl w:val="0"/>
          <w:numId w:val="1017"/>
        </w:numPr>
      </w:pPr>
      <w:r>
        <w:t xml:space="preserve">Flagged mismatches with severity assessment</w:t>
      </w:r>
    </w:p>
    <w:bookmarkEnd w:id="60"/>
    <w:bookmarkStart w:id="61" w:name="exporting-6"/>
    <w:p>
      <w:pPr>
        <w:pStyle w:val="Heading3"/>
      </w:pPr>
      <w:r>
        <w:t xml:space="preserve">9.4 Exporting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Three-Way Match Memo (PDF)</w:t>
      </w:r>
      <w:r>
        <w:t xml:space="preserve"> </w:t>
      </w:r>
      <w:r>
        <w:t xml:space="preserve">— Reconciliation workpaper memo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Flagged Items (CSV)</w:t>
      </w:r>
      <w:r>
        <w:t xml:space="preserve"> </w:t>
      </w:r>
      <w:r>
        <w:t xml:space="preserve">— All flagged matches with variance details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tool-8-revenue-testing"/>
    <w:p>
      <w:pPr>
        <w:pStyle w:val="Heading2"/>
      </w:pPr>
      <w:r>
        <w:t xml:space="preserve">10. Tool 8: Revenue Testing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/tools/revenue-testing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Automated revenue transaction analysis with 16 tests covering structural, statistical, advanced, and contract-aware assessments (ISA 240, ASC 606/IFRS 15).</w:t>
      </w:r>
    </w:p>
    <w:bookmarkStart w:id="63" w:name="upload-5"/>
    <w:p>
      <w:pPr>
        <w:pStyle w:val="Heading3"/>
      </w:pPr>
      <w:r>
        <w:t xml:space="preserve">10.1 Upload</w:t>
      </w:r>
    </w:p>
    <w:p>
      <w:pPr>
        <w:pStyle w:val="FirstParagraph"/>
      </w:pPr>
      <w:r>
        <w:t xml:space="preserve">Upload a revenue register or sales journal. Key columns: Transaction ID, Date, Amount, Customer/Account. Optional: Contract ID, Obligation ID, Product/Service.</w:t>
      </w:r>
    </w:p>
    <w:bookmarkEnd w:id="63"/>
    <w:bookmarkStart w:id="64" w:name="test-battery-16-tests"/>
    <w:p>
      <w:pPr>
        <w:pStyle w:val="Heading3"/>
      </w:pPr>
      <w:r>
        <w:t xml:space="preserve">10.2 Test Battery (16 Tests)</w:t>
      </w:r>
    </w:p>
    <w:p>
      <w:pPr>
        <w:pStyle w:val="FirstParagraph"/>
      </w:pPr>
      <w:r>
        <w:rPr>
          <w:b/>
          <w:bCs/>
        </w:rPr>
        <w:t xml:space="preserve">Tier 1 — Structural (5 tests):</w:t>
      </w:r>
      <w:r>
        <w:t xml:space="preserve"> </w:t>
      </w:r>
      <w:r>
        <w:t xml:space="preserve">- Missing fields, duplicate transactions, negative revenue, date gaps, unusual customers</w:t>
      </w:r>
    </w:p>
    <w:p>
      <w:pPr>
        <w:pStyle w:val="BodyText"/>
      </w:pPr>
      <w:r>
        <w:rPr>
          <w:b/>
          <w:bCs/>
        </w:rPr>
        <w:t xml:space="preserve">Tier 2 — Statistical (4 tests):</w:t>
      </w:r>
      <w:r>
        <w:t xml:space="preserve"> </w:t>
      </w:r>
      <w:r>
        <w:t xml:space="preserve">- Amount outliers, concentration risk, Benford’s analysis, seasonality deviation</w:t>
      </w:r>
    </w:p>
    <w:p>
      <w:pPr>
        <w:pStyle w:val="BodyText"/>
      </w:pPr>
      <w:r>
        <w:rPr>
          <w:b/>
          <w:bCs/>
        </w:rPr>
        <w:t xml:space="preserve">Tier 3 — Advanced (3 tests):</w:t>
      </w:r>
      <w:r>
        <w:t xml:space="preserve"> </w:t>
      </w:r>
      <w:r>
        <w:t xml:space="preserve">- Revenue recognition timing, period-end spikes, reversal patterns</w:t>
      </w:r>
    </w:p>
    <w:p>
      <w:pPr>
        <w:pStyle w:val="BodyText"/>
      </w:pPr>
      <w:r>
        <w:rPr>
          <w:b/>
          <w:bCs/>
        </w:rPr>
        <w:t xml:space="preserve">Tier 4 — Contract-Aware (4 tests, optional):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RT-13:</w:t>
      </w:r>
      <w:r>
        <w:t xml:space="preserve"> </w:t>
      </w:r>
      <w:r>
        <w:t xml:space="preserve">Recognition timing (ASC 606 Step 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RT-14:</w:t>
      </w:r>
      <w:r>
        <w:t xml:space="preserve"> </w:t>
      </w:r>
      <w:r>
        <w:t xml:space="preserve">Obligation linkage (ASC 606 Step 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RT-15:</w:t>
      </w:r>
      <w:r>
        <w:t xml:space="preserve"> </w:t>
      </w:r>
      <w:r>
        <w:t xml:space="preserve">Modification treatment (ASC 606-10-25-12)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RT-16:</w:t>
      </w:r>
      <w:r>
        <w:t xml:space="preserve"> </w:t>
      </w:r>
      <w:r>
        <w:t xml:space="preserve">SSP allocation (ASC 606 Step 4)</w:t>
      </w:r>
    </w:p>
    <w:p>
      <w:pPr>
        <w:pStyle w:val="BodyText"/>
      </w:pPr>
      <w:r>
        <w:t xml:space="preserve">Contract-aware tests activate when contract columns are detected. If columns are absent, tests are skipped with a reason — no errors are raised.</w:t>
      </w:r>
    </w:p>
    <w:bookmarkEnd w:id="64"/>
    <w:bookmarkStart w:id="65" w:name="exporting-7"/>
    <w:p>
      <w:pPr>
        <w:pStyle w:val="Heading3"/>
      </w:pPr>
      <w:r>
        <w:t xml:space="preserve">10.3 Exporting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Revenue Testing Memo (PDF)</w:t>
      </w:r>
      <w:r>
        <w:t xml:space="preserve"> </w:t>
      </w:r>
      <w:r>
        <w:t xml:space="preserve">— ASC 606/IFRS 15 workpaper memo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Flagged Transactions (CSV)</w:t>
      </w:r>
      <w:r>
        <w:t xml:space="preserve"> </w:t>
      </w:r>
      <w:r>
        <w:t xml:space="preserve">— All flagged items with test details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tool-9-ar-aging-analysis"/>
    <w:p>
      <w:pPr>
        <w:pStyle w:val="Heading2"/>
      </w:pPr>
      <w:r>
        <w:t xml:space="preserve">11. Tool 9: AR Aging Analysis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/tools/ar-aging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Accounts receivable aging analysis with 11 automated tests covering structural, statistical, and advanced assessments (ISA 500/540).</w:t>
      </w:r>
    </w:p>
    <w:bookmarkStart w:id="67" w:name="upload-6"/>
    <w:p>
      <w:pPr>
        <w:pStyle w:val="Heading3"/>
      </w:pPr>
      <w:r>
        <w:t xml:space="preserve">11.1 Upload</w:t>
      </w:r>
    </w:p>
    <w:p>
      <w:pPr>
        <w:pStyle w:val="FirstParagraph"/>
      </w:pPr>
      <w:r>
        <w:rPr>
          <w:b/>
          <w:bCs/>
        </w:rPr>
        <w:t xml:space="preserve">Dual-input: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Required:</w:t>
      </w:r>
      <w:r>
        <w:t xml:space="preserve"> </w:t>
      </w:r>
      <w:r>
        <w:t xml:space="preserve">Trial Balance with AR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Optional:</w:t>
      </w:r>
      <w:r>
        <w:t xml:space="preserve"> </w:t>
      </w:r>
      <w:r>
        <w:t xml:space="preserve">AR Sub-Ledger detail for deeper analysis</w:t>
      </w:r>
    </w:p>
    <w:bookmarkEnd w:id="67"/>
    <w:bookmarkStart w:id="68" w:name="test-battery-11-tests-1"/>
    <w:p>
      <w:pPr>
        <w:pStyle w:val="Heading3"/>
      </w:pPr>
      <w:r>
        <w:t xml:space="preserve">11.2 Test Battery (11 Tests)</w:t>
      </w:r>
    </w:p>
    <w:p>
      <w:pPr>
        <w:pStyle w:val="FirstParagraph"/>
      </w:pPr>
      <w:r>
        <w:rPr>
          <w:b/>
          <w:bCs/>
        </w:rPr>
        <w:t xml:space="preserve">Structural (4 tests):</w:t>
      </w:r>
      <w:r>
        <w:t xml:space="preserve"> </w:t>
      </w:r>
      <w:r>
        <w:t xml:space="preserve">Missing data, duplicate accounts, negative balances, aging bucket validation.</w:t>
      </w:r>
    </w:p>
    <w:p>
      <w:pPr>
        <w:pStyle w:val="BodyText"/>
      </w:pPr>
      <w:r>
        <w:rPr>
          <w:b/>
          <w:bCs/>
        </w:rPr>
        <w:t xml:space="preserve">Statistical (5 tests):</w:t>
      </w:r>
      <w:r>
        <w:t xml:space="preserve"> </w:t>
      </w:r>
      <w:r>
        <w:t xml:space="preserve">Concentration risk, aging distribution outliers, DSO calculation, allowance adequacy, trend deviation.</w:t>
      </w:r>
    </w:p>
    <w:p>
      <w:pPr>
        <w:pStyle w:val="BodyText"/>
      </w:pPr>
      <w:r>
        <w:rPr>
          <w:b/>
          <w:bCs/>
        </w:rPr>
        <w:t xml:space="preserve">Advanced (2 tests):</w:t>
      </w:r>
      <w:r>
        <w:t xml:space="preserve"> </w:t>
      </w:r>
      <w:r>
        <w:t xml:space="preserve">Subsequent collection analysis, credit limit assessment.</w:t>
      </w:r>
    </w:p>
    <w:bookmarkEnd w:id="68"/>
    <w:bookmarkStart w:id="69" w:name="exporting-8"/>
    <w:p>
      <w:pPr>
        <w:pStyle w:val="Heading3"/>
      </w:pPr>
      <w:r>
        <w:t xml:space="preserve">11.3 Exporting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 Aging Memo (PDF)</w:t>
      </w:r>
      <w:r>
        <w:t xml:space="preserve"> </w:t>
      </w:r>
      <w:r>
        <w:t xml:space="preserve">— ISA 500/540 receivables valuation workpaper memo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Flagged Accounts (CSV)</w:t>
      </w:r>
      <w:r>
        <w:t xml:space="preserve"> </w:t>
      </w:r>
      <w:r>
        <w:t xml:space="preserve">— All flagged items with severity and test details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ool-10-fixed-asset-testing"/>
    <w:p>
      <w:pPr>
        <w:pStyle w:val="Heading2"/>
      </w:pPr>
      <w:r>
        <w:t xml:space="preserve">12. Tool 10: Fixed Asset Testing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/tools/fixed-assets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PP&amp;E testing with 9 automated tests covering structural, statistical, and advanced assessments (IAS 16/ASC 360).</w:t>
      </w:r>
    </w:p>
    <w:bookmarkStart w:id="71" w:name="upload-7"/>
    <w:p>
      <w:pPr>
        <w:pStyle w:val="Heading3"/>
      </w:pPr>
      <w:r>
        <w:t xml:space="preserve">12.1 Upload</w:t>
      </w:r>
    </w:p>
    <w:p>
      <w:pPr>
        <w:pStyle w:val="FirstParagraph"/>
      </w:pPr>
      <w:r>
        <w:t xml:space="preserve">Upload a fixed asset register. Key columns: Asset Description, Cost, Accumulated Depreciation, Useful Life, Date Placed in Service.</w:t>
      </w:r>
    </w:p>
    <w:bookmarkEnd w:id="71"/>
    <w:bookmarkStart w:id="72" w:name="test-battery-9-tests"/>
    <w:p>
      <w:pPr>
        <w:pStyle w:val="Heading3"/>
      </w:pPr>
      <w:r>
        <w:t xml:space="preserve">12.2 Test Battery (9 Tests)</w:t>
      </w:r>
    </w:p>
    <w:p>
      <w:pPr>
        <w:pStyle w:val="FirstParagraph"/>
      </w:pPr>
      <w:r>
        <w:rPr>
          <w:b/>
          <w:bCs/>
        </w:rPr>
        <w:t xml:space="preserve">Structural (4 tests):</w:t>
      </w:r>
      <w:r>
        <w:t xml:space="preserve"> </w:t>
      </w:r>
      <w:r>
        <w:t xml:space="preserve">Missing data, duplicate assets, negative values, classification anomalies.</w:t>
      </w:r>
    </w:p>
    <w:p>
      <w:pPr>
        <w:pStyle w:val="BodyText"/>
      </w:pPr>
      <w:r>
        <w:rPr>
          <w:b/>
          <w:bCs/>
        </w:rPr>
        <w:t xml:space="preserve">Statistical (3 tests):</w:t>
      </w:r>
      <w:r>
        <w:t xml:space="preserve"> </w:t>
      </w:r>
      <w:r>
        <w:t xml:space="preserve">Depreciation outliers, useful life deviation, capitalization threshold analysis.</w:t>
      </w:r>
    </w:p>
    <w:p>
      <w:pPr>
        <w:pStyle w:val="BodyText"/>
      </w:pPr>
      <w:r>
        <w:rPr>
          <w:b/>
          <w:bCs/>
        </w:rPr>
        <w:t xml:space="preserve">Advanced (2 tests):</w:t>
      </w:r>
      <w:r>
        <w:t xml:space="preserve"> </w:t>
      </w:r>
      <w:r>
        <w:t xml:space="preserve">Impairment indicators, disposal pattern analysis.</w:t>
      </w:r>
    </w:p>
    <w:bookmarkEnd w:id="72"/>
    <w:bookmarkStart w:id="73" w:name="exporting-9"/>
    <w:p>
      <w:pPr>
        <w:pStyle w:val="Heading3"/>
      </w:pPr>
      <w:r>
        <w:t xml:space="preserve">12.3 Exporting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Fixed Asset Memo (PDF)</w:t>
      </w:r>
      <w:r>
        <w:t xml:space="preserve"> </w:t>
      </w:r>
      <w:r>
        <w:t xml:space="preserve">— IAS 16/ASC 360 PP&amp;E workpaper memo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Flagged Assets (CSV)</w:t>
      </w:r>
      <w:r>
        <w:t xml:space="preserve"> </w:t>
      </w:r>
      <w:r>
        <w:t xml:space="preserve">— All flagged items with severity and test details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tool-11-inventory-testing"/>
    <w:p>
      <w:pPr>
        <w:pStyle w:val="Heading2"/>
      </w:pPr>
      <w:r>
        <w:t xml:space="preserve">13. Tool 11: Inventory Testing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/tools/inventory-testing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Inventory analysis with 9 automated tests covering structural, statistical, and advanced assessments (IAS 2/ASC 330).</w:t>
      </w:r>
    </w:p>
    <w:bookmarkStart w:id="75" w:name="upload-8"/>
    <w:p>
      <w:pPr>
        <w:pStyle w:val="Heading3"/>
      </w:pPr>
      <w:r>
        <w:t xml:space="preserve">13.1 Upload</w:t>
      </w:r>
    </w:p>
    <w:p>
      <w:pPr>
        <w:pStyle w:val="FirstParagraph"/>
      </w:pPr>
      <w:r>
        <w:t xml:space="preserve">Upload an inventory listing. Key columns: Item Description, Quantity, Unit Cost. Optional: Category, Last Movement Date, Location.</w:t>
      </w:r>
    </w:p>
    <w:bookmarkEnd w:id="75"/>
    <w:bookmarkStart w:id="76" w:name="test-battery-9-tests-1"/>
    <w:p>
      <w:pPr>
        <w:pStyle w:val="Heading3"/>
      </w:pPr>
      <w:r>
        <w:t xml:space="preserve">13.2 Test Battery (9 Tests)</w:t>
      </w:r>
    </w:p>
    <w:p>
      <w:pPr>
        <w:pStyle w:val="FirstParagraph"/>
      </w:pPr>
      <w:r>
        <w:rPr>
          <w:b/>
          <w:bCs/>
        </w:rPr>
        <w:t xml:space="preserve">Structural (3 tests):</w:t>
      </w:r>
      <w:r>
        <w:t xml:space="preserve"> </w:t>
      </w:r>
      <w:r>
        <w:t xml:space="preserve">Missing data, duplicate items, negative quantities.</w:t>
      </w:r>
    </w:p>
    <w:p>
      <w:pPr>
        <w:pStyle w:val="BodyText"/>
      </w:pPr>
      <w:r>
        <w:rPr>
          <w:b/>
          <w:bCs/>
        </w:rPr>
        <w:t xml:space="preserve">Statistical (4 tests):</w:t>
      </w:r>
      <w:r>
        <w:t xml:space="preserve"> </w:t>
      </w:r>
      <w:r>
        <w:t xml:space="preserve">Cost outliers, slow-moving inventory, concentration by category, valuation anomalies.</w:t>
      </w:r>
    </w:p>
    <w:p>
      <w:pPr>
        <w:pStyle w:val="BodyText"/>
      </w:pPr>
      <w:r>
        <w:rPr>
          <w:b/>
          <w:bCs/>
        </w:rPr>
        <w:t xml:space="preserve">Advanced (2 tests):</w:t>
      </w:r>
      <w:r>
        <w:t xml:space="preserve"> </w:t>
      </w:r>
      <w:r>
        <w:t xml:space="preserve">Obsolescence indicators, NRV (net realizable value) assessment.</w:t>
      </w:r>
    </w:p>
    <w:bookmarkEnd w:id="76"/>
    <w:bookmarkStart w:id="77" w:name="exporting-10"/>
    <w:p>
      <w:pPr>
        <w:pStyle w:val="Heading3"/>
      </w:pPr>
      <w:r>
        <w:t xml:space="preserve">13.3 Exporting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Inventory Memo (PDF)</w:t>
      </w:r>
      <w:r>
        <w:t xml:space="preserve"> </w:t>
      </w:r>
      <w:r>
        <w:t xml:space="preserve">— IAS 2/ASC 330 inventory workpaper memo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Flagged Items (CSV)</w:t>
      </w:r>
      <w:r>
        <w:t xml:space="preserve"> </w:t>
      </w:r>
      <w:r>
        <w:t xml:space="preserve">— All flagged items with severity and slow-moving flags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tool-12-statistical-sampling"/>
    <w:p>
      <w:pPr>
        <w:pStyle w:val="Heading2"/>
      </w:pPr>
      <w:r>
        <w:t xml:space="preserve">14. Tool 12: Statistical Sampling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/tools/statistical-sampling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ISA 530 / PCAOB AS 2315 compliant sampling design, selection, and evaluation.</w:t>
      </w:r>
    </w:p>
    <w:bookmarkStart w:id="79" w:name="two-phase-workflow"/>
    <w:p>
      <w:pPr>
        <w:pStyle w:val="Heading3"/>
      </w:pPr>
      <w:r>
        <w:t xml:space="preserve">14.1 Two-Phase Workflow</w:t>
      </w:r>
    </w:p>
    <w:p>
      <w:pPr>
        <w:pStyle w:val="FirstParagraph"/>
      </w:pPr>
      <w:r>
        <w:rPr>
          <w:b/>
          <w:bCs/>
        </w:rPr>
        <w:t xml:space="preserve">Phase 1 — Design &amp; Select:</w:t>
      </w:r>
      <w:r>
        <w:t xml:space="preserve"> </w:t>
      </w:r>
      <w:r>
        <w:t xml:space="preserve">1. Upload a population (any financial dataset)</w:t>
      </w:r>
      <w:r>
        <w:t xml:space="preserve"> </w:t>
      </w:r>
      <w:r>
        <w:t xml:space="preserve">2. Choose sampling method:</w:t>
      </w:r>
      <w:r>
        <w:t xml:space="preserve"> </w:t>
      </w:r>
      <w:r>
        <w:rPr>
          <w:b/>
          <w:bCs/>
        </w:rPr>
        <w:t xml:space="preserve">Monetary Unit Sampling (MUS)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 </w:t>
      </w:r>
      <w:r>
        <w:t xml:space="preserve">3. Configure parameters: confidence level, expected error rate, tolerable misstatement</w:t>
      </w:r>
      <w:r>
        <w:t xml:space="preserve"> </w:t>
      </w:r>
      <w:r>
        <w:t xml:space="preserve">4. Preview 2-tier stratification (strata breakdown by amount range)</w:t>
      </w:r>
      <w:r>
        <w:t xml:space="preserve"> </w:t>
      </w:r>
      <w:r>
        <w:t xml:space="preserve">5. Execute CSPRNG-based sample selection</w:t>
      </w:r>
      <w:r>
        <w:t xml:space="preserve"> </w:t>
      </w:r>
      <w:r>
        <w:t xml:space="preserve">6. Export the selected sample for testing</w:t>
      </w:r>
    </w:p>
    <w:p>
      <w:pPr>
        <w:pStyle w:val="BodyText"/>
      </w:pPr>
      <w:r>
        <w:rPr>
          <w:b/>
          <w:bCs/>
        </w:rPr>
        <w:t xml:space="preserve">Phase 2 — Evaluate:</w:t>
      </w:r>
      <w:r>
        <w:t xml:space="preserve"> </w:t>
      </w:r>
      <w:r>
        <w:t xml:space="preserve">1. Upload tested results (sample items with found errors)</w:t>
      </w:r>
      <w:r>
        <w:t xml:space="preserve"> </w:t>
      </w:r>
      <w:r>
        <w:t xml:space="preserve">2. Paciolus evaluates using Stringer bound calculation</w:t>
      </w:r>
      <w:r>
        <w:t xml:space="preserve"> </w:t>
      </w:r>
      <w:r>
        <w:t xml:space="preserve">3. Results: Pass or Fail with projected misstatement and upper error limit</w:t>
      </w:r>
      <w:r>
        <w:t xml:space="preserve"> </w:t>
      </w:r>
      <w:r>
        <w:t xml:space="preserve">4. Export evaluation memo</w:t>
      </w:r>
    </w:p>
    <w:bookmarkEnd w:id="79"/>
    <w:bookmarkStart w:id="80" w:name="exporting-11"/>
    <w:p>
      <w:pPr>
        <w:pStyle w:val="Heading3"/>
      </w:pPr>
      <w:r>
        <w:t xml:space="preserve">14.2 Exporting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Sampling Design Memo (PDF)</w:t>
      </w:r>
      <w:r>
        <w:t xml:space="preserve"> </w:t>
      </w:r>
      <w:r>
        <w:t xml:space="preserve">— ISA 530 / PCAOB AS 2315 methodology documentation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Sampling Evaluation Memo (PDF)</w:t>
      </w:r>
      <w:r>
        <w:t xml:space="preserve"> </w:t>
      </w:r>
      <w:r>
        <w:t xml:space="preserve">— Stringer bound evaluation results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Sample Selection (CSV)</w:t>
      </w:r>
      <w:r>
        <w:t xml:space="preserve"> </w:t>
      </w:r>
      <w:r>
        <w:t xml:space="preserve">— Selected items with stratum assignment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billing-plans"/>
    <w:p>
      <w:pPr>
        <w:pStyle w:val="Heading2"/>
      </w:pPr>
      <w:r>
        <w:t xml:space="preserve">15. Billing &amp; Plans</w:t>
      </w:r>
    </w:p>
    <w:bookmarkStart w:id="82" w:name="plan-overview"/>
    <w:p>
      <w:pPr>
        <w:pStyle w:val="Heading3"/>
      </w:pPr>
      <w:r>
        <w:t xml:space="preserve">15.1 Plan Overview</w:t>
      </w:r>
    </w:p>
    <w:p>
      <w:pPr>
        <w:pStyle w:val="FirstParagraph"/>
      </w:pPr>
      <w:r>
        <w:t xml:space="preserve">Paciolus offers three purchasable plans plus a Free tier for evaluation.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(monthly)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$50/mo</w:t>
            </w:r>
          </w:p>
        </w:tc>
        <w:tc>
          <w:tcPr/>
          <w:p>
            <w:pPr>
              <w:pStyle w:val="Compact"/>
            </w:pPr>
            <w:r>
              <w:t xml:space="preserve">$130/mo</w:t>
            </w:r>
          </w:p>
        </w:tc>
        <w:tc>
          <w:tcPr/>
          <w:p>
            <w:pPr>
              <w:pStyle w:val="Compact"/>
            </w:pPr>
            <w:r>
              <w:t xml:space="preserve">$400/mo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(annual)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$500/yr</w:t>
            </w:r>
          </w:p>
        </w:tc>
        <w:tc>
          <w:tcPr/>
          <w:p>
            <w:pPr>
              <w:pStyle w:val="Compact"/>
            </w:pPr>
            <w:r>
              <w:t xml:space="preserve">$1,300/yr</w:t>
            </w:r>
          </w:p>
        </w:tc>
        <w:tc>
          <w:tcPr/>
          <w:p>
            <w:pPr>
              <w:pStyle w:val="Compact"/>
            </w:pPr>
            <w:r>
              <w:t xml:space="preserve">$4,000/yr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included</w:t>
            </w:r>
          </w:p>
        </w:tc>
        <w:tc>
          <w:tcPr/>
          <w:p>
            <w:pPr>
              <w:pStyle w:val="Compact"/>
            </w:pPr>
            <w:r>
              <w:t xml:space="preserve">3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Diagnostics/month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All 12</w:t>
            </w:r>
          </w:p>
        </w:tc>
        <w:tc>
          <w:tcPr/>
          <w:p>
            <w:pPr>
              <w:pStyle w:val="Compact"/>
            </w:pPr>
            <w:r>
              <w:t xml:space="preserve">All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formats</w:t>
            </w:r>
          </w:p>
        </w:tc>
        <w:tc>
          <w:tcPr/>
          <w:p>
            <w:pPr>
              <w:pStyle w:val="Compact"/>
            </w:pPr>
            <w:r>
              <w:t xml:space="preserve">5 basic</w:t>
            </w:r>
          </w:p>
        </w:tc>
        <w:tc>
          <w:tcPr/>
          <w:p>
            <w:pPr>
              <w:pStyle w:val="Compact"/>
            </w:pPr>
            <w:r>
              <w:t xml:space="preserve">9 formats</w:t>
            </w:r>
          </w:p>
        </w:tc>
        <w:tc>
          <w:tcPr/>
          <w:p>
            <w:pPr>
              <w:pStyle w:val="Compact"/>
            </w:pPr>
            <w:r>
              <w:t xml:space="preserve">All 10</w:t>
            </w:r>
          </w:p>
        </w:tc>
        <w:tc>
          <w:tcPr/>
          <w:p>
            <w:pPr>
              <w:pStyle w:val="Compact"/>
            </w:pPr>
            <w:r>
              <w:t xml:space="preserve">All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Workspace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support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82"/>
    <w:bookmarkStart w:id="83" w:name="tool-access-by-plan"/>
    <w:p>
      <w:pPr>
        <w:pStyle w:val="Heading3"/>
      </w:pPr>
      <w:r>
        <w:t xml:space="preserve">15.2 Tool Access by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Solo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 Diagnostics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Multi-Period Comparison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Entry 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Payment 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Reconciliation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Three-Way Match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Aging Analysis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 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Testing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83"/>
    <w:bookmarkStart w:id="84" w:name="seat-based-pricing"/>
    <w:p>
      <w:pPr>
        <w:pStyle w:val="Heading3"/>
      </w:pPr>
      <w:r>
        <w:t xml:space="preserve">15.3 Seat-Based Pricing</w:t>
      </w:r>
    </w:p>
    <w:p>
      <w:pPr>
        <w:pStyle w:val="FirstParagraph"/>
      </w:pPr>
      <w:r>
        <w:t xml:space="preserve">Team and Organization plans include a base number of seats. Additional seats can be added: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Seats 4–10:</w:t>
      </w:r>
      <w:r>
        <w:t xml:space="preserve"> </w:t>
      </w:r>
      <w:r>
        <w:t xml:space="preserve">$80/month ($800/year) per seat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Seats 11–25:</w:t>
      </w:r>
      <w:r>
        <w:t xml:space="preserve"> </w:t>
      </w:r>
      <w:r>
        <w:t xml:space="preserve">$70/month ($700/year) per seat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26+ seats:</w:t>
      </w:r>
      <w:r>
        <w:t xml:space="preserve"> </w:t>
      </w:r>
      <w:r>
        <w:t xml:space="preserve">Contact sales for a custom quote</w:t>
      </w:r>
    </w:p>
    <w:p>
      <w:pPr>
        <w:pStyle w:val="FirstParagraph"/>
      </w:pPr>
      <w:r>
        <w:t xml:space="preserve">Manage seats from</w:t>
      </w:r>
      <w:r>
        <w:t xml:space="preserve"> </w:t>
      </w:r>
      <w:r>
        <w:rPr>
          <w:b/>
          <w:bCs/>
        </w:rPr>
        <w:t xml:space="preserve">Settings &gt; Billing &gt; Manage Seats</w:t>
      </w:r>
      <w:r>
        <w:t xml:space="preserve">.</w:t>
      </w:r>
    </w:p>
    <w:bookmarkEnd w:id="84"/>
    <w:bookmarkStart w:id="85" w:name="upgrading-and-managing-your-plan"/>
    <w:p>
      <w:pPr>
        <w:pStyle w:val="Heading3"/>
      </w:pPr>
      <w:r>
        <w:t xml:space="preserve">15.4 Upgrading and Managing Your Plan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Billing</w:t>
      </w:r>
      <w:r>
        <w:t xml:space="preserve"> </w:t>
      </w:r>
      <w:r>
        <w:t xml:space="preserve">or use the command palette (Cmd+K &gt;</w:t>
      </w:r>
      <w:r>
        <w:t xml:space="preserve"> </w:t>
      </w:r>
      <w:r>
        <w:t xml:space="preserve">“Billing”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t xml:space="preserve">“Upgrade”</w:t>
      </w:r>
      <w:r>
        <w:t xml:space="preserve"> </w:t>
      </w:r>
      <w:r>
        <w:t xml:space="preserve">on the desired plan</w:t>
      </w:r>
    </w:p>
    <w:p>
      <w:pPr>
        <w:pStyle w:val="Compact"/>
        <w:numPr>
          <w:ilvl w:val="0"/>
          <w:numId w:val="1025"/>
        </w:numPr>
      </w:pPr>
      <w:r>
        <w:t xml:space="preserve">Complete checkout via Stripe (secure payment processing)</w:t>
      </w:r>
    </w:p>
    <w:p>
      <w:pPr>
        <w:pStyle w:val="Compact"/>
        <w:numPr>
          <w:ilvl w:val="0"/>
          <w:numId w:val="1025"/>
        </w:numPr>
      </w:pPr>
      <w:r>
        <w:t xml:space="preserve">Your plan activates immediately</w:t>
      </w:r>
    </w:p>
    <w:p>
      <w:pPr>
        <w:pStyle w:val="FirstParagraph"/>
      </w:pPr>
      <w:r>
        <w:t xml:space="preserve">To manage payment methods, view invoices, or cancel, click</w:t>
      </w:r>
      <w:r>
        <w:t xml:space="preserve"> </w:t>
      </w:r>
      <w:r>
        <w:rPr>
          <w:b/>
          <w:bCs/>
        </w:rPr>
        <w:t xml:space="preserve">“Manage Billing”</w:t>
      </w:r>
      <w:r>
        <w:t xml:space="preserve"> </w:t>
      </w:r>
      <w:r>
        <w:t xml:space="preserve">to open the Stripe Customer Portal.</w:t>
      </w:r>
    </w:p>
    <w:p>
      <w:pPr>
        <w:pStyle w:val="BodyText"/>
      </w:pPr>
      <w:r>
        <w:rPr>
          <w:b/>
          <w:bCs/>
        </w:rPr>
        <w:t xml:space="preserve">Cancellation:</w:t>
      </w:r>
      <w:r>
        <w:t xml:space="preserve"> </w:t>
      </w:r>
      <w:r>
        <w:t xml:space="preserve">Plans cancel at the end of the current billing period. You retain access until then. You can reactivate before the period ends.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data-handling-guarantees"/>
    <w:p>
      <w:pPr>
        <w:pStyle w:val="Heading2"/>
      </w:pPr>
      <w:r>
        <w:t xml:space="preserve">16. Data Handling Guarantees</w:t>
      </w:r>
    </w:p>
    <w:bookmarkStart w:id="87" w:name="zero-storage-architecture"/>
    <w:p>
      <w:pPr>
        <w:pStyle w:val="Heading3"/>
      </w:pPr>
      <w:r>
        <w:t xml:space="preserve">16.1 Zero-Storage Architecture</w:t>
      </w:r>
    </w:p>
    <w:p>
      <w:pPr>
        <w:pStyle w:val="FirstParagraph"/>
      </w:pPr>
      <w:r>
        <w:t xml:space="preserve">Paciolus operates under a Zero-Storage security model: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Your uploaded files are never stored.</w:t>
      </w:r>
      <w:r>
        <w:t xml:space="preserve"> </w:t>
      </w:r>
      <w:r>
        <w:t xml:space="preserve">Files are processed entirely in-memory and discarded immediately after analysis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line-level data is persisted.</w:t>
      </w:r>
      <w:r>
        <w:t xml:space="preserve"> </w:t>
      </w:r>
      <w:r>
        <w:t xml:space="preserve">Individual account names, balances, and transaction details are never written to disk or database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Only aggregate metadata is retained.</w:t>
      </w:r>
      <w:r>
        <w:t xml:space="preserve"> </w:t>
      </w:r>
      <w:r>
        <w:t xml:space="preserve">Category totals, financial ratios, row counts, and diagnostic metadata are stored for your activity history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Server breach exposure is minimal.</w:t>
      </w:r>
      <w:r>
        <w:t xml:space="preserve"> </w:t>
      </w:r>
      <w:r>
        <w:t xml:space="preserve">Even in the event of a server compromise, no client financial data exists to be stolen</w:t>
      </w:r>
    </w:p>
    <w:bookmarkEnd w:id="87"/>
    <w:bookmarkStart w:id="88" w:name="what-is-stored-vs.-what-is-not"/>
    <w:p>
      <w:pPr>
        <w:pStyle w:val="Heading3"/>
      </w:pPr>
      <w:r>
        <w:t xml:space="preserve">16.2 What Is Stored vs. What Is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8"/>
        <w:gridCol w:w="4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Stored (Aggregate Metadata)</w:t>
            </w:r>
          </w:p>
        </w:tc>
        <w:tc>
          <w:tcPr/>
          <w:p>
            <w:pPr>
              <w:pStyle w:val="Compact"/>
            </w:pPr>
            <w:r>
              <w:t xml:space="preserve">Never Stored (Financial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user credentials (hashed)</w:t>
            </w:r>
          </w:p>
        </w:tc>
        <w:tc>
          <w:tcPr/>
          <w:p>
            <w:pPr>
              <w:pStyle w:val="Compact"/>
            </w:pPr>
            <w:r>
              <w:t xml:space="preserve">Raw uploaded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names and industry settings</w:t>
            </w:r>
          </w:p>
        </w:tc>
        <w:tc>
          <w:tcPr/>
          <w:p>
            <w:pPr>
              <w:pStyle w:val="Compact"/>
            </w:pPr>
            <w:r>
              <w:t xml:space="preserve">Individual account balances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summary (ratio values, row counts)</w:t>
            </w:r>
          </w:p>
        </w:tc>
        <w:tc>
          <w:tcPr/>
          <w:p>
            <w:pPr>
              <w:pStyle w:val="Compact"/>
            </w:pPr>
            <w:r>
              <w:t xml:space="preserve">Line-level transaction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metadata and status</w:t>
            </w:r>
          </w:p>
        </w:tc>
        <w:tc>
          <w:tcPr/>
          <w:p>
            <w:pPr>
              <w:pStyle w:val="Compact"/>
            </w:pPr>
            <w:r>
              <w:t xml:space="preserve">Ledger entries or journal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and subscription records</w:t>
            </w:r>
          </w:p>
        </w:tc>
        <w:tc>
          <w:tcPr/>
          <w:p>
            <w:pPr>
              <w:pStyle w:val="Compact"/>
            </w:pPr>
            <w:r>
              <w:t xml:space="preserve">Bank statement line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 (filename prefix, timestamp)</w:t>
            </w:r>
          </w:p>
        </w:tc>
        <w:tc>
          <w:tcPr/>
          <w:p>
            <w:pPr>
              <w:pStyle w:val="Compact"/>
            </w:pPr>
            <w:r>
              <w:t xml:space="preserve">Vendor names or employee names</w:t>
            </w:r>
          </w:p>
        </w:tc>
      </w:tr>
    </w:tbl>
    <w:bookmarkEnd w:id="88"/>
    <w:bookmarkStart w:id="90" w:name="implications-for-you"/>
    <w:p>
      <w:pPr>
        <w:pStyle w:val="Heading3"/>
      </w:pPr>
      <w:r>
        <w:t xml:space="preserve">16.3 Implications for You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Always export before closing.</w:t>
      </w:r>
      <w:r>
        <w:t xml:space="preserve"> </w:t>
      </w:r>
      <w:r>
        <w:t xml:space="preserve">Results exist only during your session. Download PDF/Excel/CSV reports before navigating away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 historical data retrieval.</w:t>
      </w:r>
      <w:r>
        <w:t xml:space="preserve"> </w:t>
      </w:r>
      <w:r>
        <w:t xml:space="preserve">Paciolus cannot recover analysis results from a prior session. Your activity history shows metadata only (dates, row counts, ratios)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Simplified compliance.</w:t>
      </w:r>
      <w:r>
        <w:t xml:space="preserve"> </w:t>
      </w:r>
      <w:r>
        <w:t xml:space="preserve">Because Paciolus never stores client financial data, the platform has a minimal data footprint under GDPR, CCPA, and SOC 2 frameworks</w:t>
      </w:r>
    </w:p>
    <w:p>
      <w:pPr>
        <w:pStyle w:val="FirstParagraph"/>
      </w:pPr>
      <w:r>
        <w:t xml:space="preserve">For the complete technical specification, see the</w:t>
      </w:r>
      <w:r>
        <w:t xml:space="preserve"> </w:t>
      </w:r>
      <w:hyperlink r:id="rId89">
        <w:r>
          <w:rPr>
            <w:rStyle w:val="Hyperlink"/>
          </w:rPr>
          <w:t xml:space="preserve">Zero-Storage Architecture</w:t>
        </w:r>
      </w:hyperlink>
      <w:r>
        <w:t xml:space="preserve"> </w:t>
      </w:r>
      <w:r>
        <w:t xml:space="preserve">document on our Trust page.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engagement-workspaces"/>
    <w:p>
      <w:pPr>
        <w:pStyle w:val="Heading2"/>
      </w:pPr>
      <w:r>
        <w:t xml:space="preserve">17. Engagement Workspaces</w:t>
      </w:r>
    </w:p>
    <w:p>
      <w:pPr>
        <w:pStyle w:val="FirstParagraph"/>
      </w:pPr>
      <w:r>
        <w:rPr>
          <w:b/>
          <w:bCs/>
        </w:rPr>
        <w:t xml:space="preserve">Available on Team and Organization plans.</w:t>
      </w:r>
    </w:p>
    <w:p>
      <w:pPr>
        <w:pStyle w:val="BodyText"/>
      </w:pPr>
      <w:r>
        <w:t xml:space="preserve">Engagement Workspaces let you organize diagnostic work by client engagement, track follow-up items, and export a complete diagnostic package.</w:t>
      </w:r>
    </w:p>
    <w:bookmarkStart w:id="92" w:name="creating-a-workspace"/>
    <w:p>
      <w:pPr>
        <w:pStyle w:val="Heading3"/>
      </w:pPr>
      <w:r>
        <w:t xml:space="preserve">17.1 Creating a Workspace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Diagnostic Workspace</w:t>
      </w:r>
      <w:r>
        <w:t xml:space="preserve"> </w:t>
      </w:r>
      <w:r>
        <w:t xml:space="preserve">(Cmd+K &gt;</w:t>
      </w:r>
      <w:r>
        <w:t xml:space="preserve"> </w:t>
      </w:r>
      <w:r>
        <w:t xml:space="preserve">“Workspace”</w:t>
      </w:r>
      <w:r>
        <w:t xml:space="preserve"> </w:t>
      </w:r>
      <w:r>
        <w:t xml:space="preserve">or navigate via sidebar)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t xml:space="preserve">“New Workspace”</w:t>
      </w:r>
    </w:p>
    <w:p>
      <w:pPr>
        <w:pStyle w:val="Compact"/>
        <w:numPr>
          <w:ilvl w:val="0"/>
          <w:numId w:val="1028"/>
        </w:numPr>
      </w:pPr>
      <w:r>
        <w:t xml:space="preserve">Select a client and reporting period</w:t>
      </w:r>
    </w:p>
    <w:p>
      <w:pPr>
        <w:pStyle w:val="Compact"/>
        <w:numPr>
          <w:ilvl w:val="0"/>
          <w:numId w:val="1028"/>
        </w:numPr>
      </w:pPr>
      <w:r>
        <w:t xml:space="preserve">Set the materiality threshold (or inherit from client/practice defaults)</w:t>
      </w:r>
    </w:p>
    <w:bookmarkEnd w:id="92"/>
    <w:bookmarkStart w:id="93" w:name="working-in-a-workspace"/>
    <w:p>
      <w:pPr>
        <w:pStyle w:val="Heading3"/>
      </w:pPr>
      <w:r>
        <w:t xml:space="preserve">17.2 Working in a Workspace</w:t>
      </w:r>
    </w:p>
    <w:p>
      <w:pPr>
        <w:pStyle w:val="FirstParagraph"/>
      </w:pPr>
      <w:r>
        <w:t xml:space="preserve">When a workspace is active, tool runs are automatically linked to the engagement:</w:t>
      </w:r>
      <w:r>
        <w:t xml:space="preserve"> </w:t>
      </w:r>
      <w:r>
        <w:t xml:space="preserve">- Tool results appear in the</w:t>
      </w:r>
      <w:r>
        <w:t xml:space="preserve"> </w:t>
      </w:r>
      <w:r>
        <w:rPr>
          <w:b/>
          <w:bCs/>
        </w:rPr>
        <w:t xml:space="preserve">Workpaper Index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Materiality Cascade</w:t>
      </w:r>
      <w:r>
        <w:t xml:space="preserve"> </w:t>
      </w:r>
      <w:r>
        <w:t xml:space="preserve">flows from engagement → client → practice → system default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Follow-Up Items</w:t>
      </w:r>
      <w:r>
        <w:t xml:space="preserve"> </w:t>
      </w:r>
      <w:r>
        <w:t xml:space="preserve">can be created for flagged issues (narratives only — no financial data stored)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Cross-Tool Convergence Index</w:t>
      </w:r>
      <w:r>
        <w:t xml:space="preserve"> </w:t>
      </w:r>
      <w:r>
        <w:t xml:space="preserve">shows which accounts were flagged across multiple tools</w:t>
      </w:r>
    </w:p>
    <w:bookmarkEnd w:id="93"/>
    <w:bookmarkStart w:id="94" w:name="engagement-lifecycle"/>
    <w:p>
      <w:pPr>
        <w:pStyle w:val="Heading3"/>
      </w:pPr>
      <w:r>
        <w:t xml:space="preserve">17.3 Engagement Lifecycle</w:t>
      </w:r>
    </w:p>
    <w:p>
      <w:pPr>
        <w:pStyle w:val="FirstParagraph"/>
      </w:pPr>
      <w:r>
        <w:t xml:space="preserve">Workspaces follow a three-state workflow: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→ Running diagnostics, adding follow-up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→ All follow-up items must be resolved before completion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→ Terminal state, read-only</w:t>
      </w:r>
    </w:p>
    <w:bookmarkEnd w:id="94"/>
    <w:bookmarkStart w:id="95" w:name="exporting-12"/>
    <w:p>
      <w:pPr>
        <w:pStyle w:val="Heading3"/>
      </w:pPr>
      <w:r>
        <w:t xml:space="preserve">17.4 Exporting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Anomaly Summary Report</w:t>
      </w:r>
      <w:r>
        <w:t xml:space="preserve"> </w:t>
      </w:r>
      <w:r>
        <w:t xml:space="preserve">— Aggregated diagnostic results with disclaimer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Diagnostic Package (ZIP)</w:t>
      </w:r>
      <w:r>
        <w:t xml:space="preserve"> </w:t>
      </w:r>
      <w:r>
        <w:t xml:space="preserve">— Contains anomaly summary + all tool memos generated during the engagement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Convergence CSV</w:t>
      </w:r>
      <w:r>
        <w:t xml:space="preserve"> </w:t>
      </w:r>
      <w:r>
        <w:t xml:space="preserve">— Cross-tool flagged account analysis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All engagement exports include a non-dismissible disclaimer banner. Paciolus is a diagnostic tool, not an audit opinion.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managing-clients"/>
    <w:p>
      <w:pPr>
        <w:pStyle w:val="Heading2"/>
      </w:pPr>
      <w:r>
        <w:t xml:space="preserve">18. Managing Clients</w:t>
      </w:r>
    </w:p>
    <w:bookmarkStart w:id="97" w:name="adding-a-client"/>
    <w:p>
      <w:pPr>
        <w:pStyle w:val="Heading3"/>
      </w:pPr>
      <w:r>
        <w:t xml:space="preserve">18.1 Adding a Client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t xml:space="preserve">“Portfolio”</w:t>
      </w:r>
      <w:r>
        <w:t xml:space="preserve"> </w:t>
      </w:r>
      <w:r>
        <w:t xml:space="preserve">in navigation (or Cmd+K &gt;</w:t>
      </w:r>
      <w:r>
        <w:t xml:space="preserve"> </w:t>
      </w:r>
      <w:r>
        <w:t xml:space="preserve">“Portfolio”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t xml:space="preserve">“+ New Client”</w:t>
      </w:r>
    </w:p>
    <w:p>
      <w:pPr>
        <w:pStyle w:val="Compact"/>
        <w:numPr>
          <w:ilvl w:val="0"/>
          <w:numId w:val="1030"/>
        </w:numPr>
      </w:pPr>
      <w:r>
        <w:t xml:space="preserve">Enter: Client Name, Industry, Fiscal Year End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t xml:space="preserve">“Save Client”</w:t>
      </w:r>
    </w:p>
    <w:bookmarkEnd w:id="97"/>
    <w:bookmarkStart w:id="98" w:name="client-settings"/>
    <w:p>
      <w:pPr>
        <w:pStyle w:val="Heading3"/>
      </w:pPr>
      <w:r>
        <w:t xml:space="preserve">18.2 Client Settings</w:t>
      </w:r>
    </w:p>
    <w:p>
      <w:pPr>
        <w:pStyle w:val="FirstParagraph"/>
      </w:pPr>
      <w:r>
        <w:t xml:space="preserve">Each client can have custom settings:</w:t>
      </w:r>
      <w:r>
        <w:t xml:space="preserve"> </w:t>
      </w:r>
      <w:r>
        <w:t xml:space="preserve">- Materiality threshold override</w:t>
      </w:r>
      <w:r>
        <w:t xml:space="preserve"> </w:t>
      </w:r>
      <w:r>
        <w:t xml:space="preserve">- Industry classification for benchmark comparison (12 supported industries)</w:t>
      </w:r>
      <w:r>
        <w:t xml:space="preserve"> </w:t>
      </w:r>
      <w:r>
        <w:t xml:space="preserve">- Reporting framework (IFRS or GAAP)</w:t>
      </w:r>
      <w:r>
        <w:t xml:space="preserve"> </w:t>
      </w:r>
      <w:r>
        <w:t xml:space="preserve">- Practice-level thresholds cascade to client level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exports-reports"/>
    <w:p>
      <w:pPr>
        <w:pStyle w:val="Heading2"/>
      </w:pPr>
      <w:r>
        <w:t xml:space="preserve">19. Exports &amp; Reports</w:t>
      </w:r>
    </w:p>
    <w:bookmarkStart w:id="100" w:name="export-formats"/>
    <w:p>
      <w:pPr>
        <w:pStyle w:val="Heading3"/>
      </w:pPr>
      <w:r>
        <w:t xml:space="preserve">19.1 Export Formats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94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Memos</w:t>
            </w:r>
          </w:p>
        </w:tc>
        <w:tc>
          <w:tcPr/>
          <w:p>
            <w:pPr>
              <w:pStyle w:val="Compact"/>
            </w:pPr>
            <w:r>
              <w:t xml:space="preserve">Professional workpaper memoranda with ISA/PCAOB/IFRS/GAAP references, signoff fields, and legal disclaimers</w:t>
            </w:r>
          </w:p>
        </w:tc>
        <w:tc>
          <w:tcPr/>
          <w:p>
            <w:pPr>
              <w:pStyle w:val="Compact"/>
            </w:pPr>
            <w:r>
              <w:t xml:space="preserve">All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Workpapers</w:t>
            </w:r>
          </w:p>
        </w:tc>
        <w:tc>
          <w:tcPr/>
          <w:p>
            <w:pPr>
              <w:pStyle w:val="Compact"/>
            </w:pPr>
            <w:r>
              <w:t xml:space="preserve">Multi-tab spreadsheets with structured data, summaries, and analysis tabs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Raw data exports (flagged entries, sample selections, anomalies)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Sheets (Excel)</w:t>
            </w:r>
          </w:p>
        </w:tc>
        <w:tc>
          <w:tcPr/>
          <w:p>
            <w:pPr>
              <w:pStyle w:val="Compact"/>
            </w:pPr>
            <w:r>
              <w:t xml:space="preserve">A–Z categorized workpaper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Statements</w:t>
            </w:r>
          </w:p>
        </w:tc>
        <w:tc>
          <w:tcPr/>
          <w:p>
            <w:pPr>
              <w:pStyle w:val="Compact"/>
            </w:pPr>
            <w:r>
              <w:t xml:space="preserve">Balance Sheet + Income Statement + Cash Flow Statement</w:t>
            </w:r>
          </w:p>
        </w:tc>
        <w:tc>
          <w:tcPr/>
          <w:p>
            <w:pPr>
              <w:pStyle w:val="Compact"/>
            </w:pPr>
            <w:r>
              <w:t xml:space="preserve">Solo and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Package (ZIP)</w:t>
            </w:r>
          </w:p>
        </w:tc>
        <w:tc>
          <w:tcPr/>
          <w:p>
            <w:pPr>
              <w:pStyle w:val="Compact"/>
            </w:pPr>
            <w:r>
              <w:t xml:space="preserve">Complete engagement export with all memos</w:t>
            </w:r>
          </w:p>
        </w:tc>
        <w:tc>
          <w:tcPr/>
          <w:p>
            <w:pPr>
              <w:pStyle w:val="Compact"/>
            </w:pPr>
            <w:r>
              <w:t xml:space="preserve">Team and above</w:t>
            </w:r>
          </w:p>
        </w:tc>
      </w:tr>
    </w:tbl>
    <w:bookmarkEnd w:id="100"/>
    <w:bookmarkStart w:id="101" w:name="available-pdf-memos"/>
    <w:p>
      <w:pPr>
        <w:pStyle w:val="Heading3"/>
      </w:pPr>
      <w:r>
        <w:t xml:space="preserve">19.2 Available PDF Memos</w:t>
      </w:r>
    </w:p>
    <w:p>
      <w:pPr>
        <w:pStyle w:val="FirstParagraph"/>
      </w:pPr>
      <w:r>
        <w:t xml:space="preserve">Each testing tool generates a professional memorandum: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Standards 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 Diagnostics</w:t>
            </w:r>
          </w:p>
        </w:tc>
        <w:tc>
          <w:tcPr/>
          <w:p>
            <w:pPr>
              <w:pStyle w:val="Compact"/>
            </w:pPr>
            <w:r>
              <w:t xml:space="preserve">Diagnostic Report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Multi-Period</w:t>
            </w:r>
          </w:p>
        </w:tc>
        <w:tc>
          <w:tcPr/>
          <w:p>
            <w:pPr>
              <w:pStyle w:val="Compact"/>
            </w:pPr>
            <w:r>
              <w:t xml:space="preserve">Trend Analysis Memo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 Testing</w:t>
            </w:r>
          </w:p>
        </w:tc>
        <w:tc>
          <w:tcPr/>
          <w:p>
            <w:pPr>
              <w:pStyle w:val="Compact"/>
            </w:pPr>
            <w:r>
              <w:t xml:space="preserve">JE Testing Memo</w:t>
            </w:r>
          </w:p>
        </w:tc>
        <w:tc>
          <w:tcPr/>
          <w:p>
            <w:pPr>
              <w:pStyle w:val="Compact"/>
            </w:pPr>
            <w:r>
              <w:t xml:space="preserve">PCAOB AS 1215, ISA 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Testing</w:t>
            </w:r>
          </w:p>
        </w:tc>
        <w:tc>
          <w:tcPr/>
          <w:p>
            <w:pPr>
              <w:pStyle w:val="Compact"/>
            </w:pPr>
            <w:r>
              <w:t xml:space="preserve">AP Testing Memo</w:t>
            </w:r>
          </w:p>
        </w:tc>
        <w:tc>
          <w:tcPr/>
          <w:p>
            <w:pPr>
              <w:pStyle w:val="Compact"/>
            </w:pPr>
            <w:r>
              <w:t xml:space="preserve">ISA 240, ISA 500, PCAOB AS 2401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Rec</w:t>
            </w:r>
          </w:p>
        </w:tc>
        <w:tc>
          <w:tcPr/>
          <w:p>
            <w:pPr>
              <w:pStyle w:val="Compact"/>
            </w:pPr>
            <w:r>
              <w:t xml:space="preserve">Bank Rec Memo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Testing</w:t>
            </w:r>
          </w:p>
        </w:tc>
        <w:tc>
          <w:tcPr/>
          <w:p>
            <w:pPr>
              <w:pStyle w:val="Compact"/>
            </w:pPr>
            <w:r>
              <w:t xml:space="preserve">Payroll Testing Memo</w:t>
            </w:r>
          </w:p>
        </w:tc>
        <w:tc>
          <w:tcPr/>
          <w:p>
            <w:pPr>
              <w:pStyle w:val="Compact"/>
            </w:pPr>
            <w:r>
              <w:t xml:space="preserve">ISA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Three-Way Match</w:t>
            </w:r>
          </w:p>
        </w:tc>
        <w:tc>
          <w:tcPr/>
          <w:p>
            <w:pPr>
              <w:pStyle w:val="Compact"/>
            </w:pPr>
            <w:r>
              <w:t xml:space="preserve">Three-Way Match Memo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Testing</w:t>
            </w:r>
          </w:p>
        </w:tc>
        <w:tc>
          <w:tcPr/>
          <w:p>
            <w:pPr>
              <w:pStyle w:val="Compact"/>
            </w:pPr>
            <w:r>
              <w:t xml:space="preserve">Revenue Testing Memo</w:t>
            </w:r>
          </w:p>
        </w:tc>
        <w:tc>
          <w:tcPr/>
          <w:p>
            <w:pPr>
              <w:pStyle w:val="Compact"/>
            </w:pPr>
            <w:r>
              <w:t xml:space="preserve">ASC 606, IFRS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Aging</w:t>
            </w:r>
          </w:p>
        </w:tc>
        <w:tc>
          <w:tcPr/>
          <w:p>
            <w:pPr>
              <w:pStyle w:val="Compact"/>
            </w:pPr>
            <w:r>
              <w:t xml:space="preserve">AR Aging Memo</w:t>
            </w:r>
          </w:p>
        </w:tc>
        <w:tc>
          <w:tcPr/>
          <w:p>
            <w:pPr>
              <w:pStyle w:val="Compact"/>
            </w:pPr>
            <w:r>
              <w:t xml:space="preserve">ISA 500, ISA 540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</w:pPr>
            <w:r>
              <w:t xml:space="preserve">Fixed Asset Memo</w:t>
            </w:r>
          </w:p>
        </w:tc>
        <w:tc>
          <w:tcPr/>
          <w:p>
            <w:pPr>
              <w:pStyle w:val="Compact"/>
            </w:pPr>
            <w:r>
              <w:t xml:space="preserve">IAS 16, ASC 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Inventory Memo</w:t>
            </w:r>
          </w:p>
        </w:tc>
        <w:tc>
          <w:tcPr/>
          <w:p>
            <w:pPr>
              <w:pStyle w:val="Compact"/>
            </w:pPr>
            <w:r>
              <w:t xml:space="preserve">IAS 2, ASC 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Sampling</w:t>
            </w:r>
          </w:p>
        </w:tc>
        <w:tc>
          <w:tcPr/>
          <w:p>
            <w:pPr>
              <w:pStyle w:val="Compact"/>
            </w:pPr>
            <w:r>
              <w:t xml:space="preserve">Design Memo + Evaluation Memo</w:t>
            </w:r>
          </w:p>
        </w:tc>
        <w:tc>
          <w:tcPr/>
          <w:p>
            <w:pPr>
              <w:pStyle w:val="Compact"/>
            </w:pPr>
            <w:r>
              <w:t xml:space="preserve">ISA 530, PCAOB AS 2315</w:t>
            </w:r>
          </w:p>
        </w:tc>
      </w:tr>
    </w:tbl>
    <w:p>
      <w:pPr>
        <w:pStyle w:val="BodyText"/>
      </w:pPr>
      <w:r>
        <w:t xml:space="preserve">Additional memos: Currency Conversion Memo, Pre-Flight Memo, Population Profile Memo.</w:t>
      </w:r>
    </w:p>
    <w:bookmarkEnd w:id="101"/>
    <w:bookmarkStart w:id="102" w:name="proof-summary"/>
    <w:p>
      <w:pPr>
        <w:pStyle w:val="Heading3"/>
      </w:pPr>
      <w:r>
        <w:t xml:space="preserve">19.3 Proof Summary</w:t>
      </w:r>
    </w:p>
    <w:p>
      <w:pPr>
        <w:pStyle w:val="FirstParagraph"/>
      </w:pPr>
      <w:r>
        <w:t xml:space="preserve">Each testing tool page includes a</w:t>
      </w:r>
      <w:r>
        <w:t xml:space="preserve"> </w:t>
      </w:r>
      <w:r>
        <w:rPr>
          <w:b/>
          <w:bCs/>
        </w:rPr>
        <w:t xml:space="preserve">Proof Summary Bar</w:t>
      </w:r>
      <w:r>
        <w:t xml:space="preserve"> </w:t>
      </w:r>
      <w:r>
        <w:t xml:space="preserve">showing evidence quality across three dimensions: population coverage, test completeness, and data quality. These metrics also appear in the Engagement Workspace’s</w:t>
      </w:r>
      <w:r>
        <w:t xml:space="preserve"> </w:t>
      </w:r>
      <w:r>
        <w:rPr>
          <w:b/>
          <w:bCs/>
        </w:rPr>
        <w:t xml:space="preserve">Proof Readiness</w:t>
      </w:r>
      <w:r>
        <w:t xml:space="preserve"> </w:t>
      </w:r>
      <w:r>
        <w:t xml:space="preserve">meter.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customizing-settings"/>
    <w:p>
      <w:pPr>
        <w:pStyle w:val="Heading2"/>
      </w:pPr>
      <w:r>
        <w:t xml:space="preserve">20. Customizing Settings</w:t>
      </w:r>
    </w:p>
    <w:bookmarkStart w:id="104" w:name="practice-settings"/>
    <w:p>
      <w:pPr>
        <w:pStyle w:val="Heading3"/>
      </w:pPr>
      <w:r>
        <w:t xml:space="preserve">20.1 Practice Settings</w:t>
      </w:r>
    </w:p>
    <w:p>
      <w:pPr>
        <w:pStyle w:val="FirstParagraph"/>
      </w:pPr>
      <w:r>
        <w:rPr>
          <w:b/>
          <w:bCs/>
        </w:rPr>
        <w:t xml:space="preserve">Settings &gt; Practice</w:t>
      </w:r>
      <w:r>
        <w:t xml:space="preserve"> </w:t>
      </w:r>
      <w:r>
        <w:t xml:space="preserve">provides firm-wide defaults:</w:t>
      </w:r>
    </w:p>
    <w:p>
      <w:pPr>
        <w:pStyle w:val="BodyText"/>
      </w:pPr>
      <w:r>
        <w:rPr>
          <w:b/>
          <w:bCs/>
        </w:rPr>
        <w:t xml:space="preserve">Materiality:</w:t>
      </w:r>
      <w:r>
        <w:t xml:space="preserve"> </w:t>
      </w:r>
      <w:r>
        <w:t xml:space="preserve">- Fixed amount, % of Revenue, % of Assets, % of Equity</w:t>
      </w:r>
      <w:r>
        <w:t xml:space="preserve"> </w:t>
      </w:r>
      <w:r>
        <w:t xml:space="preserve">- Priority chain: engagement override &gt; client &gt; practice &gt; system default</w:t>
      </w:r>
    </w:p>
    <w:p>
      <w:pPr>
        <w:pStyle w:val="BodyText"/>
      </w:pPr>
      <w:r>
        <w:rPr>
          <w:b/>
          <w:bCs/>
        </w:rPr>
        <w:t xml:space="preserve">JE Testing Thresholds:</w:t>
      </w:r>
      <w:r>
        <w:t xml:space="preserve"> </w:t>
      </w:r>
      <w:r>
        <w:t xml:space="preserve">- Conservative / Standard / Permissive presets</w:t>
      </w:r>
      <w:r>
        <w:t xml:space="preserve"> </w:t>
      </w:r>
      <w:r>
        <w:t xml:space="preserve">- Custom per-test thresholds</w:t>
      </w:r>
    </w:p>
    <w:p>
      <w:pPr>
        <w:pStyle w:val="BodyText"/>
      </w:pPr>
      <w:r>
        <w:rPr>
          <w:b/>
          <w:bCs/>
        </w:rPr>
        <w:t xml:space="preserve">AP Testing Thresholds:</w:t>
      </w:r>
      <w:r>
        <w:t xml:space="preserve"> </w:t>
      </w:r>
      <w:r>
        <w:t xml:space="preserve">- Same preset system with configurable fields</w:t>
      </w:r>
      <w:r>
        <w:t xml:space="preserve"> </w:t>
      </w:r>
      <w:r>
        <w:t xml:space="preserve">- Toggle individual tests on/off</w:t>
      </w:r>
    </w:p>
    <w:bookmarkEnd w:id="104"/>
    <w:bookmarkStart w:id="105" w:name="user-profile"/>
    <w:p>
      <w:pPr>
        <w:pStyle w:val="Heading3"/>
      </w:pPr>
      <w:r>
        <w:t xml:space="preserve">20.2 User Profile</w:t>
      </w:r>
    </w:p>
    <w:p>
      <w:pPr>
        <w:pStyle w:val="FirstParagraph"/>
      </w:pPr>
      <w:r>
        <w:rPr>
          <w:b/>
          <w:bCs/>
        </w:rPr>
        <w:t xml:space="preserve">Settings &gt; Profile:</w:t>
      </w:r>
      <w:r>
        <w:t xml:space="preserve"> </w:t>
      </w:r>
      <w:r>
        <w:t xml:space="preserve">Update display name, email, password.</w:t>
      </w:r>
    </w:p>
    <w:p>
      <w:pPr>
        <w:pStyle w:val="BodyText"/>
      </w:pPr>
      <w:r>
        <w:t xml:space="preserve">Email changes require re-verification. A security notification is sent to your previous email address.</w:t>
      </w:r>
    </w:p>
    <w:bookmarkEnd w:id="105"/>
    <w:bookmarkStart w:id="106" w:name="billing-settings"/>
    <w:p>
      <w:pPr>
        <w:pStyle w:val="Heading3"/>
      </w:pPr>
      <w:r>
        <w:t xml:space="preserve">20.3 Billing Settings</w:t>
      </w:r>
    </w:p>
    <w:p>
      <w:pPr>
        <w:pStyle w:val="FirstParagraph"/>
      </w:pPr>
      <w:r>
        <w:rPr>
          <w:b/>
          <w:bCs/>
        </w:rPr>
        <w:t xml:space="preserve">Settings &gt; Billing:</w:t>
      </w:r>
      <w:r>
        <w:t xml:space="preserve"> </w:t>
      </w:r>
      <w:r>
        <w:t xml:space="preserve">View current plan, usage metrics, upgrade/downgrade, manage seats, access Stripe portal.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command-palette"/>
    <w:p>
      <w:pPr>
        <w:pStyle w:val="Heading2"/>
      </w:pPr>
      <w:r>
        <w:t xml:space="preserve">21. Command Palette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Cmd+K</w:t>
      </w:r>
      <w:r>
        <w:t xml:space="preserve"> </w:t>
      </w:r>
      <w:r>
        <w:t xml:space="preserve">(Mac) or</w:t>
      </w:r>
      <w:r>
        <w:t xml:space="preserve"> </w:t>
      </w:r>
      <w:r>
        <w:rPr>
          <w:b/>
          <w:bCs/>
        </w:rPr>
        <w:t xml:space="preserve">Ctrl+K</w:t>
      </w:r>
      <w:r>
        <w:t xml:space="preserve"> </w:t>
      </w:r>
      <w:r>
        <w:t xml:space="preserve">(Windows) to open the command palette from anywhere in the platform.</w:t>
      </w:r>
    </w:p>
    <w:bookmarkStart w:id="108" w:name="what-you-can-do"/>
    <w:p>
      <w:pPr>
        <w:pStyle w:val="Heading3"/>
      </w:pPr>
      <w:r>
        <w:t xml:space="preserve">21.1 What You Can Do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Navigate</w:t>
      </w:r>
      <w:r>
        <w:t xml:space="preserve"> </w:t>
      </w:r>
      <w:r>
        <w:t xml:space="preserve">— Jump to any page (Home, Portfolio, Workspace, Settings, Billing, Practice Settings)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Open Tools</w:t>
      </w:r>
      <w:r>
        <w:t xml:space="preserve"> </w:t>
      </w:r>
      <w:r>
        <w:t xml:space="preserve">— Type a tool name to go directly to it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— Start a new workspace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Fuzzy search across all commands with keyword matching</w:t>
      </w:r>
    </w:p>
    <w:bookmarkEnd w:id="108"/>
    <w:bookmarkStart w:id="109" w:name="tier-gating"/>
    <w:p>
      <w:pPr>
        <w:pStyle w:val="Heading3"/>
      </w:pPr>
      <w:r>
        <w:t xml:space="preserve">21.2 Tier Gating</w:t>
      </w:r>
    </w:p>
    <w:p>
      <w:pPr>
        <w:pStyle w:val="FirstParagraph"/>
      </w:pPr>
      <w:r>
        <w:t xml:space="preserve">Commands for tools outside your current plan are visible but will show an upgrade prompt when selected.</w:t>
      </w:r>
    </w:p>
    <w:bookmarkEnd w:id="109"/>
    <w:bookmarkStart w:id="110" w:name="recency"/>
    <w:p>
      <w:pPr>
        <w:pStyle w:val="Heading3"/>
      </w:pPr>
      <w:r>
        <w:t xml:space="preserve">21.3 Recency</w:t>
      </w:r>
    </w:p>
    <w:p>
      <w:pPr>
        <w:pStyle w:val="FirstParagraph"/>
      </w:pPr>
      <w:r>
        <w:t xml:space="preserve">Recently used commands appear higher in results. Recency data is stored in your browser session (Zero-Storage compliant — nothing sent to the server).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activity-history"/>
    <w:p>
      <w:pPr>
        <w:pStyle w:val="Heading2"/>
      </w:pPr>
      <w:r>
        <w:t xml:space="preserve">22. Activity History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/history</w:t>
      </w:r>
    </w:p>
    <w:p>
      <w:pPr>
        <w:pStyle w:val="BodyText"/>
      </w:pPr>
      <w:r>
        <w:t xml:space="preserve">Shows a chronological list of all diagnostics run:</w:t>
      </w:r>
      <w:r>
        <w:t xml:space="preserve"> </w:t>
      </w:r>
      <w:r>
        <w:t xml:space="preserve">- Date/time, truncated filename (first 12 characters), row count</w:t>
      </w:r>
      <w:r>
        <w:t xml:space="preserve"> </w:t>
      </w:r>
      <w:r>
        <w:t xml:space="preserve">- Balanced status, anomaly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account names or balances stored</w:t>
      </w:r>
      <w:r>
        <w:t xml:space="preserve"> </w:t>
      </w:r>
      <w:r>
        <w:t xml:space="preserve">(Zero-Storage compliant)</w:t>
      </w:r>
    </w:p>
    <w:p>
      <w:pPr>
        <w:pStyle w:val="BodyText"/>
      </w:pPr>
      <w:r>
        <w:rPr>
          <w:b/>
          <w:bCs/>
        </w:rPr>
        <w:t xml:space="preserve">Clear History:</w:t>
      </w:r>
      <w:r>
        <w:t xml:space="preserve"> </w:t>
      </w:r>
      <w:r>
        <w:t xml:space="preserve">Settings &gt; Privacy &gt;</w:t>
      </w:r>
      <w:r>
        <w:t xml:space="preserve"> </w:t>
      </w:r>
      <w:r>
        <w:t xml:space="preserve">“Clear All Activity History”</w:t>
      </w:r>
      <w:r>
        <w:t xml:space="preserve"> </w:t>
      </w:r>
      <w:r>
        <w:t xml:space="preserve">(GDPR Right to Erasure)</w:t>
      </w:r>
    </w:p>
    <w:p>
      <w:r>
        <w:pict>
          <v:rect style="width:0;height:1.5pt" o:hralign="center" o:hrstd="t" o:hr="t"/>
        </w:pict>
      </w:r>
    </w:p>
    <w:bookmarkEnd w:id="112"/>
    <w:bookmarkStart w:id="120" w:name="troubleshooting"/>
    <w:p>
      <w:pPr>
        <w:pStyle w:val="Heading2"/>
      </w:pPr>
      <w:r>
        <w:t xml:space="preserve">23. Troubleshooting</w:t>
      </w:r>
    </w:p>
    <w:bookmarkStart w:id="113" w:name="columns-not-detected"/>
    <w:p>
      <w:pPr>
        <w:pStyle w:val="Heading3"/>
      </w:pPr>
      <w:r>
        <w:t xml:space="preserve">“Columns Not Detected”</w:t>
      </w:r>
    </w:p>
    <w:p>
      <w:pPr>
        <w:pStyle w:val="FirstParagraph"/>
      </w:pPr>
      <w:r>
        <w:t xml:space="preserve">Ensure your file has headers in the first row. Try the following:</w:t>
      </w:r>
      <w:r>
        <w:t xml:space="preserve"> </w:t>
      </w:r>
      <w:r>
        <w:t xml:space="preserve">- Use</w:t>
      </w:r>
      <w:r>
        <w:t xml:space="preserve"> </w:t>
      </w:r>
      <w:r>
        <w:t xml:space="preserve">“Manual Mapping”</w:t>
      </w:r>
      <w:r>
        <w:t xml:space="preserve"> </w:t>
      </w:r>
      <w:r>
        <w:t xml:space="preserve">if auto-detection fails</w:t>
      </w:r>
      <w:r>
        <w:t xml:space="preserve"> </w:t>
      </w:r>
      <w:r>
        <w:t xml:space="preserve">- Check that column names match expected patterns (e.g.,</w:t>
      </w:r>
      <w:r>
        <w:t xml:space="preserve"> </w:t>
      </w:r>
      <w:r>
        <w:t xml:space="preserve">“Debit”</w:t>
      </w:r>
      <w:r>
        <w:t xml:space="preserve">,</w:t>
      </w:r>
      <w:r>
        <w:t xml:space="preserve"> </w:t>
      </w:r>
      <w:r>
        <w:t xml:space="preserve">“Credit”</w:t>
      </w:r>
      <w:r>
        <w:t xml:space="preserve">,</w:t>
      </w:r>
      <w:r>
        <w:t xml:space="preserve"> </w:t>
      </w:r>
      <w:r>
        <w:t xml:space="preserve">“Amount”</w:t>
      </w:r>
      <w:r>
        <w:t xml:space="preserve">)</w:t>
      </w:r>
      <w:r>
        <w:t xml:space="preserve"> </w:t>
      </w:r>
      <w:r>
        <w:t xml:space="preserve">- For TSV/TXT files, verify the delimiter is consistent</w:t>
      </w:r>
    </w:p>
    <w:bookmarkEnd w:id="113"/>
    <w:bookmarkStart w:id="114" w:name="file-too-large"/>
    <w:p>
      <w:pPr>
        <w:pStyle w:val="Heading3"/>
      </w:pPr>
      <w:r>
        <w:t xml:space="preserve">“File Too Large”</w:t>
      </w:r>
    </w:p>
    <w:p>
      <w:pPr>
        <w:pStyle w:val="FirstParagraph"/>
      </w:pPr>
      <w:r>
        <w:t xml:space="preserve">Maximum file size is 50 MB. Remove unnecessary columns or split into smaller files.</w:t>
      </w:r>
    </w:p>
    <w:bookmarkEnd w:id="114"/>
    <w:bookmarkStart w:id="115" w:name="unsupported-format"/>
    <w:p>
      <w:pPr>
        <w:pStyle w:val="Heading3"/>
      </w:pPr>
      <w:r>
        <w:t xml:space="preserve">“Unsupported Format”</w:t>
      </w:r>
    </w:p>
    <w:p>
      <w:pPr>
        <w:pStyle w:val="FirstParagraph"/>
      </w:pPr>
      <w:r>
        <w:t xml:space="preserve">Verify your file extension matches one of the 10 supported formats. Some formats (QBO, OFX, IIF, PDF, ODS) require a Solo plan or higher.</w:t>
      </w:r>
    </w:p>
    <w:bookmarkEnd w:id="115"/>
    <w:bookmarkStart w:id="116" w:name="verify-your-email"/>
    <w:p>
      <w:pPr>
        <w:pStyle w:val="Heading3"/>
      </w:pPr>
      <w:r>
        <w:t xml:space="preserve">“Verify Your Email”</w:t>
      </w:r>
    </w:p>
    <w:p>
      <w:pPr>
        <w:pStyle w:val="FirstParagraph"/>
      </w:pPr>
      <w:r>
        <w:t xml:space="preserve">All tools require email verification. Check your inbox for the verification link, or use</w:t>
      </w:r>
      <w:r>
        <w:t xml:space="preserve"> </w:t>
      </w:r>
      <w:r>
        <w:t xml:space="preserve">“Resend Verification.”</w:t>
      </w:r>
    </w:p>
    <w:bookmarkEnd w:id="116"/>
    <w:bookmarkStart w:id="117" w:name="out-of-balance-warning"/>
    <w:p>
      <w:pPr>
        <w:pStyle w:val="Heading3"/>
      </w:pPr>
      <w:r>
        <w:t xml:space="preserve">“Out of Balance”</w:t>
      </w:r>
      <w:r>
        <w:t xml:space="preserve"> </w:t>
      </w:r>
      <w:r>
        <w:t xml:space="preserve">Warning</w:t>
      </w:r>
    </w:p>
    <w:p>
      <w:pPr>
        <w:pStyle w:val="FirstParagraph"/>
      </w:pPr>
      <w:r>
        <w:t xml:space="preserve">This is informational — Paciolus is designed to diagnose trial balance issues. Review the flagged anomalies for investigation.</w:t>
      </w:r>
    </w:p>
    <w:bookmarkEnd w:id="117"/>
    <w:bookmarkStart w:id="118" w:name="upgrade-required"/>
    <w:p>
      <w:pPr>
        <w:pStyle w:val="Heading3"/>
      </w:pPr>
      <w:r>
        <w:t xml:space="preserve">“Upgrade Required”</w:t>
      </w:r>
    </w:p>
    <w:p>
      <w:pPr>
        <w:pStyle w:val="FirstParagraph"/>
      </w:pPr>
      <w:r>
        <w:t xml:space="preserve">You’ve attempted to access a tool or feature outside your current plan. Visit Settings &gt; Billing to upgrade.</w:t>
      </w:r>
    </w:p>
    <w:bookmarkEnd w:id="118"/>
    <w:bookmarkStart w:id="119" w:name="diagnostic-limit-reached"/>
    <w:p>
      <w:pPr>
        <w:pStyle w:val="Heading3"/>
      </w:pPr>
      <w:r>
        <w:t xml:space="preserve">“Diagnostic Limit Reached”</w:t>
      </w:r>
    </w:p>
    <w:p>
      <w:pPr>
        <w:pStyle w:val="FirstParagraph"/>
      </w:pPr>
      <w:r>
        <w:t xml:space="preserve">Free plans allow 10 diagnostics per month; Solo allows 20. Team and Organization plans have unlimited diagnostics.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faq"/>
    <w:p>
      <w:pPr>
        <w:pStyle w:val="Heading2"/>
      </w:pPr>
      <w:r>
        <w:t xml:space="preserve">24. FAQ</w:t>
      </w:r>
    </w:p>
    <w:p>
      <w:pPr>
        <w:pStyle w:val="FirstParagraph"/>
      </w:pPr>
      <w:r>
        <w:rPr>
          <w:b/>
          <w:bCs/>
        </w:rPr>
        <w:t xml:space="preserve">Q: Is my data safe?</w:t>
      </w:r>
      <w:r>
        <w:t xml:space="preserve"> </w:t>
      </w:r>
      <w:r>
        <w:t xml:space="preserve">A: Yes. Zero-Storage architecture means your financial data is processed in-memory and never stored. See Section 16 and our</w:t>
      </w:r>
      <w:r>
        <w:t xml:space="preserve"> </w:t>
      </w:r>
      <w:hyperlink r:id="rId89">
        <w:r>
          <w:rPr>
            <w:rStyle w:val="Hyperlink"/>
          </w:rPr>
          <w:t xml:space="preserve">Trust page</w:t>
        </w:r>
      </w:hyperlink>
      <w:r>
        <w:t xml:space="preserve"> </w:t>
      </w:r>
      <w:r>
        <w:t xml:space="preserve">for details.</w:t>
      </w:r>
    </w:p>
    <w:p>
      <w:pPr>
        <w:pStyle w:val="BodyText"/>
      </w:pPr>
      <w:r>
        <w:rPr>
          <w:b/>
          <w:bCs/>
        </w:rPr>
        <w:t xml:space="preserve">Q: Can I recover results from last week?</w:t>
      </w:r>
      <w:r>
        <w:t xml:space="preserve"> </w:t>
      </w:r>
      <w:r>
        <w:t xml:space="preserve">A: No. Zero-Storage means results are ephemeral. Always export to PDF/Excel/CSV before closing the browser.</w:t>
      </w:r>
    </w:p>
    <w:p>
      <w:pPr>
        <w:pStyle w:val="BodyText"/>
      </w:pPr>
      <w:r>
        <w:rPr>
          <w:b/>
          <w:bCs/>
        </w:rPr>
        <w:t xml:space="preserve">Q: Which tool should I use?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 a single trial balance</w:t>
            </w:r>
          </w:p>
        </w:tc>
        <w:tc>
          <w:tcPr/>
          <w:p>
            <w:pPr>
              <w:pStyle w:val="Compact"/>
            </w:pPr>
            <w:r>
              <w:t xml:space="preserve">TB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Compare this year vs. last year</w:t>
            </w:r>
          </w:p>
        </w:tc>
        <w:tc>
          <w:tcPr/>
          <w:p>
            <w:pPr>
              <w:pStyle w:val="Compact"/>
            </w:pPr>
            <w:r>
              <w:t xml:space="preserve">Multi-Period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journal entries for fraud/errors</w:t>
            </w:r>
          </w:p>
        </w:tc>
        <w:tc>
          <w:tcPr/>
          <w:p>
            <w:pPr>
              <w:pStyle w:val="Compact"/>
            </w:pPr>
            <w:r>
              <w:t xml:space="preserve">Journal Entry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for duplicate vendor payments</w:t>
            </w:r>
          </w:p>
        </w:tc>
        <w:tc>
          <w:tcPr/>
          <w:p>
            <w:pPr>
              <w:pStyle w:val="Compact"/>
            </w:pPr>
            <w:r>
              <w:t xml:space="preserve">AP Payment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bank statement to GL</w:t>
            </w:r>
          </w:p>
        </w:tc>
        <w:tc>
          <w:tcPr/>
          <w:p>
            <w:pPr>
              <w:pStyle w:val="Compact"/>
            </w:pPr>
            <w:r>
              <w:t xml:space="preserve">Bank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payroll register integrity</w:t>
            </w:r>
          </w:p>
        </w:tc>
        <w:tc>
          <w:tcPr/>
          <w:p>
            <w:pPr>
              <w:pStyle w:val="Compact"/>
            </w:pPr>
            <w:r>
              <w:t xml:space="preserve">Payroll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PO → Invoice → Receipt</w:t>
            </w:r>
          </w:p>
        </w:tc>
        <w:tc>
          <w:tcPr/>
          <w:p>
            <w:pPr>
              <w:pStyle w:val="Compact"/>
            </w:pPr>
            <w:r>
              <w:t xml:space="preserve">Three-Way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revenue recognition (ASC 606)</w:t>
            </w:r>
          </w:p>
        </w:tc>
        <w:tc>
          <w:tcPr/>
          <w:p>
            <w:pPr>
              <w:pStyle w:val="Compact"/>
            </w:pPr>
            <w:r>
              <w:t xml:space="preserve">Revenue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 accounts receivable aging</w:t>
            </w:r>
          </w:p>
        </w:tc>
        <w:tc>
          <w:tcPr/>
          <w:p>
            <w:pPr>
              <w:pStyle w:val="Compact"/>
            </w:pPr>
            <w:r>
              <w:t xml:space="preserve">AR Aging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 fixed asset depreciation</w:t>
            </w:r>
          </w:p>
        </w:tc>
        <w:tc>
          <w:tcPr/>
          <w:p>
            <w:pPr>
              <w:pStyle w:val="Compact"/>
            </w:pPr>
            <w:r>
              <w:t xml:space="preserve">Fixed Asset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inventory valuation</w:t>
            </w:r>
          </w:p>
        </w:tc>
        <w:tc>
          <w:tcPr/>
          <w:p>
            <w:pPr>
              <w:pStyle w:val="Compact"/>
            </w:pPr>
            <w:r>
              <w:t xml:space="preserve">Inventory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 statistical audit sample</w:t>
            </w:r>
          </w:p>
        </w:tc>
        <w:tc>
          <w:tcPr/>
          <w:p>
            <w:pPr>
              <w:pStyle w:val="Compact"/>
            </w:pPr>
            <w:r>
              <w:t xml:space="preserve">Statistical Sampling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Q: Can I use Paciolus for audit engagements?</w:t>
      </w:r>
      <w:r>
        <w:t xml:space="preserve"> </w:t>
      </w:r>
      <w:r>
        <w:t xml:space="preserve">A: Paciolus is a diagnostic intelligence tool, not an audit. It provides data-driven analysis to support your professional judgment. Use it for review engagements, compilations, internal diagnostics, and audit planning. See our</w:t>
      </w:r>
      <w:r>
        <w:t xml:space="preserve"> </w:t>
      </w:r>
      <w:hyperlink r:id="rId121">
        <w:r>
          <w:rPr>
            <w:rStyle w:val="Hyperlink"/>
          </w:rPr>
          <w:t xml:space="preserve">Terms of Service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Q: What file formats are supported?</w:t>
      </w:r>
      <w:r>
        <w:t xml:space="preserve"> </w:t>
      </w:r>
      <w:r>
        <w:t xml:space="preserve">A: Ten formats: CSV, Excel (.xlsx/.xls), TSV, TXT, OFX, QBO, IIF, PDF, and ODS. Some formats require a Solo plan or higher. See Section 2 for details.</w:t>
      </w:r>
    </w:p>
    <w:p>
      <w:pPr>
        <w:pStyle w:val="BodyText"/>
      </w:pPr>
      <w:r>
        <w:rPr>
          <w:b/>
          <w:bCs/>
        </w:rPr>
        <w:t xml:space="preserve">Q: What is the maximum file size?</w:t>
      </w:r>
      <w:r>
        <w:t xml:space="preserve"> </w:t>
      </w:r>
      <w:r>
        <w:t xml:space="preserve">A: 50 MB per upload across all formats.</w:t>
      </w:r>
    </w:p>
    <w:p>
      <w:pPr>
        <w:pStyle w:val="BodyText"/>
      </w:pPr>
      <w:r>
        <w:rPr>
          <w:b/>
          <w:bCs/>
        </w:rPr>
        <w:t xml:space="preserve">Q: How do I add team members?</w:t>
      </w:r>
      <w:r>
        <w:t xml:space="preserve"> </w:t>
      </w:r>
      <w:r>
        <w:t xml:space="preserve">A: Team and Organization plans support multiple seats. Go to Settings &gt; Billing &gt; Manage Seats to add users.</w:t>
      </w:r>
    </w:p>
    <w:p>
      <w:pPr>
        <w:pStyle w:val="BodyText"/>
      </w:pPr>
      <w:r>
        <w:rPr>
          <w:b/>
          <w:bCs/>
        </w:rPr>
        <w:t xml:space="preserve">Q: Can I change my plan?</w:t>
      </w:r>
      <w:r>
        <w:t xml:space="preserve"> </w:t>
      </w:r>
      <w:r>
        <w:t xml:space="preserve">A: Yes. Upgrade or downgrade at any time from Settings &gt; Billing. Plan changes take effect immediately for upgrades and at the end of the billing period for downgrades/cancellations.</w:t>
      </w:r>
    </w:p>
    <w:p>
      <w:r>
        <w:pict>
          <v:rect style="width:0;height:1.5pt" o:hralign="center" o:hrstd="t" o:hr="t"/>
        </w:pict>
      </w:r>
    </w:p>
    <w:bookmarkEnd w:id="122"/>
    <w:bookmarkStart w:id="123" w:name="contact-support"/>
    <w:p>
      <w:pPr>
        <w:pStyle w:val="Heading2"/>
      </w:pPr>
      <w:r>
        <w:t xml:space="preserve">Contact Support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help@paciolus.com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&lt;24 hours (business days)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Priority support:</w:t>
      </w:r>
      <w:r>
        <w:t xml:space="preserve"> </w:t>
      </w:r>
      <w:r>
        <w:t xml:space="preserve">Available on Team and Organization plans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Help Center: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help.paciolus.com</w:t>
        </w:r>
      </w:hyperlink>
    </w:p>
    <w:p>
      <w:r>
        <w:pict>
          <v:rect style="width:0;height:1.5pt" o:hralign="center" o:hrstd="t" o:hr="t"/>
        </w:pict>
      </w:r>
    </w:p>
    <w:bookmarkEnd w:id="123"/>
    <w:bookmarkStart w:id="124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t xml:space="preserve">Complete rewrite: 12 tools, 10 file formats, billing plans, engagement workspaces, command palette, data handling guarantees, v2.1.0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2026-02-06</w:t>
            </w:r>
          </w:p>
        </w:tc>
        <w:tc>
          <w:tcPr/>
          <w:p>
            <w:pPr>
              <w:pStyle w:val="Compact"/>
            </w:pPr>
            <w:r>
              <w:t xml:space="preserve">Added Tools 2–5 guides, updated navigation, v0.70.0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2026-02-04</w:t>
            </w:r>
          </w:p>
        </w:tc>
        <w:tc>
          <w:tcPr/>
          <w:p>
            <w:pPr>
              <w:pStyle w:val="Compact"/>
            </w:pPr>
            <w:r>
              <w:t xml:space="preserve">Initial user guide (Tool 1 only)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Paciolus v2.1.0 — Professional Audit Intelligence Platform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aciolus.com/login" TargetMode="External" /><Relationship Type="http://schemas.openxmlformats.org/officeDocument/2006/relationships/hyperlink" Id="rId11" Target="https://paciolus.com/register" TargetMode="External" /><Relationship Type="http://schemas.openxmlformats.org/officeDocument/2006/relationships/hyperlink" Id="rId121" Target="https://paciolus.com/terms" TargetMode="External" /><Relationship Type="http://schemas.openxmlformats.org/officeDocument/2006/relationships/hyperlink" Id="rId89" Target="https://paciolus.com/tru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aciolus.com/login" TargetMode="External" /><Relationship Type="http://schemas.openxmlformats.org/officeDocument/2006/relationships/hyperlink" Id="rId11" Target="https://paciolus.com/register" TargetMode="External" /><Relationship Type="http://schemas.openxmlformats.org/officeDocument/2006/relationships/hyperlink" Id="rId121" Target="https://paciolus.com/terms" TargetMode="External" /><Relationship Type="http://schemas.openxmlformats.org/officeDocument/2006/relationships/hyperlink" Id="rId89" Target="https://paciolus.com/tru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2026-02-26T18:51:11Z</dcterms:created>
  <dcterms:modified xsi:type="dcterms:W3CDTF">2026-02-26T18:51:11Z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