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b2ce061464ae8083f03a4d98f418753ff17c62f"/>
    <w:p>
      <w:pPr>
        <w:pStyle w:val="Heading1"/>
      </w:pPr>
      <w:r>
        <w:t xml:space="preserve">Audit Logging and Evidence Retention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Chief Information Security Officer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May 26,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defines Paciolus’s audit logging requirements, event classifications, tamper-resistance controls, retention schedules, and legal hold procedures. It provides the evidentiary framework for security investigations, compliance audits, and regulatory inquiries.</w:t>
      </w:r>
    </w:p>
    <w:p>
      <w:pPr>
        <w:pStyle w:val="BodyText"/>
      </w:pPr>
      <w:r>
        <w:rPr>
          <w:b/>
          <w:bCs/>
        </w:rPr>
        <w:t xml:space="preserve">Key Controls:</w:t>
      </w:r>
      <w:r>
        <w:t xml:space="preserve"> </w:t>
      </w:r>
      <w:r>
        <w:t xml:space="preserve">- ✅ 6 event classes with defined retention periods</w:t>
      </w:r>
      <w:r>
        <w:t xml:space="preserve"> </w:t>
      </w:r>
      <w:r>
        <w:t xml:space="preserve">- ✅ Tamper-resistance via soft-delete immutability model (ORM-enforced)</w:t>
      </w:r>
      <w:r>
        <w:t xml:space="preserve"> </w:t>
      </w:r>
      <w:r>
        <w:t xml:space="preserve">- ✅ Structured JSON logging with request ID correlation</w:t>
      </w:r>
      <w:r>
        <w:t xml:space="preserve"> </w:t>
      </w:r>
      <w:r>
        <w:t xml:space="preserve">- ✅ PII redaction (email masking, token fingerprinting, exception sanitization)</w:t>
      </w:r>
      <w:r>
        <w:t xml:space="preserve"> </w:t>
      </w:r>
      <w:r>
        <w:t xml:space="preserve">- ✅ Legal hold process with designated custodian</w:t>
      </w:r>
      <w:r>
        <w:t xml:space="preserve"> </w:t>
      </w:r>
      <w:r>
        <w:t xml:space="preserve">- ✅ Zero-Storage compliance: no financial data in any log destination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Engineering team, compliance officers, auditors, legal counsel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3960a20b7addcc2678085d14f4bd597ccd1ad9">
        <w:r>
          <w:rPr>
            <w:rStyle w:val="Hyperlink"/>
          </w:rPr>
          <w:t xml:space="preserve">Scope and Objectives</w:t>
        </w:r>
      </w:hyperlink>
    </w:p>
    <w:p>
      <w:pPr>
        <w:pStyle w:val="Compact"/>
        <w:numPr>
          <w:ilvl w:val="0"/>
          <w:numId w:val="1001"/>
        </w:numPr>
      </w:pPr>
      <w:hyperlink w:anchor="X15289249ffe606921135a2e190d7022d89ac4c3">
        <w:r>
          <w:rPr>
            <w:rStyle w:val="Hyperlink"/>
          </w:rPr>
          <w:t xml:space="preserve">Event Classification</w:t>
        </w:r>
      </w:hyperlink>
    </w:p>
    <w:p>
      <w:pPr>
        <w:pStyle w:val="Compact"/>
        <w:numPr>
          <w:ilvl w:val="0"/>
          <w:numId w:val="1001"/>
        </w:numPr>
      </w:pPr>
      <w:hyperlink w:anchor="X253cad3616d90af81e1bbfaf7aa14723bb10938">
        <w:r>
          <w:rPr>
            <w:rStyle w:val="Hyperlink"/>
          </w:rPr>
          <w:t xml:space="preserve">Log Format and Content</w:t>
        </w:r>
      </w:hyperlink>
    </w:p>
    <w:p>
      <w:pPr>
        <w:pStyle w:val="Compact"/>
        <w:numPr>
          <w:ilvl w:val="0"/>
          <w:numId w:val="1001"/>
        </w:numPr>
      </w:pPr>
      <w:hyperlink w:anchor="X56706c159e23b6b5bac18f899224e7ec07d4c76">
        <w:r>
          <w:rPr>
            <w:rStyle w:val="Hyperlink"/>
          </w:rPr>
          <w:t xml:space="preserve">Sensitive Data Handling</w:t>
        </w:r>
      </w:hyperlink>
    </w:p>
    <w:p>
      <w:pPr>
        <w:pStyle w:val="Compact"/>
        <w:numPr>
          <w:ilvl w:val="0"/>
          <w:numId w:val="1001"/>
        </w:numPr>
      </w:pPr>
      <w:hyperlink w:anchor="X7e15ecd7a01e337a0f4e2a00da5cbe3e9103d06">
        <w:r>
          <w:rPr>
            <w:rStyle w:val="Hyperlink"/>
          </w:rPr>
          <w:t xml:space="preserve">Tamper Resistance</w:t>
        </w:r>
      </w:hyperlink>
    </w:p>
    <w:p>
      <w:pPr>
        <w:pStyle w:val="Compact"/>
        <w:numPr>
          <w:ilvl w:val="0"/>
          <w:numId w:val="1001"/>
        </w:numPr>
      </w:pPr>
      <w:hyperlink w:anchor="X1a794337f67870539c03fc59f16818f928c2f4b">
        <w:r>
          <w:rPr>
            <w:rStyle w:val="Hyperlink"/>
          </w:rPr>
          <w:t xml:space="preserve">Retention Schedule</w:t>
        </w:r>
      </w:hyperlink>
    </w:p>
    <w:p>
      <w:pPr>
        <w:pStyle w:val="Compact"/>
        <w:numPr>
          <w:ilvl w:val="0"/>
          <w:numId w:val="1001"/>
        </w:numPr>
      </w:pPr>
      <w:hyperlink w:anchor="Xc8a1ed9bdb7ea4129bc8b3a760d215b043b9698">
        <w:r>
          <w:rPr>
            <w:rStyle w:val="Hyperlink"/>
          </w:rPr>
          <w:t xml:space="preserve">Legal Hold Process</w:t>
        </w:r>
      </w:hyperlink>
    </w:p>
    <w:p>
      <w:pPr>
        <w:pStyle w:val="Compact"/>
        <w:numPr>
          <w:ilvl w:val="0"/>
          <w:numId w:val="1001"/>
        </w:numPr>
      </w:pPr>
      <w:hyperlink w:anchor="Xf80f3a341ad4d7758784b16c0f465845fe42c15">
        <w:r>
          <w:rPr>
            <w:rStyle w:val="Hyperlink"/>
          </w:rPr>
          <w:t xml:space="preserve">Log Access and Review</w:t>
        </w:r>
      </w:hyperlink>
    </w:p>
    <w:p>
      <w:pPr>
        <w:pStyle w:val="Compact"/>
        <w:numPr>
          <w:ilvl w:val="0"/>
          <w:numId w:val="1001"/>
        </w:numPr>
      </w:pPr>
      <w:hyperlink w:anchor="X6d5bf9ad31b0d6d18814ccbde8457b6662a18d7">
        <w:r>
          <w:rPr>
            <w:rStyle w:val="Hyperlink"/>
          </w:rPr>
          <w:t xml:space="preserve">Monitoring and Alerting</w:t>
        </w:r>
      </w:hyperlink>
    </w:p>
    <w:p>
      <w:pPr>
        <w:pStyle w:val="Compact"/>
        <w:numPr>
          <w:ilvl w:val="0"/>
          <w:numId w:val="1001"/>
        </w:numPr>
      </w:pPr>
      <w:hyperlink w:anchor="X5dd80f53d02925f270703a35b97d600acb1d2bf">
        <w:r>
          <w:rPr>
            <w:rStyle w:val="Hyperlink"/>
          </w:rPr>
          <w:t xml:space="preserve">Contact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scope-and-objectives"/>
    <w:p>
      <w:pPr>
        <w:pStyle w:val="Heading2"/>
      </w:pPr>
      <w:r>
        <w:t xml:space="preserve">1. Scope and Objectives</w:t>
      </w:r>
    </w:p>
    <w:bookmarkStart w:id="11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policy covers all audit-relevant events generated by:</w:t>
      </w:r>
      <w:r>
        <w:t xml:space="preserve"> </w:t>
      </w:r>
      <w:r>
        <w:t xml:space="preserve">- Paciolus backend API (FastAPI application)</w:t>
      </w:r>
      <w:r>
        <w:t xml:space="preserve"> </w:t>
      </w:r>
      <w:r>
        <w:t xml:space="preserve">- Database operations (PostgreSQL, via ORM)</w:t>
      </w:r>
      <w:r>
        <w:t xml:space="preserve"> </w:t>
      </w:r>
      <w:r>
        <w:t xml:space="preserve">- Authentication and authorization system</w:t>
      </w:r>
      <w:r>
        <w:t xml:space="preserve"> </w:t>
      </w:r>
      <w:r>
        <w:t xml:space="preserve">- Billing and subscription management</w:t>
      </w:r>
      <w:r>
        <w:t xml:space="preserve"> </w:t>
      </w:r>
      <w:r>
        <w:t xml:space="preserve">- Infrastructure monitoring (Prometheus, Sentry)</w:t>
      </w:r>
      <w:r>
        <w:t xml:space="preserve"> </w:t>
      </w:r>
      <w:r>
        <w:t xml:space="preserve">- CI/CD pipeline (GitHub Actions)</w:t>
      </w:r>
    </w:p>
    <w:bookmarkEnd w:id="11"/>
    <w:bookmarkStart w:id="12" w:name="objectives"/>
    <w:p>
      <w:pPr>
        <w:pStyle w:val="Heading3"/>
      </w:pPr>
      <w:r>
        <w:t xml:space="preserve">1.2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Measurable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all security-relevant events</w:t>
            </w:r>
          </w:p>
        </w:tc>
        <w:tc>
          <w:tcPr/>
          <w:p>
            <w:pPr>
              <w:pStyle w:val="Compact"/>
            </w:pPr>
            <w:r>
              <w:t xml:space="preserve">100% of authentication, authorization, and data access events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 log tampering</w:t>
            </w:r>
          </w:p>
        </w:tc>
        <w:tc>
          <w:tcPr/>
          <w:p>
            <w:pPr>
              <w:pStyle w:val="Compact"/>
            </w:pPr>
            <w:r>
              <w:t xml:space="preserve">ORM-level deletion guard on audit models (zero hard-deletes)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 sensitive data in logs</w:t>
            </w:r>
          </w:p>
        </w:tc>
        <w:tc>
          <w:tcPr/>
          <w:p>
            <w:pPr>
              <w:pStyle w:val="Compact"/>
            </w:pPr>
            <w:r>
              <w:t xml:space="preserve">Zero PII in plaintext logs (email masked, tokens fingerprinted)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Retain logs per compliance requirements</w:t>
            </w:r>
          </w:p>
        </w:tc>
        <w:tc>
          <w:tcPr/>
          <w:p>
            <w:pPr>
              <w:pStyle w:val="Compact"/>
            </w:pPr>
            <w:r>
              <w:t xml:space="preserve">Retention windows enforced per 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incident investigation</w:t>
            </w:r>
          </w:p>
        </w:tc>
        <w:tc>
          <w:tcPr/>
          <w:p>
            <w:pPr>
              <w:pStyle w:val="Compact"/>
            </w:pPr>
            <w:r>
              <w:t xml:space="preserve">Request ID correlation enables full request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legal and regulatory inquiries</w:t>
            </w:r>
          </w:p>
        </w:tc>
        <w:tc>
          <w:tcPr/>
          <w:p>
            <w:pPr>
              <w:pStyle w:val="Compact"/>
            </w:pPr>
            <w:r>
              <w:t xml:space="preserve">Legal hold procedure with designated custodian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event-classification"/>
    <w:p>
      <w:pPr>
        <w:pStyle w:val="Heading2"/>
      </w:pPr>
      <w:r>
        <w:t xml:space="preserve">2. Event Classification</w:t>
      </w:r>
    </w:p>
    <w:bookmarkStart w:id="14" w:name="event-classes"/>
    <w:p>
      <w:pPr>
        <w:pStyle w:val="Heading3"/>
      </w:pPr>
      <w:r>
        <w:t xml:space="preserve">2.1 Event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511"/>
        <w:gridCol w:w="1931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User identity verification events</w:t>
            </w:r>
          </w:p>
        </w:tc>
        <w:tc>
          <w:tcPr/>
          <w:p>
            <w:pPr>
              <w:pStyle w:val="Compact"/>
            </w:pPr>
            <w:r>
              <w:t xml:space="preserve">Login success/failure, token refresh, token revocation, password change, account lockout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Access control decisions</w:t>
            </w:r>
          </w:p>
        </w:tc>
        <w:tc>
          <w:tcPr/>
          <w:p>
            <w:pPr>
              <w:pStyle w:val="Compact"/>
            </w:pPr>
            <w:r>
              <w:t xml:space="preserve">Endpoint access denied (403), tier entitlement check, rate limit exceeded (429)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Read or write of user-owned data</w:t>
            </w:r>
          </w:p>
        </w:tc>
        <w:tc>
          <w:tcPr/>
          <w:p>
            <w:pPr>
              <w:pStyle w:val="Compact"/>
            </w:pPr>
            <w:r>
              <w:t xml:space="preserve">Client created/updated/deleted, engagement created, diagnostic run, tool execution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</w:t>
            </w:r>
          </w:p>
        </w:tc>
        <w:tc>
          <w:tcPr/>
          <w:p>
            <w:pPr>
              <w:pStyle w:val="Compact"/>
            </w:pPr>
            <w:r>
              <w:t xml:space="preserve">System configuration and user management</w:t>
            </w:r>
          </w:p>
        </w:tc>
        <w:tc>
          <w:tcPr/>
          <w:p>
            <w:pPr>
              <w:pStyle w:val="Compact"/>
            </w:pPr>
            <w:r>
              <w:t xml:space="preserve">User account deletion, email change, billing event, subscription change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Security-relevant system events</w:t>
            </w:r>
          </w:p>
        </w:tc>
        <w:tc>
          <w:tcPr/>
          <w:p>
            <w:pPr>
              <w:pStyle w:val="Compact"/>
            </w:pPr>
            <w:r>
              <w:t xml:space="preserve">CSRF validation failure, CORS rejection, suspicious input detected, IP blocked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Infrastructure and performance events</w:t>
            </w:r>
          </w:p>
        </w:tc>
        <w:tc>
          <w:tcPr/>
          <w:p>
            <w:pPr>
              <w:pStyle w:val="Compact"/>
            </w:pPr>
            <w:r>
              <w:t xml:space="preserve">Health check, deployment, database migration, background task execution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</w:tbl>
    <w:bookmarkEnd w:id="14"/>
    <w:bookmarkStart w:id="20" w:name="minimum-required-events"/>
    <w:p>
      <w:pPr>
        <w:pStyle w:val="Heading3"/>
      </w:pPr>
      <w:r>
        <w:t xml:space="preserve">2.2 Minimum Required Events</w:t>
      </w:r>
    </w:p>
    <w:p>
      <w:pPr>
        <w:pStyle w:val="FirstParagraph"/>
      </w:pPr>
      <w:r>
        <w:t xml:space="preserve">The following events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logged. Absence of these events in the log stream constitutes a compliance gap.</w:t>
      </w:r>
    </w:p>
    <w:bookmarkStart w:id="15" w:name="authentication-events"/>
    <w:p>
      <w:pPr>
        <w:pStyle w:val="Heading4"/>
      </w:pPr>
      <w:r>
        <w:t xml:space="preserve">Authentication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321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success</w:t>
            </w:r>
          </w:p>
        </w:tc>
        <w:tc>
          <w:tcPr/>
          <w:p>
            <w:pPr>
              <w:pStyle w:val="Compact"/>
            </w:pPr>
            <w:r>
              <w:t xml:space="preserve">user_id, email (masked), timestamp, IP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failure</w:t>
            </w:r>
          </w:p>
        </w:tc>
        <w:tc>
          <w:tcPr/>
          <w:p>
            <w:pPr>
              <w:pStyle w:val="Compact"/>
            </w:pPr>
            <w:r>
              <w:t xml:space="preserve">email (masked), timestamp, IP, failure_reason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lockout triggered</w:t>
            </w:r>
          </w:p>
        </w:tc>
        <w:tc>
          <w:tcPr/>
          <w:p>
            <w:pPr>
              <w:pStyle w:val="Compact"/>
            </w:pPr>
            <w:r>
              <w:t xml:space="preserve">email (masked), timestamp, failed_attempt_count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lockout expired</w:t>
            </w:r>
          </w:p>
        </w:tc>
        <w:tc>
          <w:tcPr/>
          <w:p>
            <w:pPr>
              <w:pStyle w:val="Compact"/>
            </w:pPr>
            <w:r>
              <w:t xml:space="preserve">email (masked), timestamp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user_id, token_fingerprint (old + new)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revocation (logout)</w:t>
            </w:r>
          </w:p>
        </w:tc>
        <w:tc>
          <w:tcPr/>
          <w:p>
            <w:pPr>
              <w:pStyle w:val="Compact"/>
            </w:pPr>
            <w:r>
              <w:t xml:space="preserve">user_id, token_fingerprint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All-token revocation (password change)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reuse detected</w:t>
            </w:r>
          </w:p>
        </w:tc>
        <w:tc>
          <w:tcPr/>
          <w:p>
            <w:pPr>
              <w:pStyle w:val="Compact"/>
            </w:pPr>
            <w:r>
              <w:t xml:space="preserve">user_id, token_fingerprint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change</w:t>
            </w:r>
          </w:p>
        </w:tc>
        <w:tc>
          <w:tcPr/>
          <w:p>
            <w:pPr>
              <w:pStyle w:val="Compact"/>
            </w:pPr>
            <w:r>
              <w:t xml:space="preserve">user_id, timestamp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t xml:space="preserve">user_id, timestamp, status (success/failure)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</w:tbl>
    <w:bookmarkEnd w:id="15"/>
    <w:bookmarkStart w:id="16" w:name="authorization-events"/>
    <w:p>
      <w:pPr>
        <w:pStyle w:val="Heading4"/>
      </w:pPr>
      <w:r>
        <w:t xml:space="preserve">Authorization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321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access denied (401/403)</w:t>
            </w:r>
          </w:p>
        </w:tc>
        <w:tc>
          <w:tcPr/>
          <w:p>
            <w:pPr>
              <w:pStyle w:val="Compact"/>
            </w:pPr>
            <w:r>
              <w:t xml:space="preserve">request_id, path, method, reason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entitlement denied</w:t>
            </w:r>
          </w:p>
        </w:tc>
        <w:tc>
          <w:tcPr/>
          <w:p>
            <w:pPr>
              <w:pStyle w:val="Compact"/>
            </w:pPr>
            <w:r>
              <w:t xml:space="preserve">user_id, tier, requested_feature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exceeded (429)</w:t>
            </w:r>
          </w:p>
        </w:tc>
        <w:tc>
          <w:tcPr/>
          <w:p>
            <w:pPr>
              <w:pStyle w:val="Compact"/>
            </w:pPr>
            <w:r>
              <w:t xml:space="preserve">user_id or IP, endpoint_category, limit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validation failure</w:t>
            </w:r>
          </w:p>
        </w:tc>
        <w:tc>
          <w:tcPr/>
          <w:p>
            <w:pPr>
              <w:pStyle w:val="Compact"/>
            </w:pPr>
            <w:r>
              <w:t xml:space="preserve">request_id, path, failure_reason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bookmarkEnd w:id="16"/>
    <w:bookmarkStart w:id="17" w:name="data-access-events"/>
    <w:p>
      <w:pPr>
        <w:pStyle w:val="Heading4"/>
      </w:pPr>
      <w:r>
        <w:t xml:space="preserve">Data Access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321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created/updated/deleted</w:t>
            </w:r>
          </w:p>
        </w:tc>
        <w:tc>
          <w:tcPr/>
          <w:p>
            <w:pPr>
              <w:pStyle w:val="Compact"/>
            </w:pPr>
            <w:r>
              <w:t xml:space="preserve">user_id, client_id, action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created/updated</w:t>
            </w:r>
          </w:p>
        </w:tc>
        <w:tc>
          <w:tcPr/>
          <w:p>
            <w:pPr>
              <w:pStyle w:val="Compact"/>
            </w:pPr>
            <w:r>
              <w:t xml:space="preserve">user_id, engagement_id, action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run (TB upload + analysis)</w:t>
            </w:r>
          </w:p>
        </w:tc>
        <w:tc>
          <w:tcPr/>
          <w:p>
            <w:pPr>
              <w:pStyle w:val="Compact"/>
            </w:pPr>
            <w:r>
              <w:t xml:space="preserve">user_id, row_count, balanced, anomaly_count, duration_ms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execution</w:t>
            </w:r>
          </w:p>
        </w:tc>
        <w:tc>
          <w:tcPr/>
          <w:p>
            <w:pPr>
              <w:pStyle w:val="Compact"/>
            </w:pPr>
            <w:r>
              <w:t xml:space="preserve">user_id, tool_name, engagement_id (if applicable), duration_ms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generated (PDF/CSV/Excel)</w:t>
            </w:r>
          </w:p>
        </w:tc>
        <w:tc>
          <w:tcPr/>
          <w:p>
            <w:pPr>
              <w:pStyle w:val="Compact"/>
            </w:pPr>
            <w:r>
              <w:t xml:space="preserve">user_id, export_type, tool_name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item created/updated</w:t>
            </w:r>
          </w:p>
        </w:tc>
        <w:tc>
          <w:tcPr/>
          <w:p>
            <w:pPr>
              <w:pStyle w:val="Compact"/>
            </w:pPr>
            <w:r>
              <w:t xml:space="preserve">user_id, engagement_id, item_id, action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</w:tbl>
    <w:bookmarkEnd w:id="17"/>
    <w:bookmarkStart w:id="18" w:name="administrative-events"/>
    <w:p>
      <w:pPr>
        <w:pStyle w:val="Heading4"/>
      </w:pPr>
      <w:r>
        <w:t xml:space="preserve">Administrative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321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deletion</w:t>
            </w:r>
          </w:p>
        </w:tc>
        <w:tc>
          <w:tcPr/>
          <w:p>
            <w:pPr>
              <w:pStyle w:val="Compact"/>
            </w:pPr>
            <w:r>
              <w:t xml:space="preserve">user_id, timestamp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change initiated</w:t>
            </w:r>
          </w:p>
        </w:tc>
        <w:tc>
          <w:tcPr/>
          <w:p>
            <w:pPr>
              <w:pStyle w:val="Compact"/>
            </w:pPr>
            <w:r>
              <w:t xml:space="preserve">user_id, timestamp (old/new emails NOT logged)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event</w:t>
            </w:r>
          </w:p>
        </w:tc>
        <w:tc>
          <w:tcPr/>
          <w:p>
            <w:pPr>
              <w:pStyle w:val="Compact"/>
            </w:pPr>
            <w:r>
              <w:t xml:space="preserve">user_id, event_type, tier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status change</w:t>
            </w:r>
          </w:p>
        </w:tc>
        <w:tc>
          <w:tcPr/>
          <w:p>
            <w:pPr>
              <w:pStyle w:val="Compact"/>
            </w:pPr>
            <w:r>
              <w:t xml:space="preserve">user_id, old_status, new_status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</w:tbl>
    <w:bookmarkEnd w:id="18"/>
    <w:bookmarkStart w:id="19" w:name="security-events"/>
    <w:p>
      <w:pPr>
        <w:pStyle w:val="Heading4"/>
      </w:pPr>
      <w:r>
        <w:t xml:space="preserve">Security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321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origin rejected</w:t>
            </w:r>
          </w:p>
        </w:tc>
        <w:tc>
          <w:tcPr/>
          <w:p>
            <w:pPr>
              <w:pStyle w:val="Compact"/>
            </w:pPr>
            <w:r>
              <w:t xml:space="preserve">request_id, origin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request (schema validation)</w:t>
            </w:r>
          </w:p>
        </w:tc>
        <w:tc>
          <w:tcPr/>
          <w:p>
            <w:pPr>
              <w:pStyle w:val="Compact"/>
            </w:pPr>
            <w:r>
              <w:t xml:space="preserve">request_id, path, error_type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security rejection (formula injection, size limit)</w:t>
            </w:r>
          </w:p>
        </w:tc>
        <w:tc>
          <w:tcPr/>
          <w:p>
            <w:pPr>
              <w:pStyle w:val="Compact"/>
            </w:pPr>
            <w:r>
              <w:t xml:space="preserve">request_id, user_id, rejection_reason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Suspicious login pattern (&gt;5 failures in window)</w:t>
            </w:r>
          </w:p>
        </w:tc>
        <w:tc>
          <w:tcPr/>
          <w:p>
            <w:pPr>
              <w:pStyle w:val="Compact"/>
            </w:pPr>
            <w:r>
              <w:t xml:space="preserve">IP, email (masked), attempt_count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log-format-and-content"/>
    <w:p>
      <w:pPr>
        <w:pStyle w:val="Heading2"/>
      </w:pPr>
      <w:r>
        <w:t xml:space="preserve">3. Log Format and Content</w:t>
      </w:r>
    </w:p>
    <w:bookmarkStart w:id="22" w:name="structured-json-format-production"/>
    <w:p>
      <w:pPr>
        <w:pStyle w:val="Heading3"/>
      </w:pPr>
      <w:r>
        <w:t xml:space="preserve">3.1 Structured JSON Format (Production)</w:t>
      </w:r>
    </w:p>
    <w:p>
      <w:pPr>
        <w:pStyle w:val="FirstParagraph"/>
      </w:pPr>
      <w:r>
        <w:t xml:space="preserve">All production logs are emitted in structured JSON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"2026-02-26T10:00:00.000Z"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"routes.auth"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"/auth/login"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required-fields"/>
    <w:p>
      <w:pPr>
        <w:pStyle w:val="Heading3"/>
      </w:pPr>
      <w:r>
        <w:t xml:space="preserve">3.2 Required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 8601 UTC timestamp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Log level (DEBUG, INFO, WARNING, ERROR, CRITICAL)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Module name (e.g.,</w:t>
            </w:r>
            <w:r>
              <w:t xml:space="preserve"> </w:t>
            </w:r>
            <w:r>
              <w:rPr>
                <w:rStyle w:val="VerbatimChar"/>
              </w:rPr>
              <w:t xml:space="preserve">routes.auth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billing.webhook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Human-readable event description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Unique request correlation ID (12-char UUID or from</w:t>
            </w:r>
            <w:r>
              <w:t xml:space="preserve"> </w:t>
            </w:r>
            <w:r>
              <w:rPr>
                <w:rStyle w:val="VerbatimChar"/>
              </w:rPr>
              <w:t xml:space="preserve">X-Request-ID</w:t>
            </w:r>
            <w:r>
              <w:t xml:space="preserve"> </w:t>
            </w:r>
            <w:r>
              <w:t xml:space="preserve">header)</w:t>
            </w:r>
          </w:p>
        </w:tc>
        <w:tc>
          <w:tcPr/>
          <w:p>
            <w:pPr>
              <w:pStyle w:val="Compact"/>
            </w:pPr>
            <w:r>
              <w:t xml:space="preserve">All HTTP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Authenticated user identifier</w:t>
            </w:r>
          </w:p>
        </w:tc>
        <w:tc>
          <w:tcPr/>
          <w:p>
            <w:pPr>
              <w:pStyle w:val="Compact"/>
            </w:pPr>
            <w:r>
              <w:t xml:space="preserve">When 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Client IP address</w:t>
            </w:r>
          </w:p>
        </w:tc>
        <w:tc>
          <w:tcPr/>
          <w:p>
            <w:pPr>
              <w:pStyle w:val="Compact"/>
            </w:pPr>
            <w:r>
              <w:t xml:space="preserve">All HTTP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HTTP method</w:t>
            </w:r>
          </w:p>
        </w:tc>
        <w:tc>
          <w:tcPr/>
          <w:p>
            <w:pPr>
              <w:pStyle w:val="Compact"/>
            </w:pPr>
            <w:r>
              <w:t xml:space="preserve">All HTTP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Request path (no query parameters)</w:t>
            </w:r>
          </w:p>
        </w:tc>
        <w:tc>
          <w:tcPr/>
          <w:p>
            <w:pPr>
              <w:pStyle w:val="Compact"/>
            </w:pPr>
            <w:r>
              <w:t xml:space="preserve">All HTTP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status_code</w:t>
            </w:r>
          </w:p>
        </w:tc>
        <w:tc>
          <w:tcPr/>
          <w:p>
            <w:pPr>
              <w:pStyle w:val="Compact"/>
            </w:pPr>
            <w:r>
              <w:t xml:space="preserve">HTTP response status code</w:t>
            </w:r>
          </w:p>
        </w:tc>
        <w:tc>
          <w:tcPr/>
          <w:p>
            <w:pPr>
              <w:pStyle w:val="Compact"/>
            </w:pPr>
            <w:r>
              <w:t xml:space="preserve">All HTTP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Request processing time in milliseconds</w:t>
            </w:r>
          </w:p>
        </w:tc>
        <w:tc>
          <w:tcPr/>
          <w:p>
            <w:pPr>
              <w:pStyle w:val="Compact"/>
            </w:pPr>
            <w:r>
              <w:t xml:space="preserve">All HTTP responses</w:t>
            </w:r>
          </w:p>
        </w:tc>
      </w:tr>
    </w:tbl>
    <w:bookmarkEnd w:id="23"/>
    <w:bookmarkStart w:id="25" w:name="request-id-correlation"/>
    <w:p>
      <w:pPr>
        <w:pStyle w:val="Heading3"/>
      </w:pPr>
      <w:r>
        <w:t xml:space="preserve">3.3 Request ID Correlation</w:t>
      </w:r>
    </w:p>
    <w:p>
      <w:pPr>
        <w:pStyle w:val="FirstParagraph"/>
      </w:pPr>
      <w:r>
        <w:t xml:space="preserve">Every request receives a unique identifier: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 (if provided by client/proxy) or auto-generated 12-character UUID</w:t>
      </w:r>
      <w:r>
        <w:t xml:space="preserve"> </w:t>
      </w:r>
      <w:r>
        <w:t xml:space="preserve">- Propagation: Via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, available to all code in the request lifecycle</w:t>
      </w:r>
      <w:r>
        <w:t xml:space="preserve"> </w:t>
      </w:r>
      <w:r>
        <w:t xml:space="preserve">- Response: Returned in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response header</w:t>
      </w:r>
      <w:r>
        <w:t xml:space="preserve"> </w:t>
      </w:r>
      <w:r>
        <w:t xml:space="preserve">- Purpose: Enables end-to-end tracing of a single request across log entries</w:t>
      </w:r>
    </w:p>
    <w:p>
      <w:pPr>
        <w:pStyle w:val="BodyText"/>
      </w:pPr>
      <w:r>
        <w:t xml:space="preserve">See</w:t>
      </w:r>
      <w:r>
        <w:t xml:space="preserve"> </w:t>
      </w:r>
      <w:hyperlink r:id="rId24">
        <w:r>
          <w:rPr>
            <w:rStyle w:val="Hyperlink"/>
          </w:rPr>
          <w:t xml:space="preserve">SECURITY_POLICY.md</w:t>
        </w:r>
      </w:hyperlink>
      <w:r>
        <w:t xml:space="preserve"> </w:t>
      </w:r>
      <w:r>
        <w:t xml:space="preserve">Section 8.1 for logging infrastructure details.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ensitive-data-handling"/>
    <w:p>
      <w:pPr>
        <w:pStyle w:val="Heading2"/>
      </w:pPr>
      <w:r>
        <w:t xml:space="preserve">4. Sensitive Data Handling</w:t>
      </w:r>
    </w:p>
    <w:bookmarkStart w:id="27" w:name="data-never-logged"/>
    <w:p>
      <w:pPr>
        <w:pStyle w:val="Heading3"/>
      </w:pPr>
      <w:r>
        <w:t xml:space="preserve">4.1 Data Never Logged</w:t>
      </w:r>
    </w:p>
    <w:p>
      <w:pPr>
        <w:pStyle w:val="FirstParagraph"/>
      </w:pPr>
      <w:r>
        <w:t xml:space="preserve">The following data categories are</w:t>
      </w:r>
      <w:r>
        <w:t xml:space="preserve"> </w:t>
      </w:r>
      <w:r>
        <w:rPr>
          <w:b/>
          <w:bCs/>
        </w:rPr>
        <w:t xml:space="preserve">absolutely excluded</w:t>
      </w:r>
      <w:r>
        <w:t xml:space="preserve"> </w:t>
      </w:r>
      <w:r>
        <w:t xml:space="preserve">from all log destinations: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 (plaintext or hashed)</w:t>
            </w:r>
          </w:p>
        </w:tc>
        <w:tc>
          <w:tcPr/>
          <w:p>
            <w:pPr>
              <w:pStyle w:val="Compact"/>
            </w:pPr>
            <w:r>
              <w:t xml:space="preserve">Credential exposure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token bodies</w:t>
            </w:r>
          </w:p>
        </w:tc>
        <w:tc>
          <w:tcPr/>
          <w:p>
            <w:pPr>
              <w:pStyle w:val="Compact"/>
            </w:pPr>
            <w:r>
              <w:t xml:space="preserve">Token theft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tokens</w:t>
            </w:r>
          </w:p>
        </w:tc>
        <w:tc>
          <w:tcPr/>
          <w:p>
            <w:pPr>
              <w:pStyle w:val="Compact"/>
            </w:pPr>
            <w:r>
              <w:t xml:space="preserve">Token replay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balance line items</w:t>
            </w:r>
          </w:p>
        </w:tc>
        <w:tc>
          <w:tcPr/>
          <w:p>
            <w:pPr>
              <w:pStyle w:val="Compact"/>
            </w:pPr>
            <w:r>
              <w:t xml:space="preserve">Zero-Storage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balances or financial figures</w:t>
            </w:r>
          </w:p>
        </w:tc>
        <w:tc>
          <w:tcPr/>
          <w:p>
            <w:pPr>
              <w:pStyle w:val="Compact"/>
            </w:pPr>
            <w:r>
              <w:t xml:space="preserve">Zero-Storage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connection strings</w:t>
            </w:r>
          </w:p>
        </w:tc>
        <w:tc>
          <w:tcPr/>
          <w:p>
            <w:pPr>
              <w:pStyle w:val="Compact"/>
            </w:pPr>
            <w:r>
              <w:t xml:space="preserve">Infrastructure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 or secrets</w:t>
            </w:r>
          </w:p>
        </w:tc>
        <w:tc>
          <w:tcPr/>
          <w:p>
            <w:pPr>
              <w:pStyle w:val="Compact"/>
            </w:pPr>
            <w:r>
              <w:t xml:space="preserve">Credential exposure risk</w:t>
            </w:r>
          </w:p>
        </w:tc>
      </w:tr>
    </w:tbl>
    <w:bookmarkEnd w:id="27"/>
    <w:bookmarkStart w:id="28" w:name="redaction-rules"/>
    <w:p>
      <w:pPr>
        <w:pStyle w:val="Heading3"/>
      </w:pPr>
      <w:r>
        <w:t xml:space="preserve">4.2 Redaction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363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Redaction Method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addresses</w:t>
            </w:r>
          </w:p>
        </w:tc>
        <w:tc>
          <w:tcPr/>
          <w:p>
            <w:pPr>
              <w:pStyle w:val="Compact"/>
            </w:pPr>
            <w:r>
              <w:t xml:space="preserve">First 3 characters +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abc***@example.com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tokens</w:t>
            </w:r>
          </w:p>
        </w:tc>
        <w:tc>
          <w:tcPr/>
          <w:p>
            <w:pPr>
              <w:pStyle w:val="Compact"/>
            </w:pPr>
            <w:r>
              <w:t xml:space="preserve">First 8 chars +</w:t>
            </w:r>
            <w:r>
              <w:t xml:space="preserve"> </w:t>
            </w:r>
            <w:r>
              <w:rPr>
                <w:rStyle w:val="VerbatimChar"/>
              </w:rPr>
              <w:t xml:space="preserve">[</w:t>
            </w:r>
            <w:r>
              <w:t xml:space="preserve"> </w:t>
            </w:r>
            <w:r>
              <w:t xml:space="preserve">+ 8-char SHA-256 prefix +</w:t>
            </w:r>
            <w:r>
              <w:t xml:space="preserve"> </w:t>
            </w: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eyJhbGci[a1b2c3d4]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tokens</w:t>
            </w:r>
          </w:p>
        </w:tc>
        <w:tc>
          <w:tcPr/>
          <w:p>
            <w:pPr>
              <w:pStyle w:val="Compact"/>
            </w:pPr>
            <w:r>
              <w:t xml:space="preserve">Same as JWT</w:t>
            </w:r>
          </w:p>
        </w:tc>
        <w:tc>
          <w:tcPr/>
          <w:p>
            <w:pPr>
              <w:pStyle w:val="Compact"/>
            </w:pPr>
            <w:r>
              <w:t xml:space="preserve">Fingerprint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 messages</w:t>
            </w:r>
          </w:p>
        </w:tc>
        <w:tc>
          <w:tcPr/>
          <w:p>
            <w:pPr>
              <w:pStyle w:val="Compact"/>
            </w:pPr>
            <w:r>
              <w:t xml:space="preserve">Class name only (not</w:t>
            </w:r>
            <w:r>
              <w:t xml:space="preserve"> </w:t>
            </w:r>
            <w:r>
              <w:rPr>
                <w:rStyle w:val="VerbatimChar"/>
              </w:rPr>
              <w:t xml:space="preserve">str(e)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(not the message)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paths</w:t>
            </w:r>
          </w:p>
        </w:tc>
        <w:tc>
          <w:tcPr/>
          <w:p>
            <w:pPr>
              <w:pStyle w:val="Compact"/>
            </w:pPr>
            <w:r>
              <w:t xml:space="preserve">Logged as filename only (no full server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parameters</w:t>
            </w:r>
          </w:p>
        </w:tc>
        <w:tc>
          <w:tcPr/>
          <w:p>
            <w:pPr>
              <w:pStyle w:val="Compact"/>
            </w:pPr>
            <w:r>
              <w:t xml:space="preserve">Stripped from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/api/clients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/api/clients?search=acme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All redaction is performed by the</w:t>
      </w:r>
      <w:r>
        <w:t xml:space="preserve"> </w:t>
      </w:r>
      <w:r>
        <w:rPr>
          <w:rStyle w:val="VerbatimChar"/>
        </w:rPr>
        <w:t xml:space="preserve">log_sanitizer</w:t>
      </w:r>
      <w:r>
        <w:t xml:space="preserve"> </w:t>
      </w:r>
      <w:r>
        <w:t xml:space="preserve">module before log emission. See</w:t>
      </w:r>
      <w:r>
        <w:t xml:space="preserve"> </w:t>
      </w:r>
      <w:hyperlink r:id="rId24">
        <w:r>
          <w:rPr>
            <w:rStyle w:val="Hyperlink"/>
          </w:rPr>
          <w:t xml:space="preserve">SECURITY_POLICY.md</w:t>
        </w:r>
      </w:hyperlink>
      <w:r>
        <w:t xml:space="preserve"> </w:t>
      </w:r>
      <w:r>
        <w:t xml:space="preserve">Section 8.2 for implementation details.</w:t>
      </w:r>
    </w:p>
    <w:bookmarkEnd w:id="28"/>
    <w:bookmarkStart w:id="29" w:name="validation"/>
    <w:p>
      <w:pPr>
        <w:pStyle w:val="Heading3"/>
      </w:pPr>
      <w:r>
        <w:t xml:space="preserve">4.3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262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plaintext credentials in logs</w:t>
            </w:r>
          </w:p>
        </w:tc>
        <w:tc>
          <w:tcPr/>
          <w:p>
            <w:pPr>
              <w:pStyle w:val="Compact"/>
            </w:pPr>
            <w:r>
              <w:t xml:space="preserve">Automated grep scan of log samples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financial data in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log_sanitizer</w:t>
            </w:r>
            <w:r>
              <w:t xml:space="preserve"> </w:t>
            </w:r>
            <w:r>
              <w:t xml:space="preserve">unit tests + Zero-Storage automated checks</w:t>
            </w:r>
          </w:p>
        </w:tc>
        <w:tc>
          <w:tcPr/>
          <w:p>
            <w:pPr>
              <w:pStyle w:val="Compact"/>
            </w:pPr>
            <w:r>
              <w:t xml:space="preserve">Every CI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masking functional</w:t>
            </w:r>
          </w:p>
        </w:tc>
        <w:tc>
          <w:tcPr/>
          <w:p>
            <w:pPr>
              <w:pStyle w:val="Compact"/>
            </w:pPr>
            <w:r>
              <w:t xml:space="preserve">Unit tests for</w:t>
            </w:r>
            <w:r>
              <w:t xml:space="preserve"> </w:t>
            </w:r>
            <w:r>
              <w:rPr>
                <w:rStyle w:val="VerbatimChar"/>
              </w:rPr>
              <w:t xml:space="preserve">log_sanitizer.mask_email()</w:t>
            </w:r>
          </w:p>
        </w:tc>
        <w:tc>
          <w:tcPr/>
          <w:p>
            <w:pPr>
              <w:pStyle w:val="Compact"/>
            </w:pPr>
            <w:r>
              <w:t xml:space="preserve">Every CI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fingerprinting functional</w:t>
            </w:r>
          </w:p>
        </w:tc>
        <w:tc>
          <w:tcPr/>
          <w:p>
            <w:pPr>
              <w:pStyle w:val="Compact"/>
            </w:pPr>
            <w:r>
              <w:t xml:space="preserve">Unit tests for</w:t>
            </w:r>
            <w:r>
              <w:t xml:space="preserve"> </w:t>
            </w:r>
            <w:r>
              <w:rPr>
                <w:rStyle w:val="VerbatimChar"/>
              </w:rPr>
              <w:t xml:space="preserve">log_sanitizer.fingerprint_token()</w:t>
            </w:r>
          </w:p>
        </w:tc>
        <w:tc>
          <w:tcPr/>
          <w:p>
            <w:pPr>
              <w:pStyle w:val="Compact"/>
            </w:pPr>
            <w:r>
              <w:t xml:space="preserve">Every CI 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tamper-resistance"/>
    <w:p>
      <w:pPr>
        <w:pStyle w:val="Heading2"/>
      </w:pPr>
      <w:r>
        <w:t xml:space="preserve">5. Tamper Resistance</w:t>
      </w:r>
    </w:p>
    <w:bookmarkStart w:id="31" w:name="application-level-controls"/>
    <w:p>
      <w:pPr>
        <w:pStyle w:val="Heading3"/>
      </w:pPr>
      <w:r>
        <w:t xml:space="preserve">5.1 Application-Level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21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Soft-delete immutability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SoftDeleteMixin</w:t>
            </w:r>
            <w:r>
              <w:t xml:space="preserve"> </w:t>
            </w:r>
            <w:r>
              <w:t xml:space="preserve">on 5 audit models (ActivityLog, DiagnosticSummary, ToolRun, FollowUpItem, FollowUpItemComment)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  <w:r>
              <w:t xml:space="preserve"> </w:t>
            </w:r>
            <w:r>
              <w:rPr>
                <w:rStyle w:val="VerbatimChar"/>
              </w:rPr>
              <w:t xml:space="preserve">before_flush</w:t>
            </w:r>
            <w:r>
              <w:t xml:space="preserve"> </w:t>
            </w:r>
            <w:r>
              <w:t xml:space="preserve">event raises</w:t>
            </w:r>
            <w:r>
              <w:t xml:space="preserve"> </w:t>
            </w:r>
            <w:r>
              <w:rPr>
                <w:rStyle w:val="VerbatimChar"/>
              </w:rPr>
              <w:t xml:space="preserve">AuditImmutabilityError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db.delete()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hard-delete API</w:t>
            </w:r>
          </w:p>
        </w:tc>
        <w:tc>
          <w:tcPr/>
          <w:p>
            <w:pPr>
              <w:pStyle w:val="Compact"/>
            </w:pPr>
            <w:r>
              <w:t xml:space="preserve">No API endpoint performs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on audit models</w:t>
            </w:r>
          </w:p>
        </w:tc>
        <w:tc>
          <w:tcPr/>
          <w:p>
            <w:pPr>
              <w:pStyle w:val="Compact"/>
            </w:pPr>
            <w:r>
              <w:t xml:space="preserve">Code review + integration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 billing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BillingEvent</w:t>
            </w:r>
            <w:r>
              <w:t xml:space="preserve"> </w:t>
            </w:r>
            <w:r>
              <w:t xml:space="preserve">table has no update or delete endpoints</w:t>
            </w:r>
          </w:p>
        </w:tc>
        <w:tc>
          <w:tcPr/>
          <w:p>
            <w:pPr>
              <w:pStyle w:val="Compact"/>
            </w:pPr>
            <w:r>
              <w:t xml:space="preserve">Code review + model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Archived records preserved</w:t>
            </w:r>
          </w:p>
        </w:tc>
        <w:tc>
          <w:tcPr/>
          <w:p>
            <w:pPr>
              <w:pStyle w:val="Compact"/>
            </w:pPr>
            <w:r>
              <w:t xml:space="preserve">Soft-deleted records excluded from active queries but retained in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archived_at IS NULL</w:t>
            </w:r>
            <w:r>
              <w:t xml:space="preserve"> </w:t>
            </w:r>
            <w:r>
              <w:t xml:space="preserve">filter on all read paths</w:t>
            </w:r>
          </w:p>
        </w:tc>
      </w:tr>
    </w:tbl>
    <w:bookmarkEnd w:id="31"/>
    <w:bookmarkStart w:id="33" w:name="infrastructure-level-controls"/>
    <w:p>
      <w:pPr>
        <w:pStyle w:val="Heading3"/>
      </w:pPr>
      <w:r>
        <w:t xml:space="preserve">5.2 Infrastructure-Level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access restriction</w:t>
            </w:r>
          </w:p>
        </w:tc>
        <w:tc>
          <w:tcPr/>
          <w:p>
            <w:pPr>
              <w:pStyle w:val="Compact"/>
            </w:pPr>
            <w:r>
              <w:t xml:space="preserve">No direct developer access to production database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Access Control Policy</w:t>
              </w:r>
            </w:hyperlink>
            <w:r>
              <w:t xml:space="preserve"> </w:t>
            </w:r>
            <w:r>
              <w:t xml:space="preserve">Section 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integrity</w:t>
            </w:r>
          </w:p>
        </w:tc>
        <w:tc>
          <w:tcPr/>
          <w:p>
            <w:pPr>
              <w:pStyle w:val="Compact"/>
            </w:pPr>
            <w:r>
              <w:t xml:space="preserve">Database backups include audit tables; point-in-time recovery preserves soft-deleted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aggregator immutability</w:t>
            </w:r>
          </w:p>
        </w:tc>
        <w:tc>
          <w:tcPr/>
          <w:p>
            <w:pPr>
              <w:pStyle w:val="Compact"/>
            </w:pPr>
            <w:r>
              <w:t xml:space="preserve">Centralized logging service (Datadog/Logtail) with append-only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audit trail</w:t>
            </w:r>
          </w:p>
        </w:tc>
        <w:tc>
          <w:tcPr/>
          <w:p>
            <w:pPr>
              <w:pStyle w:val="Compact"/>
            </w:pPr>
            <w:r>
              <w:t xml:space="preserve">All code changes (including logging configuration) tracked in version control</w:t>
            </w:r>
          </w:p>
        </w:tc>
      </w:tr>
    </w:tbl>
    <w:bookmarkEnd w:id="33"/>
    <w:bookmarkStart w:id="34" w:name="tamper-detection"/>
    <w:p>
      <w:pPr>
        <w:pStyle w:val="Heading3"/>
      </w:pPr>
      <w:r>
        <w:t xml:space="preserve">5.3 Tamper 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Detection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in sequential log entries</w:t>
            </w:r>
          </w:p>
        </w:tc>
        <w:tc>
          <w:tcPr/>
          <w:p>
            <w:pPr>
              <w:pStyle w:val="Compact"/>
            </w:pPr>
            <w:r>
              <w:t xml:space="preserve">Monitoring alert on missing request IDs in high-traffic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</w:t>
            </w:r>
            <w:r>
              <w:t xml:space="preserve"> </w:t>
            </w:r>
            <w:r>
              <w:rPr>
                <w:rStyle w:val="VerbatimChar"/>
              </w:rPr>
              <w:t xml:space="preserve">archived_at</w:t>
            </w:r>
            <w:r>
              <w:t xml:space="preserve"> </w:t>
            </w: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Periodic audit query comparing soft-delete timestamps against known admin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volume anomaly</w:t>
            </w:r>
          </w:p>
        </w:tc>
        <w:tc>
          <w:tcPr/>
          <w:p>
            <w:pPr>
              <w:pStyle w:val="Compact"/>
            </w:pPr>
            <w:r>
              <w:t xml:space="preserve">Prometheus counter for log events; alert on &gt;50% deviation from 7-day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database modification</w:t>
            </w:r>
          </w:p>
        </w:tc>
        <w:tc>
          <w:tcPr/>
          <w:p>
            <w:pPr>
              <w:pStyle w:val="Compact"/>
            </w:pPr>
            <w:r>
              <w:t xml:space="preserve">PostgreSQL audit extension (planned, see Section 5.4)</w:t>
            </w:r>
          </w:p>
        </w:tc>
      </w:tr>
    </w:tbl>
    <w:bookmarkEnd w:id="34"/>
    <w:bookmarkStart w:id="35" w:name="planned-improvements"/>
    <w:p>
      <w:pPr>
        <w:pStyle w:val="Heading3"/>
      </w:pPr>
      <w:r>
        <w:t xml:space="preserve">5.4 Planned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3028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pgaudit</w:t>
            </w:r>
            <w:r>
              <w:t xml:space="preserve"> </w:t>
            </w:r>
            <w:r>
              <w:t xml:space="preserve">extension for query-level audit logging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Cryptographic log chaining (hash chain for tamper evidence)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integration for centralized correlation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retention-schedule"/>
    <w:p>
      <w:pPr>
        <w:pStyle w:val="Heading2"/>
      </w:pPr>
      <w:r>
        <w:t xml:space="preserve">6. Retention Schedule</w:t>
      </w:r>
    </w:p>
    <w:bookmarkStart w:id="37" w:name="log-retention-by-class"/>
    <w:p>
      <w:pPr>
        <w:pStyle w:val="Heading3"/>
      </w:pPr>
      <w:r>
        <w:t xml:space="preserve">6.1 Log Retention by Class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2"/>
        <w:gridCol w:w="2137"/>
        <w:gridCol w:w="2262"/>
        <w:gridCol w:w="2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Class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Deletion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events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Application logs (aggregator) + database (activity_logs)</w:t>
            </w:r>
          </w:p>
        </w:tc>
        <w:tc>
          <w:tcPr/>
          <w:p>
            <w:pPr>
              <w:pStyle w:val="Compact"/>
            </w:pPr>
            <w:r>
              <w:t xml:space="preserve">Automatic archival after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events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Application logs (aggregator)</w:t>
            </w:r>
          </w:p>
        </w:tc>
        <w:tc>
          <w:tcPr/>
          <w:p>
            <w:pPr>
              <w:pStyle w:val="Compact"/>
            </w:pPr>
            <w:r>
              <w:t xml:space="preserve">Automatic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 events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Database (activity_logs, diagnostic_summaries, tool_runs)</w:t>
            </w:r>
          </w:p>
        </w:tc>
        <w:tc>
          <w:tcPr/>
          <w:p>
            <w:pPr>
              <w:pStyle w:val="Compact"/>
            </w:pPr>
            <w:r>
              <w:t xml:space="preserve">Soft-delete archival after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 events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Application logs + database (billing_events)</w:t>
            </w:r>
          </w:p>
        </w:tc>
        <w:tc>
          <w:tcPr/>
          <w:p>
            <w:pPr>
              <w:pStyle w:val="Compact"/>
            </w:pPr>
            <w:r>
              <w:t xml:space="preserve">Automatic archival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events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Application logs (aggregator)</w:t>
            </w:r>
          </w:p>
        </w:tc>
        <w:tc>
          <w:tcPr/>
          <w:p>
            <w:pPr>
              <w:pStyle w:val="Compact"/>
            </w:pPr>
            <w:r>
              <w:t xml:space="preserve">Automatic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events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Application logs (aggregator) + Prometheus metrics</w:t>
            </w:r>
          </w:p>
        </w:tc>
        <w:tc>
          <w:tcPr/>
          <w:p>
            <w:pPr>
              <w:pStyle w:val="Compact"/>
            </w:pPr>
            <w:r>
              <w:t xml:space="preserve">Automatic rotation</w:t>
            </w:r>
          </w:p>
        </w:tc>
      </w:tr>
    </w:tbl>
    <w:bookmarkEnd w:id="37"/>
    <w:bookmarkStart w:id="38" w:name="database-record-retention"/>
    <w:p>
      <w:pPr>
        <w:pStyle w:val="Heading3"/>
      </w:pPr>
      <w:r>
        <w:t xml:space="preserve">6.2 Database Record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555"/>
        <w:gridCol w:w="2404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Archival Method</w:t>
            </w:r>
          </w:p>
        </w:tc>
        <w:tc>
          <w:tcPr/>
          <w:p>
            <w:pPr>
              <w:pStyle w:val="Compact"/>
            </w:pPr>
            <w:r>
              <w:t xml:space="preserve">Legal Hold 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activity_logs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Soft-delete (</w:t>
            </w:r>
            <w:r>
              <w:rPr>
                <w:rStyle w:val="VerbatimChar"/>
              </w:rPr>
              <w:t xml:space="preserve">archived_at</w:t>
            </w:r>
            <w:r>
              <w:t xml:space="preserve"> </w:t>
            </w:r>
            <w:r>
              <w:t xml:space="preserve">set after window)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diagnostic_summaries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tool_runs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follow_up_items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billing_events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No deletion (append-only)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Hard-delete on user request</w:t>
            </w:r>
          </w:p>
        </w:tc>
        <w:tc>
          <w:tcPr/>
          <w:p>
            <w:pPr>
              <w:pStyle w:val="Compact"/>
            </w:pPr>
            <w:r>
              <w:t xml:space="preserve">✅ Yes (hold overrides deletion)</w:t>
            </w:r>
          </w:p>
        </w:tc>
      </w:tr>
    </w:tbl>
    <w:bookmarkEnd w:id="38"/>
    <w:bookmarkStart w:id="40" w:name="alignment-with-privacy-policy"/>
    <w:p>
      <w:pPr>
        <w:pStyle w:val="Heading3"/>
      </w:pPr>
      <w:r>
        <w:t xml:space="preserve">6.3 Alignment with Privacy Policy</w:t>
      </w:r>
    </w:p>
    <w:p>
      <w:pPr>
        <w:pStyle w:val="FirstParagraph"/>
      </w:pPr>
      <w:r>
        <w:t xml:space="preserve">Retention periods in this policy are aligned with</w:t>
      </w:r>
      <w:r>
        <w:t xml:space="preserve"> </w:t>
      </w:r>
      <w:hyperlink r:id="rId39">
        <w:r>
          <w:rPr>
            <w:rStyle w:val="Hyperlink"/>
          </w:rPr>
          <w:t xml:space="preserve">PRIVACY_POLICY.md</w:t>
        </w:r>
      </w:hyperlink>
      <w:r>
        <w:t xml:space="preserve"> </w:t>
      </w:r>
      <w:r>
        <w:t xml:space="preserve">Section 4 (Data Retention Governance). The canonical retention schedule is maintained in the Privacy Policy; this document specifies the logging-specific implementation details.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6"/>
        <w:gridCol w:w="2238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Cross-Reference</w:t>
            </w:r>
          </w:p>
        </w:tc>
        <w:tc>
          <w:tcPr/>
          <w:p>
            <w:pPr>
              <w:pStyle w:val="Compact"/>
            </w:pPr>
            <w:r>
              <w:t xml:space="preserve">This Policy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t xml:space="preserve">365 days (Section 6.1)</w:t>
            </w:r>
          </w:p>
        </w:tc>
        <w:tc>
          <w:tcPr/>
          <w:p>
            <w:pPr>
              <w:pStyle w:val="Compact"/>
            </w:pPr>
            <w:r>
              <w:t xml:space="preserve">365 days (Section 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summaries</w:t>
            </w:r>
          </w:p>
        </w:tc>
        <w:tc>
          <w:tcPr/>
          <w:p>
            <w:pPr>
              <w:pStyle w:val="Compact"/>
            </w:pPr>
            <w:r>
              <w:t xml:space="preserve">365 days (Section 6.1)</w:t>
            </w:r>
          </w:p>
        </w:tc>
        <w:tc>
          <w:tcPr/>
          <w:p>
            <w:pPr>
              <w:pStyle w:val="Compact"/>
            </w:pPr>
            <w:r>
              <w:t xml:space="preserve">365 days (Section 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data</w:t>
            </w:r>
          </w:p>
        </w:tc>
        <w:tc>
          <w:tcPr/>
          <w:p>
            <w:pPr>
              <w:pStyle w:val="Compact"/>
            </w:pPr>
            <w:r>
              <w:t xml:space="preserve">0 seconds (not logged)</w:t>
            </w:r>
          </w:p>
        </w:tc>
        <w:tc>
          <w:tcPr/>
          <w:p>
            <w:pPr>
              <w:pStyle w:val="Compact"/>
            </w:pPr>
            <w:r>
              <w:t xml:space="preserve">0 seconds (Section 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sessions</w:t>
            </w:r>
          </w:p>
        </w:tc>
        <w:tc>
          <w:tcPr/>
          <w:p>
            <w:pPr>
              <w:pStyle w:val="Compact"/>
            </w:pPr>
            <w:r>
              <w:t xml:space="preserve">1–2 hours (automatic expiry)</w:t>
            </w:r>
          </w:p>
        </w:tc>
        <w:tc>
          <w:tcPr/>
          <w:p>
            <w:pPr>
              <w:pStyle w:val="Compact"/>
            </w:pPr>
            <w:r>
              <w:t xml:space="preserve">1–2 hours (Section 4.1)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legal-hold-process"/>
    <w:p>
      <w:pPr>
        <w:pStyle w:val="Heading2"/>
      </w:pPr>
      <w:r>
        <w:t xml:space="preserve">7. Legal Hold Process</w:t>
      </w:r>
    </w:p>
    <w:bookmarkStart w:id="42" w:name="legal-hold-definition"/>
    <w:p>
      <w:pPr>
        <w:pStyle w:val="Heading3"/>
      </w:pPr>
      <w:r>
        <w:t xml:space="preserve">7.1 Legal Hold Definition</w:t>
      </w:r>
    </w:p>
    <w:p>
      <w:pPr>
        <w:pStyle w:val="FirstParagraph"/>
      </w:pPr>
      <w:r>
        <w:t xml:space="preserve">A legal hold suspends normal retention and deletion schedules for specified data when:</w:t>
      </w:r>
      <w:r>
        <w:t xml:space="preserve"> </w:t>
      </w:r>
      <w:r>
        <w:t xml:space="preserve">- Litigation is anticipated, pending, or active</w:t>
      </w:r>
      <w:r>
        <w:t xml:space="preserve"> </w:t>
      </w:r>
      <w:r>
        <w:t xml:space="preserve">- A regulatory investigation is initiated</w:t>
      </w:r>
      <w:r>
        <w:t xml:space="preserve"> </w:t>
      </w:r>
      <w:r>
        <w:t xml:space="preserve">- A law enforcement request requires data preservation</w:t>
      </w:r>
      <w:r>
        <w:t xml:space="preserve"> </w:t>
      </w:r>
      <w:r>
        <w:t xml:space="preserve">- An internal investigation requires evidence preservation</w:t>
      </w:r>
    </w:p>
    <w:bookmarkEnd w:id="42"/>
    <w:bookmarkStart w:id="43" w:name="legal-hold-procedure"/>
    <w:p>
      <w:pPr>
        <w:pStyle w:val="Heading3"/>
      </w:pPr>
      <w:r>
        <w:t xml:space="preserve">7.2 Legal Hold Procedure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Legal counsel issues hold notice specifying scope (users, date range, data types)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Hold custodian acknowledges receipt and confirms scope understanding</w:t>
            </w:r>
          </w:p>
        </w:tc>
        <w:tc>
          <w:tcPr/>
          <w:p>
            <w:pPr>
              <w:pStyle w:val="Compact"/>
            </w:pPr>
            <w:r>
              <w:t xml:space="preserve">CISO (Hold Custodian)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Custodian identifies affected data stores (database tables, log aggregator, backups)</w:t>
            </w:r>
          </w:p>
        </w:tc>
        <w:tc>
          <w:tcPr/>
          <w:p>
            <w:pPr>
              <w:pStyle w:val="Compact"/>
            </w:pPr>
            <w:r>
              <w:t xml:space="preserve">CISO + DevOps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Custodian disables automatic archival/deletion for in-scope records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Custodian notifies affected data owners (e.g., user deletion requests paused)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Hold remains active until legal counsel issues release notice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Duration of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On release: custodian re-enables normal retention; records outside normal window are archived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bookmarkEnd w:id="43"/>
    <w:bookmarkStart w:id="44" w:name="hold-custodian-responsibilities"/>
    <w:p>
      <w:pPr>
        <w:pStyle w:val="Heading3"/>
      </w:pPr>
      <w:r>
        <w:t xml:space="preserve">7.3 Hold Custodian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Preservation</w:t>
            </w:r>
          </w:p>
        </w:tc>
        <w:tc>
          <w:tcPr/>
          <w:p>
            <w:pPr>
              <w:pStyle w:val="Compact"/>
            </w:pPr>
            <w:r>
              <w:t xml:space="preserve">Ensure no in-scope data is deleted, archived, or modified during 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Maintain hold log with: hold ID, date issued, scope, data stores affected, date 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Notify engineering team of any automated processes that must be paused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reconciliation</w:t>
            </w:r>
          </w:p>
        </w:tc>
        <w:tc>
          <w:tcPr/>
          <w:p>
            <w:pPr>
              <w:pStyle w:val="Compact"/>
            </w:pPr>
            <w:r>
              <w:t xml:space="preserve">If a GDPR Article 17 deletion request conflicts with a hold, coordinate with legal to apply the legal obligation exception (GDPR Article 17(3))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Periodic review</w:t>
            </w:r>
          </w:p>
        </w:tc>
        <w:tc>
          <w:tcPr/>
          <w:p>
            <w:pPr>
              <w:pStyle w:val="Compact"/>
            </w:pPr>
            <w:r>
              <w:t xml:space="preserve">Quarterly review of active holds with legal to confirm continued necessity</w:t>
            </w:r>
          </w:p>
        </w:tc>
      </w:tr>
    </w:tbl>
    <w:bookmarkEnd w:id="44"/>
    <w:bookmarkStart w:id="45" w:name="hold-vs.-gdpr-deletion-requests"/>
    <w:p>
      <w:pPr>
        <w:pStyle w:val="Heading3"/>
      </w:pPr>
      <w:r>
        <w:t xml:space="preserve">7.4 Hold vs. GDPR Deletion 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request + no active hold</w:t>
            </w:r>
          </w:p>
        </w:tc>
        <w:tc>
          <w:tcPr/>
          <w:p>
            <w:pPr>
              <w:pStyle w:val="Compact"/>
            </w:pPr>
            <w:r>
              <w:t xml:space="preserve">Honor deletion request per Privacy Policy Section 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request + active hold on user’s data</w:t>
            </w:r>
          </w:p>
        </w:tc>
        <w:tc>
          <w:tcPr/>
          <w:p>
            <w:pPr>
              <w:pStyle w:val="Compact"/>
            </w:pPr>
            <w:r>
              <w:t xml:space="preserve">Inform user of legal exception (GDPR Art. 17(3)(e)); delete after hold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issued after deletion request received</w:t>
            </w:r>
          </w:p>
        </w:tc>
        <w:tc>
          <w:tcPr/>
          <w:p>
            <w:pPr>
              <w:pStyle w:val="Compact"/>
            </w:pPr>
            <w:r>
              <w:t xml:space="preserve">If data not yet deleted: place on hold. If already deleted: inform legal that data is unavailable</w:t>
            </w:r>
          </w:p>
        </w:tc>
      </w:tr>
    </w:tbl>
    <w:bookmarkEnd w:id="45"/>
    <w:bookmarkStart w:id="46" w:name="hold-register"/>
    <w:p>
      <w:pPr>
        <w:pStyle w:val="Heading3"/>
      </w:pPr>
      <w:r>
        <w:t xml:space="preserve">7.5 Hold Register</w:t>
      </w:r>
    </w:p>
    <w:p>
      <w:pPr>
        <w:pStyle w:val="FirstParagraph"/>
      </w:pPr>
      <w:r>
        <w:t xml:space="preserve">All legal holds are tracked in a hold register maintained by the CISO: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ID</w:t>
            </w:r>
          </w:p>
        </w:tc>
        <w:tc>
          <w:tcPr/>
          <w:p>
            <w:pPr>
              <w:pStyle w:val="Compact"/>
            </w:pPr>
            <w:r>
              <w:t xml:space="preserve">Sequential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LH-2026-001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issued</w:t>
            </w:r>
          </w:p>
        </w:tc>
        <w:tc>
          <w:tcPr/>
          <w:p>
            <w:pPr>
              <w:pStyle w:val="Compact"/>
            </w:pPr>
            <w:r>
              <w:t xml:space="preserve">Date hold notice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authority</w:t>
            </w:r>
          </w:p>
        </w:tc>
        <w:tc>
          <w:tcPr/>
          <w:p>
            <w:pPr>
              <w:pStyle w:val="Compact"/>
            </w:pPr>
            <w:r>
              <w:t xml:space="preserve">Legal counsel name/firm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description</w:t>
            </w:r>
          </w:p>
        </w:tc>
        <w:tc>
          <w:tcPr/>
          <w:p>
            <w:pPr>
              <w:pStyle w:val="Compact"/>
            </w:pPr>
            <w:r>
              <w:t xml:space="preserve">Users, date range, data types,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stores affected</w:t>
            </w:r>
          </w:p>
        </w:tc>
        <w:tc>
          <w:tcPr/>
          <w:p>
            <w:pPr>
              <w:pStyle w:val="Compact"/>
            </w:pPr>
            <w:r>
              <w:t xml:space="preserve">Specific tables, log ranges, backup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released</w:t>
            </w:r>
          </w:p>
        </w:tc>
        <w:tc>
          <w:tcPr/>
          <w:p>
            <w:pPr>
              <w:pStyle w:val="Compact"/>
            </w:pPr>
            <w:r>
              <w:t xml:space="preserve">Date hold was lifted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Custodian actions</w:t>
            </w:r>
          </w:p>
        </w:tc>
        <w:tc>
          <w:tcPr/>
          <w:p>
            <w:pPr>
              <w:pStyle w:val="Compact"/>
            </w:pPr>
            <w:r>
              <w:t xml:space="preserve">Log of preservation steps taken</w:t>
            </w:r>
          </w:p>
        </w:tc>
      </w:tr>
    </w:tbl>
    <w:p>
      <w:pPr>
        <w:pStyle w:val="BodyText"/>
      </w:pPr>
      <w:r>
        <w:t xml:space="preserve">Register stored in</w:t>
      </w:r>
      <w:r>
        <w:t xml:space="preserve"> </w:t>
      </w:r>
      <w:r>
        <w:rPr>
          <w:rStyle w:val="VerbatimChar"/>
        </w:rPr>
        <w:t xml:space="preserve">docs/08-internal/legal-holds/</w:t>
      </w:r>
      <w:r>
        <w:t xml:space="preserve"> </w:t>
      </w:r>
      <w:r>
        <w:t xml:space="preserve">(access restricted to CISO and legal).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log-access-and-review"/>
    <w:p>
      <w:pPr>
        <w:pStyle w:val="Heading2"/>
      </w:pPr>
      <w:r>
        <w:t xml:space="preserve">8. Log Access and Review</w:t>
      </w:r>
    </w:p>
    <w:bookmarkStart w:id="48" w:name="access-permissions"/>
    <w:p>
      <w:pPr>
        <w:pStyle w:val="Heading3"/>
      </w:pPr>
      <w:r>
        <w:t xml:space="preserve">8.1 Access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Full read access to all log classes</w:t>
            </w:r>
          </w:p>
        </w:tc>
        <w:tc>
          <w:tcPr/>
          <w:p>
            <w:pPr>
              <w:pStyle w:val="Compact"/>
            </w:pPr>
            <w:r>
              <w:t xml:space="preserve">Security investigations, compliance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DevOps/SRE</w:t>
            </w:r>
          </w:p>
        </w:tc>
        <w:tc>
          <w:tcPr/>
          <w:p>
            <w:pPr>
              <w:pStyle w:val="Compact"/>
            </w:pPr>
            <w:r>
              <w:t xml:space="preserve">Full read access to operational and security logs</w:t>
            </w:r>
          </w:p>
        </w:tc>
        <w:tc>
          <w:tcPr/>
          <w:p>
            <w:pPr>
              <w:pStyle w:val="Compact"/>
            </w:pPr>
            <w:r>
              <w:t xml:space="preserve">Incident response,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Engineer</w:t>
            </w:r>
          </w:p>
        </w:tc>
        <w:tc>
          <w:tcPr/>
          <w:p>
            <w:pPr>
              <w:pStyle w:val="Compact"/>
            </w:pPr>
            <w:r>
              <w:t xml:space="preserve">Read access to application logs during on-call incidents</w:t>
            </w:r>
          </w:p>
        </w:tc>
        <w:tc>
          <w:tcPr/>
          <w:p>
            <w:pPr>
              <w:pStyle w:val="Compact"/>
            </w:pPr>
            <w:r>
              <w:t xml:space="preserve">Incident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Read access to staging/development logs only</w:t>
            </w:r>
          </w:p>
        </w:tc>
        <w:tc>
          <w:tcPr/>
          <w:p>
            <w:pPr>
              <w:pStyle w:val="Compact"/>
            </w:pPr>
            <w:r>
              <w:t xml:space="preserve">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No direct log access (request via engineering)</w:t>
            </w:r>
          </w:p>
        </w:tc>
        <w:tc>
          <w:tcPr/>
          <w:p>
            <w:pPr>
              <w:pStyle w:val="Compact"/>
            </w:pPr>
            <w:r>
              <w:t xml:space="preserve">Customer issue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 (external)</w:t>
            </w:r>
          </w:p>
        </w:tc>
        <w:tc>
          <w:tcPr/>
          <w:p>
            <w:pPr>
              <w:pStyle w:val="Compact"/>
            </w:pPr>
            <w:r>
              <w:t xml:space="preserve">Sanitized log extracts provided on request</w:t>
            </w:r>
          </w:p>
        </w:tc>
        <w:tc>
          <w:tcPr/>
          <w:p>
            <w:pPr>
              <w:pStyle w:val="Compact"/>
            </w:pPr>
            <w:r>
              <w:t xml:space="preserve">Compliance audit</w:t>
            </w:r>
          </w:p>
        </w:tc>
      </w:tr>
    </w:tbl>
    <w:bookmarkEnd w:id="48"/>
    <w:bookmarkStart w:id="49" w:name="log-review-schedule"/>
    <w:p>
      <w:pPr>
        <w:pStyle w:val="Heading3"/>
      </w:pPr>
      <w:r>
        <w:t xml:space="preserve">8.2 Log Review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2292"/>
        <w:gridCol w:w="1458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event review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Authentication failures, CSRF rejections, rate limit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anomaly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Unusual data access patterns, privilege escalation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compliance check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Verify retention windows enforced, no orphaned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Redaction validation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Spot-check production logs for PII leakage</w:t>
            </w:r>
          </w:p>
        </w:tc>
      </w:tr>
    </w:tbl>
    <w:bookmarkEnd w:id="49"/>
    <w:bookmarkStart w:id="50" w:name="external-audit-support"/>
    <w:p>
      <w:pPr>
        <w:pStyle w:val="Heading3"/>
      </w:pPr>
      <w:r>
        <w:t xml:space="preserve">8.3 External Audit Support</w:t>
      </w:r>
    </w:p>
    <w:p>
      <w:pPr>
        <w:pStyle w:val="FirstParagraph"/>
      </w:pPr>
      <w:r>
        <w:t xml:space="preserve">When external auditors require log evidence: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Auditor submits evidence request specifying scope and date range</w:t>
            </w:r>
          </w:p>
        </w:tc>
        <w:tc>
          <w:tcPr/>
          <w:p>
            <w:pPr>
              <w:pStyle w:val="Compact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CISO reviews request for appropriateness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DevOps extracts requested logs, applies additional redaction if needed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CISO reviews extracted data before handoff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Sanitized log extract provided to auditor (no raw database access)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monitoring-and-alerting"/>
    <w:p>
      <w:pPr>
        <w:pStyle w:val="Heading2"/>
      </w:pPr>
      <w:r>
        <w:t xml:space="preserve">9. Monitoring and Alerting</w:t>
      </w:r>
    </w:p>
    <w:bookmarkStart w:id="52" w:name="log-based-alerts"/>
    <w:p>
      <w:pPr>
        <w:pStyle w:val="Heading3"/>
      </w:pPr>
      <w:r>
        <w:t xml:space="preserve">9.1 Log-Based 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354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Brute force detection</w:t>
            </w:r>
          </w:p>
        </w:tc>
        <w:tc>
          <w:tcPr/>
          <w:p>
            <w:pPr>
              <w:pStyle w:val="Compact"/>
            </w:pPr>
            <w:r>
              <w:t xml:space="preserve">&gt;100 login failures per minute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PagerDuty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reuse detected</w:t>
            </w:r>
          </w:p>
        </w:tc>
        <w:tc>
          <w:tcPr/>
          <w:p>
            <w:pPr>
              <w:pStyle w:val="Compact"/>
            </w:pPr>
            <w:r>
              <w:t xml:space="preserve">Revoked refresh token presented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PagerDuty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 violation marker</w:t>
            </w:r>
          </w:p>
        </w:tc>
        <w:tc>
          <w:tcPr/>
          <w:p>
            <w:pPr>
              <w:pStyle w:val="Compact"/>
            </w:pPr>
            <w:r>
              <w:t xml:space="preserve">Financial data detected in log content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PagerDuty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 failure spike</w:t>
            </w:r>
          </w:p>
        </w:tc>
        <w:tc>
          <w:tcPr/>
          <w:p>
            <w:pPr>
              <w:pStyle w:val="Compact"/>
            </w:pPr>
            <w:r>
              <w:t xml:space="preserve">&gt;10 CSRF failures per minute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 exhaustion</w:t>
            </w:r>
          </w:p>
        </w:tc>
        <w:tc>
          <w:tcPr/>
          <w:p>
            <w:pPr>
              <w:pStyle w:val="Compact"/>
            </w:pPr>
            <w:r>
              <w:t xml:space="preserve">&gt;50 rate limit responses per minute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volume anomaly</w:t>
            </w:r>
          </w:p>
        </w:tc>
        <w:tc>
          <w:tcPr/>
          <w:p>
            <w:pPr>
              <w:pStyle w:val="Compact"/>
            </w:pPr>
            <w:r>
              <w:t xml:space="preserve">&gt;50% deviation from 7-day average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model hard-delete attempt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AuditImmutabilityError</w:t>
            </w:r>
            <w:r>
              <w:t xml:space="preserve"> </w:t>
            </w:r>
            <w:r>
              <w:t xml:space="preserve">raised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</w:tbl>
    <w:bookmarkEnd w:id="52"/>
    <w:bookmarkStart w:id="53" w:name="prometheus-metrics"/>
    <w:p>
      <w:pPr>
        <w:pStyle w:val="Heading3"/>
      </w:pPr>
      <w:r>
        <w:t xml:space="preserve">9.2 Prometheus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paciolus_auth_events_total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(login_success, login_failure, lockout, token_refresh)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paciolus_security_events_total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(csrf_failure, cors_rejection, rate_limited)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paciolus_parse_events_total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(success, failure)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paciolus_billing_events_total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24">
        <w:r>
          <w:rPr>
            <w:rStyle w:val="Hyperlink"/>
          </w:rPr>
          <w:t xml:space="preserve">SECURITY_POLICY.md</w:t>
        </w:r>
      </w:hyperlink>
      <w:r>
        <w:t xml:space="preserve"> </w:t>
      </w:r>
      <w:r>
        <w:t xml:space="preserve">Section 8.4 for Prometheus and Sentry configuration.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tact"/>
    <w:p>
      <w:pPr>
        <w:pStyle w:val="Heading2"/>
      </w:pPr>
      <w:r>
        <w:t xml:space="preserve">10. 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 (Hold Custodian)</w:t>
            </w:r>
          </w:p>
        </w:tc>
        <w:tc>
          <w:tcPr/>
          <w:p>
            <w:pPr>
              <w:pStyle w:val="Compact"/>
            </w:pPr>
            <w:r>
              <w:t xml:space="preserve">security@paciolus.com</w:t>
            </w:r>
          </w:p>
        </w:tc>
        <w:tc>
          <w:tcPr/>
          <w:p>
            <w:pPr>
              <w:pStyle w:val="Compact"/>
            </w:pPr>
            <w:r>
              <w:t xml:space="preserve">Log access requests, legal hold coordination, security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devops@paciolus.com</w:t>
            </w:r>
          </w:p>
        </w:tc>
        <w:tc>
          <w:tcPr/>
          <w:p>
            <w:pPr>
              <w:pStyle w:val="Compact"/>
            </w:pPr>
            <w:r>
              <w:t xml:space="preserve">Log infrastructure, retention enforcement, extraction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legal@paciolus.com</w:t>
            </w:r>
          </w:p>
        </w:tc>
        <w:tc>
          <w:tcPr/>
          <w:p>
            <w:pPr>
              <w:pStyle w:val="Compact"/>
            </w:pPr>
            <w:r>
              <w:t xml:space="preserve">Legal hold notices, regulatory inquiries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compliance@paciolus.com</w:t>
            </w:r>
          </w:p>
        </w:tc>
        <w:tc>
          <w:tcPr/>
          <w:p>
            <w:pPr>
              <w:pStyle w:val="Compact"/>
            </w:pPr>
            <w:r>
              <w:t xml:space="preserve">Audit support, compliance reviews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Security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8 (logging infrastructure, redaction, alerting, Prometheus)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Privacy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4 (canonical retention schedule)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Zero-Storage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classification (what is/isn’t logged)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Incident Response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Evidence collection during incidents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Access Control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 access permissions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Initial publication: 6 event classes, minimum required events, structured JSON format, PII redaction rules, soft-delete tamper resistance, retention schedule, legal hold procedure with custodian role, log access permissions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/ACCESS_CONTROL_POLICY.md" TargetMode="External" /><Relationship Type="http://schemas.openxmlformats.org/officeDocument/2006/relationships/hyperlink" Id="rId57" Target="./INCIDENT_RESPONSE_PLAN.md" TargetMode="External" /><Relationship Type="http://schemas.openxmlformats.org/officeDocument/2006/relationships/hyperlink" Id="rId39" Target="./PRIVACY_POLICY.md" TargetMode="External" /><Relationship Type="http://schemas.openxmlformats.org/officeDocument/2006/relationships/hyperlink" Id="rId24" Target="./SECURITY_POLICY.md" TargetMode="External" /><Relationship Type="http://schemas.openxmlformats.org/officeDocument/2006/relationships/hyperlink" Id="rId56" Target="./ZERO_STORAGE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/ACCESS_CONTROL_POLICY.md" TargetMode="External" /><Relationship Type="http://schemas.openxmlformats.org/officeDocument/2006/relationships/hyperlink" Id="rId57" Target="./INCIDENT_RESPONSE_PLAN.md" TargetMode="External" /><Relationship Type="http://schemas.openxmlformats.org/officeDocument/2006/relationships/hyperlink" Id="rId39" Target="./PRIVACY_POLICY.md" TargetMode="External" /><Relationship Type="http://schemas.openxmlformats.org/officeDocument/2006/relationships/hyperlink" Id="rId24" Target="./SECURITY_POLICY.md" TargetMode="External" /><Relationship Type="http://schemas.openxmlformats.org/officeDocument/2006/relationships/hyperlink" Id="rId56" Target="./ZERO_STORAGE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2026-02-26T19:16:48Z</dcterms:created>
  <dcterms:modified xsi:type="dcterms:W3CDTF">2026-02-26T19:16:48Z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