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vulnerability-disclosure-policy"/>
    <w:p>
      <w:pPr>
        <w:pStyle w:val="Heading1"/>
      </w:pPr>
      <w:r>
        <w:t xml:space="preserve">Vulnerability Disclosure Policy</w:t>
      </w:r>
    </w:p>
    <w:p>
      <w:pPr>
        <w:pStyle w:val="FirstParagraph"/>
      </w:pPr>
      <w:r>
        <w:rPr>
          <w:b/>
          <w:bCs/>
        </w:rPr>
        <w:t xml:space="preserve">Version:</w:t>
      </w:r>
      <w:r>
        <w:t xml:space="preserve"> </w:t>
      </w:r>
      <w:r>
        <w:t xml:space="preserve">1.0</w:t>
      </w:r>
      <w:r>
        <w:t xml:space="preserve"> </w:t>
      </w:r>
      <w:r>
        <w:rPr>
          <w:b/>
          <w:bCs/>
        </w:rPr>
        <w:t xml:space="preserve">Document Classification:</w:t>
      </w:r>
      <w:r>
        <w:t xml:space="preserve"> </w:t>
      </w:r>
      <w:r>
        <w:t xml:space="preserve">Public</w:t>
      </w:r>
      <w:r>
        <w:t xml:space="preserve"> </w:t>
      </w:r>
      <w:r>
        <w:rPr>
          <w:b/>
          <w:bCs/>
        </w:rPr>
        <w:t xml:space="preserve">Effective Date:</w:t>
      </w:r>
      <w:r>
        <w:t xml:space="preserve"> </w:t>
      </w:r>
      <w:r>
        <w:t xml:space="preserve">February 26, 2026</w:t>
      </w:r>
      <w:r>
        <w:t xml:space="preserve"> </w:t>
      </w:r>
      <w:r>
        <w:rPr>
          <w:b/>
          <w:bCs/>
        </w:rPr>
        <w:t xml:space="preserve">Last Updated:</w:t>
      </w:r>
      <w:r>
        <w:t xml:space="preserve"> </w:t>
      </w:r>
      <w:r>
        <w:t xml:space="preserve">February 26, 2026</w:t>
      </w:r>
      <w:r>
        <w:t xml:space="preserve"> </w:t>
      </w:r>
      <w:r>
        <w:rPr>
          <w:b/>
          <w:bCs/>
        </w:rPr>
        <w:t xml:space="preserve">Owner:</w:t>
      </w:r>
      <w:r>
        <w:t xml:space="preserve"> </w:t>
      </w:r>
      <w:r>
        <w:t xml:space="preserve">Chief Information Security Officer</w:t>
      </w:r>
      <w:r>
        <w:t xml:space="preserve"> </w:t>
      </w:r>
      <w:r>
        <w:rPr>
          <w:b/>
          <w:bCs/>
        </w:rPr>
        <w:t xml:space="preserve">Review Cycle:</w:t>
      </w:r>
      <w:r>
        <w:t xml:space="preserve"> </w:t>
      </w:r>
      <w:r>
        <w:t xml:space="preserve">Semi-annual</w:t>
      </w:r>
      <w:r>
        <w:t xml:space="preserve"> </w:t>
      </w:r>
      <w:r>
        <w:rPr>
          <w:b/>
          <w:bCs/>
        </w:rPr>
        <w:t xml:space="preserve">Next Review:</w:t>
      </w:r>
      <w:r>
        <w:t xml:space="preserve"> </w:t>
      </w:r>
      <w:r>
        <w:t xml:space="preserve">August 26, 2026</w:t>
      </w:r>
    </w:p>
    <w:p>
      <w:r>
        <w:pict>
          <v:rect style="width:0;height:1.5pt" o:hralign="center" o:hrstd="t" o:hr="t"/>
        </w:pict>
      </w:r>
    </w:p>
    <w:bookmarkStart w:id="9" w:name="executive-summary"/>
    <w:p>
      <w:pPr>
        <w:pStyle w:val="Heading2"/>
      </w:pPr>
      <w:r>
        <w:t xml:space="preserve">Executive Summary</w:t>
      </w:r>
    </w:p>
    <w:p>
      <w:pPr>
        <w:pStyle w:val="FirstParagraph"/>
      </w:pPr>
      <w:r>
        <w:t xml:space="preserve">Paciolus welcomes responsible security research and vulnerability disclosure. This policy describes how to report security vulnerabilities, what to expect from us, and the protections we offer to researchers acting in good faith.</w:t>
      </w:r>
    </w:p>
    <w:p>
      <w:pPr>
        <w:pStyle w:val="BodyText"/>
      </w:pPr>
      <w:r>
        <w:rPr>
          <w:b/>
          <w:bCs/>
        </w:rPr>
        <w:t xml:space="preserve">Key Commitments:</w:t>
      </w:r>
      <w:r>
        <w:t xml:space="preserve"> </w:t>
      </w:r>
      <w:r>
        <w:t xml:space="preserve">- ✅ Acknowledgment within 2 business days</w:t>
      </w:r>
      <w:r>
        <w:t xml:space="preserve"> </w:t>
      </w:r>
      <w:r>
        <w:t xml:space="preserve">- ✅ Initial assessment within 5 business days</w:t>
      </w:r>
      <w:r>
        <w:t xml:space="preserve"> </w:t>
      </w:r>
      <w:r>
        <w:t xml:space="preserve">- ✅ Safe harbor for good-faith security research</w:t>
      </w:r>
      <w:r>
        <w:t xml:space="preserve"> </w:t>
      </w:r>
      <w:r>
        <w:t xml:space="preserve">- ✅ Transparent communication throughout remediation</w:t>
      </w:r>
      <w:r>
        <w:t xml:space="preserve"> </w:t>
      </w:r>
      <w:r>
        <w:t xml:space="preserve">- ✅ Credit to reporters (with consent) in security advisories</w:t>
      </w:r>
    </w:p>
    <w:p>
      <w:pPr>
        <w:pStyle w:val="BodyText"/>
      </w:pPr>
      <w:r>
        <w:rPr>
          <w:b/>
          <w:bCs/>
        </w:rPr>
        <w:t xml:space="preserve">Target Audience:</w:t>
      </w:r>
      <w:r>
        <w:t xml:space="preserve"> </w:t>
      </w:r>
      <w:r>
        <w:t xml:space="preserve">Security researchers, customers, the general public</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4dfe8f0b252f4039975e19fb03b37d6f7b59ff">
        <w:r>
          <w:rPr>
            <w:rStyle w:val="Hyperlink"/>
          </w:rPr>
          <w:t xml:space="preserve">Scope</w:t>
        </w:r>
      </w:hyperlink>
    </w:p>
    <w:p>
      <w:pPr>
        <w:pStyle w:val="Compact"/>
        <w:numPr>
          <w:ilvl w:val="0"/>
          <w:numId w:val="1001"/>
        </w:numPr>
      </w:pPr>
      <w:hyperlink w:anchor="X494252b621e8467bf27a4eaa364335c8ab7d1de">
        <w:r>
          <w:rPr>
            <w:rStyle w:val="Hyperlink"/>
          </w:rPr>
          <w:t xml:space="preserve">How to Report</w:t>
        </w:r>
      </w:hyperlink>
    </w:p>
    <w:p>
      <w:pPr>
        <w:pStyle w:val="Compact"/>
        <w:numPr>
          <w:ilvl w:val="0"/>
          <w:numId w:val="1001"/>
        </w:numPr>
      </w:pPr>
      <w:hyperlink w:anchor="Xb16591a39f20256ba467d71c3dc4856c76a01e2">
        <w:r>
          <w:rPr>
            <w:rStyle w:val="Hyperlink"/>
          </w:rPr>
          <w:t xml:space="preserve">What to Include</w:t>
        </w:r>
      </w:hyperlink>
    </w:p>
    <w:p>
      <w:pPr>
        <w:pStyle w:val="Compact"/>
        <w:numPr>
          <w:ilvl w:val="0"/>
          <w:numId w:val="1001"/>
        </w:numPr>
      </w:pPr>
      <w:hyperlink w:anchor="X8d921a1dd56a352dc663fae66fb719fa0cf91b0">
        <w:r>
          <w:rPr>
            <w:rStyle w:val="Hyperlink"/>
          </w:rPr>
          <w:t xml:space="preserve">Safe Harbor</w:t>
        </w:r>
      </w:hyperlink>
    </w:p>
    <w:p>
      <w:pPr>
        <w:pStyle w:val="Compact"/>
        <w:numPr>
          <w:ilvl w:val="0"/>
          <w:numId w:val="1001"/>
        </w:numPr>
      </w:pPr>
      <w:hyperlink w:anchor="X0c14b7eff5675c9a96dad28f7408f53f522f905">
        <w:r>
          <w:rPr>
            <w:rStyle w:val="Hyperlink"/>
          </w:rPr>
          <w:t xml:space="preserve">Response Timeline</w:t>
        </w:r>
      </w:hyperlink>
    </w:p>
    <w:p>
      <w:pPr>
        <w:pStyle w:val="Compact"/>
        <w:numPr>
          <w:ilvl w:val="0"/>
          <w:numId w:val="1001"/>
        </w:numPr>
      </w:pPr>
      <w:hyperlink w:anchor="Xa7612e0ed21f730b1599ad07d2efe217dd2f04d">
        <w:r>
          <w:rPr>
            <w:rStyle w:val="Hyperlink"/>
          </w:rPr>
          <w:t xml:space="preserve">Severity Classification</w:t>
        </w:r>
      </w:hyperlink>
    </w:p>
    <w:p>
      <w:pPr>
        <w:pStyle w:val="Compact"/>
        <w:numPr>
          <w:ilvl w:val="0"/>
          <w:numId w:val="1001"/>
        </w:numPr>
      </w:pPr>
      <w:hyperlink w:anchor="X4c86bc049e562ad3f647b641faafb24db540832">
        <w:r>
          <w:rPr>
            <w:rStyle w:val="Hyperlink"/>
          </w:rPr>
          <w:t xml:space="preserve">Disclosure Coordination</w:t>
        </w:r>
      </w:hyperlink>
    </w:p>
    <w:p>
      <w:pPr>
        <w:pStyle w:val="Compact"/>
        <w:numPr>
          <w:ilvl w:val="0"/>
          <w:numId w:val="1001"/>
        </w:numPr>
      </w:pPr>
      <w:hyperlink w:anchor="X6e562f4571c9e55138cf4106ffd76f5a0f6c57e">
        <w:r>
          <w:rPr>
            <w:rStyle w:val="Hyperlink"/>
          </w:rPr>
          <w:t xml:space="preserve">Exclusions</w:t>
        </w:r>
      </w:hyperlink>
    </w:p>
    <w:p>
      <w:pPr>
        <w:pStyle w:val="Compact"/>
        <w:numPr>
          <w:ilvl w:val="0"/>
          <w:numId w:val="1001"/>
        </w:numPr>
      </w:pPr>
      <w:hyperlink w:anchor="X5613a6778f69c4aeae3f749e86f3708b21f93e2">
        <w:r>
          <w:rPr>
            <w:rStyle w:val="Hyperlink"/>
          </w:rPr>
          <w:t xml:space="preserve">Recognition</w:t>
        </w:r>
      </w:hyperlink>
    </w:p>
    <w:p>
      <w:pPr>
        <w:pStyle w:val="Compact"/>
        <w:numPr>
          <w:ilvl w:val="0"/>
          <w:numId w:val="1001"/>
        </w:numPr>
      </w:pPr>
      <w:hyperlink w:anchor="X5dd80f53d02925f270703a35b97d600acb1d2bf">
        <w:r>
          <w:rPr>
            <w:rStyle w:val="Hyperlink"/>
          </w:rPr>
          <w:t xml:space="preserve">Contact</w:t>
        </w:r>
      </w:hyperlink>
    </w:p>
    <w:p>
      <w:r>
        <w:pict>
          <v:rect style="width:0;height:1.5pt" o:hralign="center" o:hrstd="t" o:hr="t"/>
        </w:pict>
      </w:r>
    </w:p>
    <w:bookmarkEnd w:id="10"/>
    <w:bookmarkStart w:id="13" w:name="scope"/>
    <w:p>
      <w:pPr>
        <w:pStyle w:val="Heading2"/>
      </w:pPr>
      <w:r>
        <w:t xml:space="preserve">1. Scope</w:t>
      </w:r>
    </w:p>
    <w:bookmarkStart w:id="11" w:name="in-scope"/>
    <w:p>
      <w:pPr>
        <w:pStyle w:val="Heading3"/>
      </w:pPr>
      <w:r>
        <w:t xml:space="preserve">1.1 In Scope</w:t>
      </w:r>
    </w:p>
    <w:p>
      <w:pPr>
        <w:pStyle w:val="FirstParagraph"/>
      </w:pPr>
      <w:r>
        <w:t xml:space="preserve">The following assets are in scope for vulnerability research:</w:t>
      </w:r>
    </w:p>
    <w:tbl>
      <w:tblPr>
        <w:tblStyle w:val="Table"/>
        <w:tblW w:type="pct" w:w="5000"/>
        <w:tblLayout w:type="fixed"/>
        <w:tblLook w:firstRow="1" w:lastRow="0" w:firstColumn="0" w:lastColumn="0" w:noHBand="0" w:noVBand="0" w:val="0020"/>
      </w:tblPr>
      <w:tblGrid>
        <w:gridCol w:w="1911"/>
        <w:gridCol w:w="4096"/>
        <w:gridCol w:w="1911"/>
      </w:tblGrid>
      <w:tr>
        <w:trPr>
          <w:tblHeader w:val="on"/>
        </w:trPr>
        <w:tc>
          <w:tcPr/>
          <w:p>
            <w:pPr>
              <w:pStyle w:val="Compact"/>
            </w:pPr>
            <w:r>
              <w:t xml:space="preserve">Asset</w:t>
            </w:r>
          </w:p>
        </w:tc>
        <w:tc>
          <w:tcPr/>
          <w:p>
            <w:pPr>
              <w:pStyle w:val="Compact"/>
            </w:pPr>
            <w:r>
              <w:t xml:space="preserve">URL / Location</w:t>
            </w:r>
          </w:p>
        </w:tc>
        <w:tc>
          <w:tcPr/>
          <w:p>
            <w:pPr>
              <w:pStyle w:val="Compact"/>
            </w:pPr>
            <w:r>
              <w:t xml:space="preserve">Notes</w:t>
            </w:r>
          </w:p>
        </w:tc>
      </w:tr>
      <w:tr>
        <w:tc>
          <w:tcPr/>
          <w:p>
            <w:pPr>
              <w:pStyle w:val="Compact"/>
            </w:pPr>
            <w:r>
              <w:rPr>
                <w:b/>
                <w:bCs/>
              </w:rPr>
              <w:t xml:space="preserve">Web application</w:t>
            </w:r>
          </w:p>
        </w:tc>
        <w:tc>
          <w:tcPr/>
          <w:p>
            <w:pPr>
              <w:pStyle w:val="Compact"/>
            </w:pPr>
            <w:r>
              <w:t xml:space="preserve">https://paciolus.com</w:t>
            </w:r>
          </w:p>
        </w:tc>
        <w:tc>
          <w:tcPr/>
          <w:p>
            <w:pPr>
              <w:pStyle w:val="Compact"/>
            </w:pPr>
            <w:r>
              <w:t xml:space="preserve">All authenticated and unauthenticated functionality</w:t>
            </w:r>
          </w:p>
        </w:tc>
      </w:tr>
      <w:tr>
        <w:tc>
          <w:tcPr/>
          <w:p>
            <w:pPr>
              <w:pStyle w:val="Compact"/>
            </w:pPr>
            <w:r>
              <w:rPr>
                <w:b/>
                <w:bCs/>
              </w:rPr>
              <w:t xml:space="preserve">API</w:t>
            </w:r>
          </w:p>
        </w:tc>
        <w:tc>
          <w:tcPr/>
          <w:p>
            <w:pPr>
              <w:pStyle w:val="Compact"/>
            </w:pPr>
            <w:r>
              <w:t xml:space="preserve">https://api.paciolus.com</w:t>
            </w:r>
          </w:p>
        </w:tc>
        <w:tc>
          <w:tcPr/>
          <w:p>
            <w:pPr>
              <w:pStyle w:val="Compact"/>
            </w:pPr>
            <w:r>
              <w:t xml:space="preserve">All documented and undocumented endpoints</w:t>
            </w:r>
          </w:p>
        </w:tc>
      </w:tr>
      <w:tr>
        <w:tc>
          <w:tcPr/>
          <w:p>
            <w:pPr>
              <w:pStyle w:val="Compact"/>
            </w:pPr>
            <w:r>
              <w:rPr>
                <w:b/>
                <w:bCs/>
              </w:rPr>
              <w:t xml:space="preserve">Authentication system</w:t>
            </w:r>
          </w:p>
        </w:tc>
        <w:tc>
          <w:tcPr/>
          <w:p>
            <w:pPr>
              <w:pStyle w:val="Compact"/>
            </w:pPr>
            <w:r>
              <w:t xml:space="preserve">Login, registration, password reset, token management</w:t>
            </w:r>
          </w:p>
        </w:tc>
        <w:tc>
          <w:tcPr/>
          <w:p>
            <w:pPr>
              <w:pStyle w:val="Compact"/>
            </w:pPr>
            <w:r>
              <w:t xml:space="preserve">JWT, CSRF, session handling</w:t>
            </w:r>
          </w:p>
        </w:tc>
      </w:tr>
      <w:tr>
        <w:tc>
          <w:tcPr/>
          <w:p>
            <w:pPr>
              <w:pStyle w:val="Compact"/>
            </w:pPr>
            <w:r>
              <w:rPr>
                <w:b/>
                <w:bCs/>
              </w:rPr>
              <w:t xml:space="preserve">File upload processing</w:t>
            </w:r>
          </w:p>
        </w:tc>
        <w:tc>
          <w:tcPr/>
          <w:p>
            <w:pPr>
              <w:pStyle w:val="Compact"/>
            </w:pPr>
            <w:r>
              <w:t xml:space="preserve">Trial balance upload (10 supported formats)</w:t>
            </w:r>
          </w:p>
        </w:tc>
        <w:tc>
          <w:tcPr/>
          <w:p>
            <w:pPr>
              <w:pStyle w:val="Compact"/>
            </w:pPr>
            <w:r>
              <w:t xml:space="preserve">Parser security, resource limits</w:t>
            </w:r>
          </w:p>
        </w:tc>
      </w:tr>
      <w:tr>
        <w:tc>
          <w:tcPr/>
          <w:p>
            <w:pPr>
              <w:pStyle w:val="Compact"/>
            </w:pPr>
            <w:r>
              <w:rPr>
                <w:b/>
                <w:bCs/>
              </w:rPr>
              <w:t xml:space="preserve">Payment integration</w:t>
            </w:r>
          </w:p>
        </w:tc>
        <w:tc>
          <w:tcPr/>
          <w:p>
            <w:pPr>
              <w:pStyle w:val="Compact"/>
            </w:pPr>
            <w:r>
              <w:t xml:space="preserve">Checkout, subscription management</w:t>
            </w:r>
          </w:p>
        </w:tc>
        <w:tc>
          <w:tcPr/>
          <w:p>
            <w:pPr>
              <w:pStyle w:val="Compact"/>
            </w:pPr>
            <w:r>
              <w:t xml:space="preserve">Stripe integration points</w:t>
            </w:r>
          </w:p>
        </w:tc>
      </w:tr>
    </w:tbl>
    <w:bookmarkEnd w:id="11"/>
    <w:bookmarkStart w:id="12" w:name="out-of-scope"/>
    <w:p>
      <w:pPr>
        <w:pStyle w:val="Heading3"/>
      </w:pPr>
      <w:r>
        <w:t xml:space="preserve">1.2 Out of Scope</w:t>
      </w:r>
    </w:p>
    <w:tbl>
      <w:tblPr>
        <w:tblStyle w:val="Table"/>
        <w:tblW w:type="pct" w:w="5000"/>
        <w:tblLayout w:type="fixed"/>
        <w:tblLook w:firstRow="1" w:lastRow="0" w:firstColumn="0" w:lastColumn="0" w:noHBand="0" w:noVBand="0" w:val="0020"/>
      </w:tblPr>
      <w:tblGrid>
        <w:gridCol w:w="5385"/>
        <w:gridCol w:w="2534"/>
      </w:tblGrid>
      <w:tr>
        <w:trPr>
          <w:tblHeader w:val="on"/>
        </w:trPr>
        <w:tc>
          <w:tcPr/>
          <w:p>
            <w:pPr>
              <w:pStyle w:val="Compact"/>
            </w:pPr>
            <w:r>
              <w:t xml:space="preserve">Asset / Activity</w:t>
            </w:r>
          </w:p>
        </w:tc>
        <w:tc>
          <w:tcPr/>
          <w:p>
            <w:pPr>
              <w:pStyle w:val="Compact"/>
            </w:pPr>
            <w:r>
              <w:t xml:space="preserve">Reason</w:t>
            </w:r>
          </w:p>
        </w:tc>
      </w:tr>
      <w:tr>
        <w:tc>
          <w:tcPr/>
          <w:p>
            <w:pPr>
              <w:pStyle w:val="Compact"/>
            </w:pPr>
            <w:r>
              <w:t xml:space="preserve">Third-party services (Stripe, Vercel, Render, Sentry)</w:t>
            </w:r>
          </w:p>
        </w:tc>
        <w:tc>
          <w:tcPr/>
          <w:p>
            <w:pPr>
              <w:pStyle w:val="Compact"/>
            </w:pPr>
            <w:r>
              <w:t xml:space="preserve">Report directly to those providers</w:t>
            </w:r>
          </w:p>
        </w:tc>
      </w:tr>
      <w:tr>
        <w:tc>
          <w:tcPr/>
          <w:p>
            <w:pPr>
              <w:pStyle w:val="Compact"/>
            </w:pPr>
            <w:r>
              <w:t xml:space="preserve">Physical security or social engineering</w:t>
            </w:r>
          </w:p>
        </w:tc>
        <w:tc>
          <w:tcPr/>
          <w:p>
            <w:pPr>
              <w:pStyle w:val="Compact"/>
            </w:pPr>
            <w:r>
              <w:t xml:space="preserve">Not applicable to cloud-only service</w:t>
            </w:r>
          </w:p>
        </w:tc>
      </w:tr>
      <w:tr>
        <w:tc>
          <w:tcPr/>
          <w:p>
            <w:pPr>
              <w:pStyle w:val="Compact"/>
            </w:pPr>
            <w:r>
              <w:t xml:space="preserve">Denial of service (DoS/DDoS)</w:t>
            </w:r>
          </w:p>
        </w:tc>
        <w:tc>
          <w:tcPr/>
          <w:p>
            <w:pPr>
              <w:pStyle w:val="Compact"/>
            </w:pPr>
            <w:r>
              <w:t xml:space="preserve">Destructive testing not permitted</w:t>
            </w:r>
          </w:p>
        </w:tc>
      </w:tr>
      <w:tr>
        <w:tc>
          <w:tcPr/>
          <w:p>
            <w:pPr>
              <w:pStyle w:val="Compact"/>
            </w:pPr>
            <w:r>
              <w:t xml:space="preserve">Automated scanning that degrades service</w:t>
            </w:r>
          </w:p>
        </w:tc>
        <w:tc>
          <w:tcPr/>
          <w:p>
            <w:pPr>
              <w:pStyle w:val="Compact"/>
            </w:pPr>
            <w:r>
              <w:t xml:space="preserve">See Section 8</w:t>
            </w:r>
          </w:p>
        </w:tc>
      </w:tr>
      <w:tr>
        <w:tc>
          <w:tcPr/>
          <w:p>
            <w:pPr>
              <w:pStyle w:val="Compact"/>
            </w:pPr>
            <w:r>
              <w:t xml:space="preserve">Accounts belonging to other users</w:t>
            </w:r>
          </w:p>
        </w:tc>
        <w:tc>
          <w:tcPr/>
          <w:p>
            <w:pPr>
              <w:pStyle w:val="Compact"/>
            </w:pPr>
            <w:r>
              <w:t xml:space="preserve">No access to other users’ data permitted</w:t>
            </w:r>
          </w:p>
        </w:tc>
      </w:tr>
    </w:tbl>
    <w:p>
      <w:r>
        <w:pict>
          <v:rect style="width:0;height:1.5pt" o:hralign="center" o:hrstd="t" o:hr="t"/>
        </w:pict>
      </w:r>
    </w:p>
    <w:bookmarkEnd w:id="12"/>
    <w:bookmarkEnd w:id="13"/>
    <w:bookmarkStart w:id="17" w:name="how-to-report"/>
    <w:p>
      <w:pPr>
        <w:pStyle w:val="Heading2"/>
      </w:pPr>
      <w:r>
        <w:t xml:space="preserve">2. How to Report</w:t>
      </w:r>
    </w:p>
    <w:bookmarkStart w:id="14" w:name="primary-channel"/>
    <w:p>
      <w:pPr>
        <w:pStyle w:val="Heading3"/>
      </w:pPr>
      <w:r>
        <w:t xml:space="preserve">2.1 Primary Channel</w:t>
      </w:r>
    </w:p>
    <w:p>
      <w:pPr>
        <w:pStyle w:val="FirstParagraph"/>
      </w:pPr>
      <w:r>
        <w:rPr>
          <w:b/>
          <w:bCs/>
        </w:rPr>
        <w:t xml:space="preserve">Email:</w:t>
      </w:r>
      <w:r>
        <w:t xml:space="preserve"> </w:t>
      </w:r>
      <w:r>
        <w:t xml:space="preserve">security@paciolus.com</w:t>
      </w:r>
    </w:p>
    <w:p>
      <w:pPr>
        <w:pStyle w:val="BodyText"/>
      </w:pPr>
      <w:r>
        <w:t xml:space="preserve">Send vulnerability reports to this address. For sensitive reports, you may encrypt your email using our PGP key (available at https://paciolus.com/.well-known/security.txt).</w:t>
      </w:r>
    </w:p>
    <w:bookmarkEnd w:id="14"/>
    <w:bookmarkStart w:id="15" w:name="alternative-channels"/>
    <w:p>
      <w:pPr>
        <w:pStyle w:val="Heading3"/>
      </w:pPr>
      <w:r>
        <w:t xml:space="preserve">2.2 Alternative Channels</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Channel</w:t>
            </w:r>
          </w:p>
        </w:tc>
        <w:tc>
          <w:tcPr/>
          <w:p>
            <w:pPr>
              <w:pStyle w:val="Compact"/>
            </w:pPr>
            <w:r>
              <w:t xml:space="preserve">Address</w:t>
            </w:r>
          </w:p>
        </w:tc>
        <w:tc>
          <w:tcPr/>
          <w:p>
            <w:pPr>
              <w:pStyle w:val="Compact"/>
            </w:pPr>
            <w:r>
              <w:t xml:space="preserve">Use Case</w:t>
            </w:r>
          </w:p>
        </w:tc>
      </w:tr>
      <w:tr>
        <w:tc>
          <w:tcPr/>
          <w:p>
            <w:pPr>
              <w:pStyle w:val="Compact"/>
            </w:pPr>
            <w:r>
              <w:t xml:space="preserve">Security email</w:t>
            </w:r>
          </w:p>
        </w:tc>
        <w:tc>
          <w:tcPr/>
          <w:p>
            <w:pPr>
              <w:pStyle w:val="Compact"/>
            </w:pPr>
            <w:r>
              <w:t xml:space="preserve">security@paciolus.com</w:t>
            </w:r>
          </w:p>
        </w:tc>
        <w:tc>
          <w:tcPr/>
          <w:p>
            <w:pPr>
              <w:pStyle w:val="Compact"/>
            </w:pPr>
            <w:r>
              <w:t xml:space="preserve">All vulnerability reports (primary)</w:t>
            </w:r>
          </w:p>
        </w:tc>
      </w:tr>
      <w:tr>
        <w:tc>
          <w:tcPr/>
          <w:p>
            <w:pPr>
              <w:pStyle w:val="Compact"/>
            </w:pPr>
            <w:r>
              <w:t xml:space="preserve">security.txt</w:t>
            </w:r>
          </w:p>
        </w:tc>
        <w:tc>
          <w:tcPr/>
          <w:p>
            <w:pPr>
              <w:pStyle w:val="Compact"/>
            </w:pPr>
            <w:r>
              <w:t xml:space="preserve">https://paciolus.com/.well-known/security.txt</w:t>
            </w:r>
          </w:p>
        </w:tc>
        <w:tc>
          <w:tcPr/>
          <w:p>
            <w:pPr>
              <w:pStyle w:val="Compact"/>
            </w:pPr>
            <w:r>
              <w:t xml:space="preserve">Machine-readable contact and PGP key</w:t>
            </w:r>
          </w:p>
        </w:tc>
      </w:tr>
      <w:tr>
        <w:tc>
          <w:tcPr/>
          <w:p>
            <w:pPr>
              <w:pStyle w:val="Compact"/>
            </w:pPr>
            <w:r>
              <w:t xml:space="preserve">GitHub Security Advisories</w:t>
            </w:r>
          </w:p>
        </w:tc>
        <w:tc>
          <w:tcPr/>
          <w:p>
            <w:pPr>
              <w:pStyle w:val="Compact"/>
            </w:pPr>
            <w:r>
              <w:t xml:space="preserve">Via GitHub repository (if public)</w:t>
            </w:r>
          </w:p>
        </w:tc>
        <w:tc>
          <w:tcPr/>
          <w:p>
            <w:pPr>
              <w:pStyle w:val="Compact"/>
            </w:pPr>
            <w:r>
              <w:t xml:space="preserve">Code-level vulnerabilities</w:t>
            </w:r>
          </w:p>
        </w:tc>
      </w:tr>
    </w:tbl>
    <w:bookmarkEnd w:id="15"/>
    <w:bookmarkStart w:id="16" w:name="what-not-to-do"/>
    <w:p>
      <w:pPr>
        <w:pStyle w:val="Heading3"/>
      </w:pPr>
      <w:r>
        <w:t xml:space="preserve">2.3 What NOT to Do</w:t>
      </w:r>
    </w:p>
    <w:p>
      <w:pPr>
        <w:pStyle w:val="Compact"/>
        <w:numPr>
          <w:ilvl w:val="0"/>
          <w:numId w:val="1002"/>
        </w:numPr>
      </w:pPr>
      <w:r>
        <w:t xml:space="preserve">❌ Do not disclose vulnerabilities publicly before coordinated disclosure (Section 7)</w:t>
      </w:r>
    </w:p>
    <w:p>
      <w:pPr>
        <w:pStyle w:val="Compact"/>
        <w:numPr>
          <w:ilvl w:val="0"/>
          <w:numId w:val="1002"/>
        </w:numPr>
      </w:pPr>
      <w:r>
        <w:t xml:space="preserve">❌ Do not report via social media, public forums, or support channels</w:t>
      </w:r>
    </w:p>
    <w:p>
      <w:pPr>
        <w:pStyle w:val="Compact"/>
        <w:numPr>
          <w:ilvl w:val="0"/>
          <w:numId w:val="1002"/>
        </w:numPr>
      </w:pPr>
      <w:r>
        <w:t xml:space="preserve">❌ Do not attempt to access other users’ data or accounts</w:t>
      </w:r>
    </w:p>
    <w:p>
      <w:pPr>
        <w:pStyle w:val="Compact"/>
        <w:numPr>
          <w:ilvl w:val="0"/>
          <w:numId w:val="1002"/>
        </w:numPr>
      </w:pPr>
      <w:r>
        <w:t xml:space="preserve">❌ Do not perform destructive testing or denial of service</w:t>
      </w:r>
    </w:p>
    <w:p>
      <w:r>
        <w:pict>
          <v:rect style="width:0;height:1.5pt" o:hralign="center" o:hrstd="t" o:hr="t"/>
        </w:pict>
      </w:r>
    </w:p>
    <w:bookmarkEnd w:id="16"/>
    <w:bookmarkEnd w:id="17"/>
    <w:bookmarkStart w:id="19" w:name="what-to-include"/>
    <w:p>
      <w:pPr>
        <w:pStyle w:val="Heading2"/>
      </w:pPr>
      <w:r>
        <w:t xml:space="preserve">3. What to Include</w:t>
      </w:r>
    </w:p>
    <w:p>
      <w:pPr>
        <w:pStyle w:val="FirstParagraph"/>
      </w:pPr>
      <w:r>
        <w:t xml:space="preserve">A useful vulnerability report includes:</w:t>
      </w:r>
    </w:p>
    <w:tbl>
      <w:tblPr>
        <w:tblStyle w:val="Table"/>
        <w:tblW w:type="pct" w:w="5000"/>
        <w:tblLayout w:type="fixed"/>
        <w:tblLook w:firstRow="1" w:lastRow="0" w:firstColumn="0" w:lastColumn="0" w:noHBand="0" w:noVBand="0" w:val="0020"/>
      </w:tblPr>
      <w:tblGrid>
        <w:gridCol w:w="1848"/>
        <w:gridCol w:w="3432"/>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Required</w:t>
            </w:r>
          </w:p>
        </w:tc>
      </w:tr>
      <w:tr>
        <w:tc>
          <w:tcPr/>
          <w:p>
            <w:pPr>
              <w:pStyle w:val="Compact"/>
            </w:pPr>
            <w:r>
              <w:rPr>
                <w:b/>
                <w:bCs/>
              </w:rPr>
              <w:t xml:space="preserve">Description</w:t>
            </w:r>
          </w:p>
        </w:tc>
        <w:tc>
          <w:tcPr/>
          <w:p>
            <w:pPr>
              <w:pStyle w:val="Compact"/>
            </w:pPr>
            <w:r>
              <w:t xml:space="preserve">What is the vulnerability? What component is affected?</w:t>
            </w:r>
          </w:p>
        </w:tc>
        <w:tc>
          <w:tcPr/>
          <w:p>
            <w:pPr>
              <w:pStyle w:val="Compact"/>
            </w:pPr>
            <w:r>
              <w:t xml:space="preserve">✅ Yes</w:t>
            </w:r>
          </w:p>
        </w:tc>
      </w:tr>
      <w:tr>
        <w:tc>
          <w:tcPr/>
          <w:p>
            <w:pPr>
              <w:pStyle w:val="Compact"/>
            </w:pPr>
            <w:r>
              <w:rPr>
                <w:b/>
                <w:bCs/>
              </w:rPr>
              <w:t xml:space="preserve">Steps to reproduce</w:t>
            </w:r>
          </w:p>
        </w:tc>
        <w:tc>
          <w:tcPr/>
          <w:p>
            <w:pPr>
              <w:pStyle w:val="Compact"/>
            </w:pPr>
            <w:r>
              <w:t xml:space="preserve">Detailed steps another engineer can follow to reproduce the issue</w:t>
            </w:r>
          </w:p>
        </w:tc>
        <w:tc>
          <w:tcPr/>
          <w:p>
            <w:pPr>
              <w:pStyle w:val="Compact"/>
            </w:pPr>
            <w:r>
              <w:t xml:space="preserve">✅ Yes</w:t>
            </w:r>
          </w:p>
        </w:tc>
      </w:tr>
      <w:tr>
        <w:tc>
          <w:tcPr/>
          <w:p>
            <w:pPr>
              <w:pStyle w:val="Compact"/>
            </w:pPr>
            <w:r>
              <w:rPr>
                <w:b/>
                <w:bCs/>
              </w:rPr>
              <w:t xml:space="preserve">Impact assessment</w:t>
            </w:r>
          </w:p>
        </w:tc>
        <w:tc>
          <w:tcPr/>
          <w:p>
            <w:pPr>
              <w:pStyle w:val="Compact"/>
            </w:pPr>
            <w:r>
              <w:t xml:space="preserve">What could an attacker do? What data is at risk?</w:t>
            </w:r>
          </w:p>
        </w:tc>
        <w:tc>
          <w:tcPr/>
          <w:p>
            <w:pPr>
              <w:pStyle w:val="Compact"/>
            </w:pPr>
            <w:r>
              <w:t xml:space="preserve">✅ Yes</w:t>
            </w:r>
          </w:p>
        </w:tc>
      </w:tr>
      <w:tr>
        <w:tc>
          <w:tcPr/>
          <w:p>
            <w:pPr>
              <w:pStyle w:val="Compact"/>
            </w:pPr>
            <w:r>
              <w:rPr>
                <w:b/>
                <w:bCs/>
              </w:rPr>
              <w:t xml:space="preserve">Affected URL/endpoint</w:t>
            </w:r>
          </w:p>
        </w:tc>
        <w:tc>
          <w:tcPr/>
          <w:p>
            <w:pPr>
              <w:pStyle w:val="Compact"/>
            </w:pPr>
            <w:r>
              <w:t xml:space="preserve">Specific URL, API endpoint, or component</w:t>
            </w:r>
          </w:p>
        </w:tc>
        <w:tc>
          <w:tcPr/>
          <w:p>
            <w:pPr>
              <w:pStyle w:val="Compact"/>
            </w:pPr>
            <w:r>
              <w:t xml:space="preserve">✅ Yes</w:t>
            </w:r>
          </w:p>
        </w:tc>
      </w:tr>
      <w:tr>
        <w:tc>
          <w:tcPr/>
          <w:p>
            <w:pPr>
              <w:pStyle w:val="Compact"/>
            </w:pPr>
            <w:r>
              <w:rPr>
                <w:b/>
                <w:bCs/>
              </w:rPr>
              <w:t xml:space="preserve">Proof of concept</w:t>
            </w:r>
          </w:p>
        </w:tc>
        <w:tc>
          <w:tcPr/>
          <w:p>
            <w:pPr>
              <w:pStyle w:val="Compact"/>
            </w:pPr>
            <w:r>
              <w:t xml:space="preserve">Screenshots, HTTP request/response, code snippet</w:t>
            </w:r>
          </w:p>
        </w:tc>
        <w:tc>
          <w:tcPr/>
          <w:p>
            <w:pPr>
              <w:pStyle w:val="Compact"/>
            </w:pPr>
            <w:r>
              <w:t xml:space="preserve">Recommended</w:t>
            </w:r>
          </w:p>
        </w:tc>
      </w:tr>
      <w:tr>
        <w:tc>
          <w:tcPr/>
          <w:p>
            <w:pPr>
              <w:pStyle w:val="Compact"/>
            </w:pPr>
            <w:r>
              <w:rPr>
                <w:b/>
                <w:bCs/>
              </w:rPr>
              <w:t xml:space="preserve">Suggested fix</w:t>
            </w:r>
          </w:p>
        </w:tc>
        <w:tc>
          <w:tcPr/>
          <w:p>
            <w:pPr>
              <w:pStyle w:val="Compact"/>
            </w:pPr>
            <w:r>
              <w:t xml:space="preserve">How you think the issue could be fixed</w:t>
            </w:r>
          </w:p>
        </w:tc>
        <w:tc>
          <w:tcPr/>
          <w:p>
            <w:pPr>
              <w:pStyle w:val="Compact"/>
            </w:pPr>
            <w:r>
              <w:t xml:space="preserve">Optional</w:t>
            </w:r>
          </w:p>
        </w:tc>
      </w:tr>
      <w:tr>
        <w:tc>
          <w:tcPr/>
          <w:p>
            <w:pPr>
              <w:pStyle w:val="Compact"/>
            </w:pPr>
            <w:r>
              <w:rPr>
                <w:b/>
                <w:bCs/>
              </w:rPr>
              <w:t xml:space="preserve">Your contact info</w:t>
            </w:r>
          </w:p>
        </w:tc>
        <w:tc>
          <w:tcPr/>
          <w:p>
            <w:pPr>
              <w:pStyle w:val="Compact"/>
            </w:pPr>
            <w:r>
              <w:t xml:space="preserve">Email or preferred communication channel</w:t>
            </w:r>
          </w:p>
        </w:tc>
        <w:tc>
          <w:tcPr/>
          <w:p>
            <w:pPr>
              <w:pStyle w:val="Compact"/>
            </w:pPr>
            <w:r>
              <w:t xml:space="preserve">✅ Yes</w:t>
            </w:r>
          </w:p>
        </w:tc>
      </w:tr>
      <w:tr>
        <w:tc>
          <w:tcPr/>
          <w:p>
            <w:pPr>
              <w:pStyle w:val="Compact"/>
            </w:pPr>
            <w:r>
              <w:rPr>
                <w:b/>
                <w:bCs/>
              </w:rPr>
              <w:t xml:space="preserve">Severity estimate</w:t>
            </w:r>
          </w:p>
        </w:tc>
        <w:tc>
          <w:tcPr/>
          <w:p>
            <w:pPr>
              <w:pStyle w:val="Compact"/>
            </w:pPr>
            <w:r>
              <w:t xml:space="preserve">Your assessment of severity (Critical/High/Medium/Low)</w:t>
            </w:r>
          </w:p>
        </w:tc>
        <w:tc>
          <w:tcPr/>
          <w:p>
            <w:pPr>
              <w:pStyle w:val="Compact"/>
            </w:pPr>
            <w:r>
              <w:t xml:space="preserve">Optional</w:t>
            </w:r>
          </w:p>
        </w:tc>
      </w:tr>
    </w:tbl>
    <w:bookmarkStart w:id="18" w:name="example-report"/>
    <w:p>
      <w:pPr>
        <w:pStyle w:val="Heading3"/>
      </w:pPr>
      <w:r>
        <w:t xml:space="preserve">3.1 Example Report</w:t>
      </w:r>
    </w:p>
    <w:p>
      <w:pPr>
        <w:pStyle w:val="SourceCode"/>
      </w:pPr>
      <w:r>
        <w:rPr>
          <w:rStyle w:val="VerbatimChar"/>
        </w:rPr>
        <w:t xml:space="preserve">Subject: [Vulnerability Report] IDOR in /api/clients/{id}</w:t>
      </w:r>
      <w:r>
        <w:br/>
      </w:r>
      <w:r>
        <w:br/>
      </w:r>
      <w:r>
        <w:rPr>
          <w:rStyle w:val="VerbatimChar"/>
        </w:rPr>
        <w:t xml:space="preserve">Description:</w:t>
      </w:r>
      <w:r>
        <w:br/>
      </w:r>
      <w:r>
        <w:rPr>
          <w:rStyle w:val="VerbatimChar"/>
        </w:rPr>
        <w:t xml:space="preserve">The GET /api/clients/{id} endpoint does not verify that the</w:t>
      </w:r>
      <w:r>
        <w:br/>
      </w:r>
      <w:r>
        <w:rPr>
          <w:rStyle w:val="VerbatimChar"/>
        </w:rPr>
        <w:t xml:space="preserve">authenticated user owns the requested client record. An authenticated</w:t>
      </w:r>
      <w:r>
        <w:br/>
      </w:r>
      <w:r>
        <w:rPr>
          <w:rStyle w:val="VerbatimChar"/>
        </w:rPr>
        <w:t xml:space="preserve">user can access any client by iterating client IDs.</w:t>
      </w:r>
      <w:r>
        <w:br/>
      </w:r>
      <w:r>
        <w:br/>
      </w:r>
      <w:r>
        <w:rPr>
          <w:rStyle w:val="VerbatimChar"/>
        </w:rPr>
        <w:t xml:space="preserve">Steps to reproduce:</w:t>
      </w:r>
      <w:r>
        <w:br/>
      </w:r>
      <w:r>
        <w:rPr>
          <w:rStyle w:val="VerbatimChar"/>
        </w:rPr>
        <w:t xml:space="preserve">1. Register two accounts (user A and user B)</w:t>
      </w:r>
      <w:r>
        <w:br/>
      </w:r>
      <w:r>
        <w:rPr>
          <w:rStyle w:val="VerbatimChar"/>
        </w:rPr>
        <w:t xml:space="preserve">2. As user A, create a client (note the client_id in response)</w:t>
      </w:r>
      <w:r>
        <w:br/>
      </w:r>
      <w:r>
        <w:rPr>
          <w:rStyle w:val="VerbatimChar"/>
        </w:rPr>
        <w:t xml:space="preserve">3. As user B, send GET /api/clients/{client_id_from_step_2}</w:t>
      </w:r>
      <w:r>
        <w:br/>
      </w:r>
      <w:r>
        <w:rPr>
          <w:rStyle w:val="VerbatimChar"/>
        </w:rPr>
        <w:t xml:space="preserve">4. User B receives user A's client data</w:t>
      </w:r>
      <w:r>
        <w:br/>
      </w:r>
      <w:r>
        <w:br/>
      </w:r>
      <w:r>
        <w:rPr>
          <w:rStyle w:val="VerbatimChar"/>
        </w:rPr>
        <w:t xml:space="preserve">Impact:</w:t>
      </w:r>
      <w:r>
        <w:br/>
      </w:r>
      <w:r>
        <w:rPr>
          <w:rStyle w:val="VerbatimChar"/>
        </w:rPr>
        <w:t xml:space="preserve">Any authenticated user can read any other user's client metadata</w:t>
      </w:r>
      <w:r>
        <w:br/>
      </w:r>
      <w:r>
        <w:rPr>
          <w:rStyle w:val="VerbatimChar"/>
        </w:rPr>
        <w:t xml:space="preserve">(company name, industry, fiscal year end). Financial data is not</w:t>
      </w:r>
      <w:r>
        <w:br/>
      </w:r>
      <w:r>
        <w:rPr>
          <w:rStyle w:val="VerbatimChar"/>
        </w:rPr>
        <w:t xml:space="preserve">affected (Zero-Storage architecture).</w:t>
      </w:r>
      <w:r>
        <w:br/>
      </w:r>
      <w:r>
        <w:br/>
      </w:r>
      <w:r>
        <w:rPr>
          <w:rStyle w:val="VerbatimChar"/>
        </w:rPr>
        <w:t xml:space="preserve">Affected endpoint: GET /api/clients/{id}</w:t>
      </w:r>
      <w:r>
        <w:br/>
      </w:r>
      <w:r>
        <w:rPr>
          <w:rStyle w:val="VerbatimChar"/>
        </w:rPr>
        <w:t xml:space="preserve">Severity estimate: High (cross-tenant data access)</w:t>
      </w:r>
    </w:p>
    <w:p>
      <w:r>
        <w:pict>
          <v:rect style="width:0;height:1.5pt" o:hralign="center" o:hrstd="t" o:hr="t"/>
        </w:pict>
      </w:r>
    </w:p>
    <w:bookmarkEnd w:id="18"/>
    <w:bookmarkEnd w:id="19"/>
    <w:bookmarkStart w:id="23" w:name="safe-harbor"/>
    <w:p>
      <w:pPr>
        <w:pStyle w:val="Heading2"/>
      </w:pPr>
      <w:r>
        <w:t xml:space="preserve">4. Safe Harbor</w:t>
      </w:r>
    </w:p>
    <w:bookmarkStart w:id="20" w:name="our-commitment"/>
    <w:p>
      <w:pPr>
        <w:pStyle w:val="Heading3"/>
      </w:pPr>
      <w:r>
        <w:t xml:space="preserve">4.1 Our Commitment</w:t>
      </w:r>
    </w:p>
    <w:p>
      <w:pPr>
        <w:pStyle w:val="FirstParagraph"/>
      </w:pPr>
      <w:r>
        <w:t xml:space="preserve">Paciolus will not pursue legal action against security researchers who:</w:t>
      </w:r>
    </w:p>
    <w:p>
      <w:pPr>
        <w:pStyle w:val="Compact"/>
        <w:numPr>
          <w:ilvl w:val="0"/>
          <w:numId w:val="1003"/>
        </w:numPr>
      </w:pPr>
      <w:r>
        <w:rPr>
          <w:b/>
          <w:bCs/>
        </w:rPr>
        <w:t xml:space="preserve">Act in good faith</w:t>
      </w:r>
      <w:r>
        <w:t xml:space="preserve"> </w:t>
      </w:r>
      <w:r>
        <w:t xml:space="preserve">— Research is conducted to identify and report vulnerabilities, not to exploit them.</w:t>
      </w:r>
    </w:p>
    <w:p>
      <w:pPr>
        <w:pStyle w:val="Compact"/>
        <w:numPr>
          <w:ilvl w:val="0"/>
          <w:numId w:val="1003"/>
        </w:numPr>
      </w:pPr>
      <w:r>
        <w:rPr>
          <w:b/>
          <w:bCs/>
        </w:rPr>
        <w:t xml:space="preserve">Avoid harm</w:t>
      </w:r>
      <w:r>
        <w:t xml:space="preserve"> </w:t>
      </w:r>
      <w:r>
        <w:t xml:space="preserve">— No destruction of data, disruption of service, or access to other users’ accounts.</w:t>
      </w:r>
    </w:p>
    <w:p>
      <w:pPr>
        <w:pStyle w:val="Compact"/>
        <w:numPr>
          <w:ilvl w:val="0"/>
          <w:numId w:val="1003"/>
        </w:numPr>
      </w:pPr>
      <w:r>
        <w:rPr>
          <w:b/>
          <w:bCs/>
        </w:rPr>
        <w:t xml:space="preserve">Follow this policy</w:t>
      </w:r>
      <w:r>
        <w:t xml:space="preserve"> </w:t>
      </w:r>
      <w:r>
        <w:t xml:space="preserve">— Report through designated channels and allow reasonable time for remediation.</w:t>
      </w:r>
    </w:p>
    <w:p>
      <w:pPr>
        <w:pStyle w:val="Compact"/>
        <w:numPr>
          <w:ilvl w:val="0"/>
          <w:numId w:val="1003"/>
        </w:numPr>
      </w:pPr>
      <w:r>
        <w:rPr>
          <w:b/>
          <w:bCs/>
        </w:rPr>
        <w:t xml:space="preserve">Do not disclose prematurely</w:t>
      </w:r>
      <w:r>
        <w:t xml:space="preserve"> </w:t>
      </w:r>
      <w:r>
        <w:t xml:space="preserve">— Vulnerabilities are not shared publicly before coordinated disclosure.</w:t>
      </w:r>
    </w:p>
    <w:bookmarkEnd w:id="20"/>
    <w:bookmarkStart w:id="21" w:name="legal-protection"/>
    <w:p>
      <w:pPr>
        <w:pStyle w:val="Heading3"/>
      </w:pPr>
      <w:r>
        <w:t xml:space="preserve">4.2 Legal Protection</w:t>
      </w:r>
    </w:p>
    <w:p>
      <w:pPr>
        <w:pStyle w:val="FirstParagraph"/>
      </w:pPr>
      <w:r>
        <w:t xml:space="preserve">We consider security research conducted consistent with this policy to be:</w:t>
      </w:r>
    </w:p>
    <w:p>
      <w:pPr>
        <w:pStyle w:val="Compact"/>
        <w:numPr>
          <w:ilvl w:val="0"/>
          <w:numId w:val="1004"/>
        </w:numPr>
      </w:pPr>
      <w:r>
        <w:rPr>
          <w:b/>
          <w:bCs/>
        </w:rPr>
        <w:t xml:space="preserve">Authorized</w:t>
      </w:r>
      <w:r>
        <w:t xml:space="preserve"> </w:t>
      </w:r>
      <w:r>
        <w:t xml:space="preserve">under the Computer Fraud and Abuse Act (CFAA)</w:t>
      </w:r>
    </w:p>
    <w:p>
      <w:pPr>
        <w:pStyle w:val="Compact"/>
        <w:numPr>
          <w:ilvl w:val="0"/>
          <w:numId w:val="1004"/>
        </w:numPr>
      </w:pPr>
      <w:r>
        <w:rPr>
          <w:b/>
          <w:bCs/>
        </w:rPr>
        <w:t xml:space="preserve">Authorized</w:t>
      </w:r>
      <w:r>
        <w:t xml:space="preserve"> </w:t>
      </w:r>
      <w:r>
        <w:t xml:space="preserve">under equivalent international laws (e.g., UK Computer Misuse Act)</w:t>
      </w:r>
    </w:p>
    <w:p>
      <w:pPr>
        <w:pStyle w:val="Compact"/>
        <w:numPr>
          <w:ilvl w:val="0"/>
          <w:numId w:val="1004"/>
        </w:numPr>
      </w:pPr>
      <w:r>
        <w:rPr>
          <w:b/>
          <w:bCs/>
        </w:rPr>
        <w:t xml:space="preserve">Exempt</w:t>
      </w:r>
      <w:r>
        <w:t xml:space="preserve"> </w:t>
      </w:r>
      <w:r>
        <w:t xml:space="preserve">from DMCA Section 1201 claims related to circumvention of security measures</w:t>
      </w:r>
    </w:p>
    <w:p>
      <w:pPr>
        <w:pStyle w:val="FirstParagraph"/>
      </w:pPr>
      <w:r>
        <w:t xml:space="preserve">We will not file complaints against researchers acting in compliance with this policy.</w:t>
      </w:r>
    </w:p>
    <w:bookmarkEnd w:id="21"/>
    <w:bookmarkStart w:id="22" w:name="limitations"/>
    <w:p>
      <w:pPr>
        <w:pStyle w:val="Heading3"/>
      </w:pPr>
      <w:r>
        <w:t xml:space="preserve">4.3 Limitations</w:t>
      </w:r>
    </w:p>
    <w:p>
      <w:pPr>
        <w:pStyle w:val="FirstParagraph"/>
      </w:pPr>
      <w:r>
        <w:t xml:space="preserve">Safe harbor does</w:t>
      </w:r>
      <w:r>
        <w:t xml:space="preserve"> </w:t>
      </w:r>
      <w:r>
        <w:rPr>
          <w:b/>
          <w:bCs/>
        </w:rPr>
        <w:t xml:space="preserve">not</w:t>
      </w:r>
      <w:r>
        <w:t xml:space="preserve"> </w:t>
      </w:r>
      <w:r>
        <w:t xml:space="preserve">extend to:</w:t>
      </w:r>
    </w:p>
    <w:p>
      <w:pPr>
        <w:pStyle w:val="Compact"/>
        <w:numPr>
          <w:ilvl w:val="0"/>
          <w:numId w:val="1005"/>
        </w:numPr>
      </w:pPr>
      <w:r>
        <w:t xml:space="preserve">Testing that causes service degradation or data loss</w:t>
      </w:r>
    </w:p>
    <w:p>
      <w:pPr>
        <w:pStyle w:val="Compact"/>
        <w:numPr>
          <w:ilvl w:val="0"/>
          <w:numId w:val="1005"/>
        </w:numPr>
      </w:pPr>
      <w:r>
        <w:t xml:space="preserve">Accessing, modifying, or deleting other users’ data</w:t>
      </w:r>
    </w:p>
    <w:p>
      <w:pPr>
        <w:pStyle w:val="Compact"/>
        <w:numPr>
          <w:ilvl w:val="0"/>
          <w:numId w:val="1005"/>
        </w:numPr>
      </w:pPr>
      <w:r>
        <w:t xml:space="preserve">Social engineering of Paciolus employees or customers</w:t>
      </w:r>
    </w:p>
    <w:p>
      <w:pPr>
        <w:pStyle w:val="Compact"/>
        <w:numPr>
          <w:ilvl w:val="0"/>
          <w:numId w:val="1005"/>
        </w:numPr>
      </w:pPr>
      <w:r>
        <w:t xml:space="preserve">Physical security testing</w:t>
      </w:r>
    </w:p>
    <w:p>
      <w:pPr>
        <w:pStyle w:val="Compact"/>
        <w:numPr>
          <w:ilvl w:val="0"/>
          <w:numId w:val="1005"/>
        </w:numPr>
      </w:pPr>
      <w:r>
        <w:t xml:space="preserve">Research on third-party services (report to those providers directly)</w:t>
      </w:r>
    </w:p>
    <w:p>
      <w:r>
        <w:pict>
          <v:rect style="width:0;height:1.5pt" o:hralign="center" o:hrstd="t" o:hr="t"/>
        </w:pict>
      </w:r>
    </w:p>
    <w:bookmarkEnd w:id="22"/>
    <w:bookmarkEnd w:id="23"/>
    <w:bookmarkStart w:id="25" w:name="response-timeline"/>
    <w:p>
      <w:pPr>
        <w:pStyle w:val="Heading2"/>
      </w:pPr>
      <w:r>
        <w:t xml:space="preserve">5. Response Timeline</w:t>
      </w:r>
    </w:p>
    <w:tbl>
      <w:tblPr>
        <w:tblStyle w:val="Table"/>
        <w:tblW w:type="pct" w:w="5000"/>
        <w:tblLayout w:type="fixed"/>
        <w:tblLook w:firstRow="1" w:lastRow="0" w:firstColumn="0" w:lastColumn="0" w:noHBand="0" w:noVBand="0" w:val="0020"/>
      </w:tblPr>
      <w:tblGrid>
        <w:gridCol w:w="2217"/>
        <w:gridCol w:w="1584"/>
        <w:gridCol w:w="4118"/>
      </w:tblGrid>
      <w:tr>
        <w:trPr>
          <w:tblHeader w:val="on"/>
        </w:trPr>
        <w:tc>
          <w:tcPr/>
          <w:p>
            <w:pPr>
              <w:pStyle w:val="Compact"/>
            </w:pPr>
            <w:r>
              <w:t xml:space="preserve">Stage</w:t>
            </w:r>
          </w:p>
        </w:tc>
        <w:tc>
          <w:tcPr/>
          <w:p>
            <w:pPr>
              <w:pStyle w:val="Compact"/>
            </w:pPr>
            <w:r>
              <w:t xml:space="preserve">SLA</w:t>
            </w:r>
          </w:p>
        </w:tc>
        <w:tc>
          <w:tcPr/>
          <w:p>
            <w:pPr>
              <w:pStyle w:val="Compact"/>
            </w:pPr>
            <w:r>
              <w:t xml:space="preserve">Description</w:t>
            </w:r>
          </w:p>
        </w:tc>
      </w:tr>
      <w:tr>
        <w:tc>
          <w:tcPr/>
          <w:p>
            <w:pPr>
              <w:pStyle w:val="Compact"/>
            </w:pPr>
            <w:r>
              <w:rPr>
                <w:b/>
                <w:bCs/>
              </w:rPr>
              <w:t xml:space="preserve">Acknowledgment</w:t>
            </w:r>
          </w:p>
        </w:tc>
        <w:tc>
          <w:tcPr/>
          <w:p>
            <w:pPr>
              <w:pStyle w:val="Compact"/>
            </w:pPr>
            <w:r>
              <w:t xml:space="preserve">2 business days</w:t>
            </w:r>
          </w:p>
        </w:tc>
        <w:tc>
          <w:tcPr/>
          <w:p>
            <w:pPr>
              <w:pStyle w:val="Compact"/>
            </w:pPr>
            <w:r>
              <w:t xml:space="preserve">We confirm receipt and assign a tracking ID</w:t>
            </w:r>
          </w:p>
        </w:tc>
      </w:tr>
      <w:tr>
        <w:tc>
          <w:tcPr/>
          <w:p>
            <w:pPr>
              <w:pStyle w:val="Compact"/>
            </w:pPr>
            <w:r>
              <w:rPr>
                <w:b/>
                <w:bCs/>
              </w:rPr>
              <w:t xml:space="preserve">Initial assessment</w:t>
            </w:r>
          </w:p>
        </w:tc>
        <w:tc>
          <w:tcPr/>
          <w:p>
            <w:pPr>
              <w:pStyle w:val="Compact"/>
            </w:pPr>
            <w:r>
              <w:t xml:space="preserve">5 business days</w:t>
            </w:r>
          </w:p>
        </w:tc>
        <w:tc>
          <w:tcPr/>
          <w:p>
            <w:pPr>
              <w:pStyle w:val="Compact"/>
            </w:pPr>
            <w:r>
              <w:t xml:space="preserve">We validate the report and assign severity</w:t>
            </w:r>
          </w:p>
        </w:tc>
      </w:tr>
      <w:tr>
        <w:tc>
          <w:tcPr/>
          <w:p>
            <w:pPr>
              <w:pStyle w:val="Compact"/>
            </w:pPr>
            <w:r>
              <w:rPr>
                <w:b/>
                <w:bCs/>
              </w:rPr>
              <w:t xml:space="preserve">Status update</w:t>
            </w:r>
          </w:p>
        </w:tc>
        <w:tc>
          <w:tcPr/>
          <w:p>
            <w:pPr>
              <w:pStyle w:val="Compact"/>
            </w:pPr>
            <w:r>
              <w:t xml:space="preserve">Every 10 business days</w:t>
            </w:r>
          </w:p>
        </w:tc>
        <w:tc>
          <w:tcPr/>
          <w:p>
            <w:pPr>
              <w:pStyle w:val="Compact"/>
            </w:pPr>
            <w:r>
              <w:t xml:space="preserve">We provide progress updates during remediation</w:t>
            </w:r>
          </w:p>
        </w:tc>
      </w:tr>
      <w:tr>
        <w:tc>
          <w:tcPr/>
          <w:p>
            <w:pPr>
              <w:pStyle w:val="Compact"/>
            </w:pPr>
            <w:r>
              <w:rPr>
                <w:b/>
                <w:bCs/>
              </w:rPr>
              <w:t xml:space="preserve">Fix deployed</w:t>
            </w:r>
          </w:p>
        </w:tc>
        <w:tc>
          <w:tcPr/>
          <w:p>
            <w:pPr>
              <w:pStyle w:val="Compact"/>
            </w:pPr>
            <w:r>
              <w:t xml:space="preserve">Depends on severity (Section 6)</w:t>
            </w:r>
          </w:p>
        </w:tc>
        <w:tc>
          <w:tcPr/>
          <w:p>
            <w:pPr>
              <w:pStyle w:val="Compact"/>
            </w:pPr>
            <w:r>
              <w:t xml:space="preserve">Fix deployed to production</w:t>
            </w:r>
          </w:p>
        </w:tc>
      </w:tr>
      <w:tr>
        <w:tc>
          <w:tcPr/>
          <w:p>
            <w:pPr>
              <w:pStyle w:val="Compact"/>
            </w:pPr>
            <w:r>
              <w:rPr>
                <w:b/>
                <w:bCs/>
              </w:rPr>
              <w:t xml:space="preserve">Disclosure coordination</w:t>
            </w:r>
          </w:p>
        </w:tc>
        <w:tc>
          <w:tcPr/>
          <w:p>
            <w:pPr>
              <w:pStyle w:val="Compact"/>
            </w:pPr>
            <w:r>
              <w:t xml:space="preserve">90 days from report (default)</w:t>
            </w:r>
          </w:p>
        </w:tc>
        <w:tc>
          <w:tcPr/>
          <w:p>
            <w:pPr>
              <w:pStyle w:val="Compact"/>
            </w:pPr>
            <w:r>
              <w:t xml:space="preserve">Coordinated public disclosure if applicable (Section 7)</w:t>
            </w:r>
          </w:p>
        </w:tc>
      </w:tr>
      <w:tr>
        <w:tc>
          <w:tcPr/>
          <w:p>
            <w:pPr>
              <w:pStyle w:val="Compact"/>
            </w:pPr>
            <w:r>
              <w:rPr>
                <w:b/>
                <w:bCs/>
              </w:rPr>
              <w:t xml:space="preserve">Reporter notification</w:t>
            </w:r>
          </w:p>
        </w:tc>
        <w:tc>
          <w:tcPr/>
          <w:p>
            <w:pPr>
              <w:pStyle w:val="Compact"/>
            </w:pPr>
            <w:r>
              <w:t xml:space="preserve">Within 2 business days of fix deployment</w:t>
            </w:r>
          </w:p>
        </w:tc>
        <w:tc>
          <w:tcPr/>
          <w:p>
            <w:pPr>
              <w:pStyle w:val="Compact"/>
            </w:pPr>
            <w:r>
              <w:t xml:space="preserve">We notify you that the fix is live</w:t>
            </w:r>
          </w:p>
        </w:tc>
      </w:tr>
    </w:tbl>
    <w:bookmarkStart w:id="24" w:name="what-to-expect"/>
    <w:p>
      <w:pPr>
        <w:pStyle w:val="Heading3"/>
      </w:pPr>
      <w:r>
        <w:t xml:space="preserve">5.1 What to Expect</w:t>
      </w:r>
    </w:p>
    <w:p>
      <w:pPr>
        <w:pStyle w:val="FirstParagraph"/>
      </w:pPr>
      <w:r>
        <w:t xml:space="preserve">After you submit a report:</w:t>
      </w:r>
    </w:p>
    <w:p>
      <w:pPr>
        <w:pStyle w:val="Compact"/>
        <w:numPr>
          <w:ilvl w:val="0"/>
          <w:numId w:val="1006"/>
        </w:numPr>
      </w:pPr>
      <w:r>
        <w:rPr>
          <w:b/>
          <w:bCs/>
        </w:rPr>
        <w:t xml:space="preserve">Acknowledgment email</w:t>
      </w:r>
      <w:r>
        <w:t xml:space="preserve"> </w:t>
      </w:r>
      <w:r>
        <w:t xml:space="preserve">with a tracking ID (e.g.,</w:t>
      </w:r>
      <w:r>
        <w:t xml:space="preserve"> </w:t>
      </w:r>
      <w:r>
        <w:rPr>
          <w:rStyle w:val="VerbatimChar"/>
        </w:rPr>
        <w:t xml:space="preserve">PACIOLUS-VDP-2026-001</w:t>
      </w:r>
      <w:r>
        <w:t xml:space="preserve">)</w:t>
      </w:r>
    </w:p>
    <w:p>
      <w:pPr>
        <w:pStyle w:val="Compact"/>
        <w:numPr>
          <w:ilvl w:val="0"/>
          <w:numId w:val="1006"/>
        </w:numPr>
      </w:pPr>
      <w:r>
        <w:rPr>
          <w:b/>
          <w:bCs/>
        </w:rPr>
        <w:t xml:space="preserve">Assessment notification</w:t>
      </w:r>
      <w:r>
        <w:t xml:space="preserve"> </w:t>
      </w:r>
      <w:r>
        <w:t xml:space="preserve">confirming whether the report is valid and its assigned severity</w:t>
      </w:r>
    </w:p>
    <w:p>
      <w:pPr>
        <w:pStyle w:val="Compact"/>
        <w:numPr>
          <w:ilvl w:val="0"/>
          <w:numId w:val="1006"/>
        </w:numPr>
      </w:pPr>
      <w:r>
        <w:rPr>
          <w:b/>
          <w:bCs/>
        </w:rPr>
        <w:t xml:space="preserve">Periodic updates</w:t>
      </w:r>
      <w:r>
        <w:t xml:space="preserve"> </w:t>
      </w:r>
      <w:r>
        <w:t xml:space="preserve">if remediation takes longer than 10 business days</w:t>
      </w:r>
    </w:p>
    <w:p>
      <w:pPr>
        <w:pStyle w:val="Compact"/>
        <w:numPr>
          <w:ilvl w:val="0"/>
          <w:numId w:val="1006"/>
        </w:numPr>
      </w:pPr>
      <w:r>
        <w:rPr>
          <w:b/>
          <w:bCs/>
        </w:rPr>
        <w:t xml:space="preserve">Resolution notification</w:t>
      </w:r>
      <w:r>
        <w:t xml:space="preserve"> </w:t>
      </w:r>
      <w:r>
        <w:t xml:space="preserve">when the fix is deployed</w:t>
      </w:r>
    </w:p>
    <w:p>
      <w:pPr>
        <w:pStyle w:val="Compact"/>
        <w:numPr>
          <w:ilvl w:val="0"/>
          <w:numId w:val="1006"/>
        </w:numPr>
      </w:pPr>
      <w:r>
        <w:rPr>
          <w:b/>
          <w:bCs/>
        </w:rPr>
        <w:t xml:space="preserve">Credit offer</w:t>
      </w:r>
      <w:r>
        <w:t xml:space="preserve"> </w:t>
      </w:r>
      <w:r>
        <w:t xml:space="preserve">(with your consent) in our security advisory (Section 9)</w:t>
      </w:r>
    </w:p>
    <w:p>
      <w:r>
        <w:pict>
          <v:rect style="width:0;height:1.5pt" o:hralign="center" o:hrstd="t" o:hr="t"/>
        </w:pict>
      </w:r>
    </w:p>
    <w:bookmarkEnd w:id="24"/>
    <w:bookmarkEnd w:id="25"/>
    <w:bookmarkStart w:id="28" w:name="severity-classification"/>
    <w:p>
      <w:pPr>
        <w:pStyle w:val="Heading2"/>
      </w:pPr>
      <w:r>
        <w:t xml:space="preserve">6. Severity Classification</w:t>
      </w:r>
    </w:p>
    <w:p>
      <w:pPr>
        <w:pStyle w:val="FirstParagraph"/>
      </w:pPr>
      <w:r>
        <w:t xml:space="preserve">We use the following severity classification aligned with CVSS v3.1 guidance:</w:t>
      </w:r>
    </w:p>
    <w:tbl>
      <w:tblPr>
        <w:tblStyle w:val="Table"/>
        <w:tblW w:type="pct" w:w="5000"/>
        <w:tblLayout w:type="fixed"/>
        <w:tblLook w:firstRow="1" w:lastRow="0" w:firstColumn="0" w:lastColumn="0" w:noHBand="0" w:noVBand="0" w:val="0020"/>
      </w:tblPr>
      <w:tblGrid>
        <w:gridCol w:w="1584"/>
        <w:gridCol w:w="1742"/>
        <w:gridCol w:w="1900"/>
        <w:gridCol w:w="2692"/>
      </w:tblGrid>
      <w:tr>
        <w:trPr>
          <w:tblHeader w:val="on"/>
        </w:trPr>
        <w:tc>
          <w:tcPr/>
          <w:p>
            <w:pPr>
              <w:pStyle w:val="Compact"/>
            </w:pPr>
            <w:r>
              <w:t xml:space="preserve">Severity</w:t>
            </w:r>
          </w:p>
        </w:tc>
        <w:tc>
          <w:tcPr/>
          <w:p>
            <w:pPr>
              <w:pStyle w:val="Compact"/>
            </w:pPr>
            <w:r>
              <w:t xml:space="preserve">CVSS Range</w:t>
            </w:r>
          </w:p>
        </w:tc>
        <w:tc>
          <w:tcPr/>
          <w:p>
            <w:pPr>
              <w:pStyle w:val="Compact"/>
            </w:pPr>
            <w:r>
              <w:t xml:space="preserve">Definition</w:t>
            </w:r>
          </w:p>
        </w:tc>
        <w:tc>
          <w:tcPr/>
          <w:p>
            <w:pPr>
              <w:pStyle w:val="Compact"/>
            </w:pPr>
            <w:r>
              <w:t xml:space="preserve">Remediation SLA</w:t>
            </w:r>
          </w:p>
        </w:tc>
      </w:tr>
      <w:tr>
        <w:tc>
          <w:tcPr/>
          <w:p>
            <w:pPr>
              <w:pStyle w:val="Compact"/>
            </w:pPr>
            <w:r>
              <w:rPr>
                <w:b/>
                <w:bCs/>
              </w:rPr>
              <w:t xml:space="preserve">Critical</w:t>
            </w:r>
          </w:p>
        </w:tc>
        <w:tc>
          <w:tcPr/>
          <w:p>
            <w:pPr>
              <w:pStyle w:val="Compact"/>
            </w:pPr>
            <w:r>
              <w:t xml:space="preserve">9.0–10.0</w:t>
            </w:r>
          </w:p>
        </w:tc>
        <w:tc>
          <w:tcPr/>
          <w:p>
            <w:pPr>
              <w:pStyle w:val="Compact"/>
            </w:pPr>
            <w:r>
              <w:t xml:space="preserve">Remote code execution, authentication bypass, Zero-Storage violation, credential database exfiltration</w:t>
            </w:r>
          </w:p>
        </w:tc>
        <w:tc>
          <w:tcPr/>
          <w:p>
            <w:pPr>
              <w:pStyle w:val="Compact"/>
            </w:pPr>
            <w:r>
              <w:t xml:space="preserve">48 hours</w:t>
            </w:r>
          </w:p>
        </w:tc>
      </w:tr>
      <w:tr>
        <w:tc>
          <w:tcPr/>
          <w:p>
            <w:pPr>
              <w:pStyle w:val="Compact"/>
            </w:pPr>
            <w:r>
              <w:rPr>
                <w:b/>
                <w:bCs/>
              </w:rPr>
              <w:t xml:space="preserve">High</w:t>
            </w:r>
          </w:p>
        </w:tc>
        <w:tc>
          <w:tcPr/>
          <w:p>
            <w:pPr>
              <w:pStyle w:val="Compact"/>
            </w:pPr>
            <w:r>
              <w:t xml:space="preserve">7.0–8.9</w:t>
            </w:r>
          </w:p>
        </w:tc>
        <w:tc>
          <w:tcPr/>
          <w:p>
            <w:pPr>
              <w:pStyle w:val="Compact"/>
            </w:pPr>
            <w:r>
              <w:t xml:space="preserve">Cross-tenant data access (IDOR), privilege escalation, CSRF on critical actions, SQL injection</w:t>
            </w:r>
          </w:p>
        </w:tc>
        <w:tc>
          <w:tcPr/>
          <w:p>
            <w:pPr>
              <w:pStyle w:val="Compact"/>
            </w:pPr>
            <w:r>
              <w:t xml:space="preserve">1 week</w:t>
            </w:r>
          </w:p>
        </w:tc>
      </w:tr>
      <w:tr>
        <w:tc>
          <w:tcPr/>
          <w:p>
            <w:pPr>
              <w:pStyle w:val="Compact"/>
            </w:pPr>
            <w:r>
              <w:rPr>
                <w:b/>
                <w:bCs/>
              </w:rPr>
              <w:t xml:space="preserve">Medium</w:t>
            </w:r>
          </w:p>
        </w:tc>
        <w:tc>
          <w:tcPr/>
          <w:p>
            <w:pPr>
              <w:pStyle w:val="Compact"/>
            </w:pPr>
            <w:r>
              <w:t xml:space="preserve">4.0–6.9</w:t>
            </w:r>
          </w:p>
        </w:tc>
        <w:tc>
          <w:tcPr/>
          <w:p>
            <w:pPr>
              <w:pStyle w:val="Compact"/>
            </w:pPr>
            <w:r>
              <w:t xml:space="preserve">Stored XSS, information disclosure (non-credential), rate limit bypass, CSRF on non-critical actions</w:t>
            </w:r>
          </w:p>
        </w:tc>
        <w:tc>
          <w:tcPr/>
          <w:p>
            <w:pPr>
              <w:pStyle w:val="Compact"/>
            </w:pPr>
            <w:r>
              <w:t xml:space="preserve">2 weeks</w:t>
            </w:r>
          </w:p>
        </w:tc>
      </w:tr>
      <w:tr>
        <w:tc>
          <w:tcPr/>
          <w:p>
            <w:pPr>
              <w:pStyle w:val="Compact"/>
            </w:pPr>
            <w:r>
              <w:rPr>
                <w:b/>
                <w:bCs/>
              </w:rPr>
              <w:t xml:space="preserve">Low</w:t>
            </w:r>
          </w:p>
        </w:tc>
        <w:tc>
          <w:tcPr/>
          <w:p>
            <w:pPr>
              <w:pStyle w:val="Compact"/>
            </w:pPr>
            <w:r>
              <w:t xml:space="preserve">0.1–3.9</w:t>
            </w:r>
          </w:p>
        </w:tc>
        <w:tc>
          <w:tcPr/>
          <w:p>
            <w:pPr>
              <w:pStyle w:val="Compact"/>
            </w:pPr>
            <w:r>
              <w:t xml:space="preserve">Reflected XSS (requires user interaction), verbose error messages, missing security headers</w:t>
            </w:r>
          </w:p>
        </w:tc>
        <w:tc>
          <w:tcPr/>
          <w:p>
            <w:pPr>
              <w:pStyle w:val="Compact"/>
            </w:pPr>
            <w:r>
              <w:t xml:space="preserve">Next release</w:t>
            </w:r>
          </w:p>
        </w:tc>
      </w:tr>
      <w:tr>
        <w:tc>
          <w:tcPr/>
          <w:p>
            <w:pPr>
              <w:pStyle w:val="Compact"/>
            </w:pPr>
            <w:r>
              <w:rPr>
                <w:b/>
                <w:bCs/>
              </w:rPr>
              <w:t xml:space="preserve">Informational</w:t>
            </w:r>
          </w:p>
        </w:tc>
        <w:tc>
          <w:tcPr/>
          <w:p>
            <w:pPr>
              <w:pStyle w:val="Compact"/>
            </w:pPr>
            <w:r>
              <w:t xml:space="preserve">0.0</w:t>
            </w:r>
          </w:p>
        </w:tc>
        <w:tc>
          <w:tcPr/>
          <w:p>
            <w:pPr>
              <w:pStyle w:val="Compact"/>
            </w:pPr>
            <w:r>
              <w:t xml:space="preserve">Best practice suggestions, hardening recommendations</w:t>
            </w:r>
          </w:p>
        </w:tc>
        <w:tc>
          <w:tcPr/>
          <w:p>
            <w:pPr>
              <w:pStyle w:val="Compact"/>
            </w:pPr>
            <w:r>
              <w:t xml:space="preserve">Backlog (no SLA)</w:t>
            </w:r>
          </w:p>
        </w:tc>
      </w:tr>
    </w:tbl>
    <w:bookmarkStart w:id="27" w:name="zero-storage-context"/>
    <w:p>
      <w:pPr>
        <w:pStyle w:val="Heading3"/>
      </w:pPr>
      <w:r>
        <w:t xml:space="preserve">6.1 Zero-Storage Context</w:t>
      </w:r>
    </w:p>
    <w:p>
      <w:pPr>
        <w:pStyle w:val="FirstParagraph"/>
      </w:pPr>
      <w:r>
        <w:t xml:space="preserve">Paciolus’s</w:t>
      </w:r>
      <w:r>
        <w:t xml:space="preserve"> </w:t>
      </w:r>
      <w:hyperlink r:id="rId26">
        <w:r>
          <w:rPr>
            <w:rStyle w:val="Hyperlink"/>
          </w:rPr>
          <w:t xml:space="preserve">Zero-Storage Architecture</w:t>
        </w:r>
      </w:hyperlink>
      <w:r>
        <w:t xml:space="preserve"> </w:t>
      </w:r>
      <w:r>
        <w:t xml:space="preserve">reduces the impact of many vulnerability classes:</w:t>
      </w:r>
    </w:p>
    <w:tbl>
      <w:tblPr>
        <w:tblStyle w:val="Table"/>
        <w:tblW w:type="pct" w:w="5000"/>
        <w:tblLayout w:type="fixed"/>
        <w:tblLook w:firstRow="1" w:lastRow="0" w:firstColumn="0" w:lastColumn="0" w:noHBand="0" w:noVBand="0" w:val="0020"/>
      </w:tblPr>
      <w:tblGrid>
        <w:gridCol w:w="2329"/>
        <w:gridCol w:w="2950"/>
        <w:gridCol w:w="2640"/>
      </w:tblGrid>
      <w:tr>
        <w:trPr>
          <w:tblHeader w:val="on"/>
        </w:trPr>
        <w:tc>
          <w:tcPr/>
          <w:p>
            <w:pPr>
              <w:pStyle w:val="Compact"/>
            </w:pPr>
            <w:r>
              <w:t xml:space="preserve">Vulnerability</w:t>
            </w:r>
          </w:p>
        </w:tc>
        <w:tc>
          <w:tcPr/>
          <w:p>
            <w:pPr>
              <w:pStyle w:val="Compact"/>
            </w:pPr>
            <w:r>
              <w:t xml:space="preserve">Traditional Impact</w:t>
            </w:r>
          </w:p>
        </w:tc>
        <w:tc>
          <w:tcPr/>
          <w:p>
            <w:pPr>
              <w:pStyle w:val="Compact"/>
            </w:pPr>
            <w:r>
              <w:t xml:space="preserve">Paciolus Impact</w:t>
            </w:r>
          </w:p>
        </w:tc>
      </w:tr>
      <w:tr>
        <w:tc>
          <w:tcPr/>
          <w:p>
            <w:pPr>
              <w:pStyle w:val="Compact"/>
            </w:pPr>
            <w:r>
              <w:t xml:space="preserve">SQL injection (read)</w:t>
            </w:r>
          </w:p>
        </w:tc>
        <w:tc>
          <w:tcPr/>
          <w:p>
            <w:pPr>
              <w:pStyle w:val="Compact"/>
            </w:pPr>
            <w:r>
              <w:t xml:space="preserve">Financial data exposure</w:t>
            </w:r>
          </w:p>
        </w:tc>
        <w:tc>
          <w:tcPr/>
          <w:p>
            <w:pPr>
              <w:pStyle w:val="Compact"/>
            </w:pPr>
            <w:r>
              <w:t xml:space="preserve">Metadata only (credentials, client names)</w:t>
            </w:r>
          </w:p>
        </w:tc>
      </w:tr>
      <w:tr>
        <w:tc>
          <w:tcPr/>
          <w:p>
            <w:pPr>
              <w:pStyle w:val="Compact"/>
            </w:pPr>
            <w:r>
              <w:t xml:space="preserve">Server-side request forgery</w:t>
            </w:r>
          </w:p>
        </w:tc>
        <w:tc>
          <w:tcPr/>
          <w:p>
            <w:pPr>
              <w:pStyle w:val="Compact"/>
            </w:pPr>
            <w:r>
              <w:t xml:space="preserve">Internal data access</w:t>
            </w:r>
          </w:p>
        </w:tc>
        <w:tc>
          <w:tcPr/>
          <w:p>
            <w:pPr>
              <w:pStyle w:val="Compact"/>
            </w:pPr>
            <w:r>
              <w:t xml:space="preserve">No financial data on server to access</w:t>
            </w:r>
          </w:p>
        </w:tc>
      </w:tr>
      <w:tr>
        <w:tc>
          <w:tcPr/>
          <w:p>
            <w:pPr>
              <w:pStyle w:val="Compact"/>
            </w:pPr>
            <w:r>
              <w:t xml:space="preserve">Backup file exposure</w:t>
            </w:r>
          </w:p>
        </w:tc>
        <w:tc>
          <w:tcPr/>
          <w:p>
            <w:pPr>
              <w:pStyle w:val="Compact"/>
            </w:pPr>
            <w:r>
              <w:t xml:space="preserve">Full customer data</w:t>
            </w:r>
          </w:p>
        </w:tc>
        <w:tc>
          <w:tcPr/>
          <w:p>
            <w:pPr>
              <w:pStyle w:val="Compact"/>
            </w:pPr>
            <w:r>
              <w:t xml:space="preserve">Metadata only (no financial data in backups)</w:t>
            </w:r>
          </w:p>
        </w:tc>
      </w:tr>
      <w:tr>
        <w:tc>
          <w:tcPr/>
          <w:p>
            <w:pPr>
              <w:pStyle w:val="Compact"/>
            </w:pPr>
            <w:r>
              <w:t xml:space="preserve">Log injection</w:t>
            </w:r>
          </w:p>
        </w:tc>
        <w:tc>
          <w:tcPr/>
          <w:p>
            <w:pPr>
              <w:pStyle w:val="Compact"/>
            </w:pPr>
            <w:r>
              <w:t xml:space="preserve">Financial data in logs</w:t>
            </w:r>
          </w:p>
        </w:tc>
        <w:tc>
          <w:tcPr/>
          <w:p>
            <w:pPr>
              <w:pStyle w:val="Compact"/>
            </w:pPr>
            <w:r>
              <w:t xml:space="preserve">Log sanitizer prevents financial data logging</w:t>
            </w:r>
          </w:p>
        </w:tc>
      </w:tr>
    </w:tbl>
    <w:p>
      <w:pPr>
        <w:pStyle w:val="BodyText"/>
      </w:pPr>
      <w:r>
        <w:t xml:space="preserve">This does</w:t>
      </w:r>
      <w:r>
        <w:t xml:space="preserve"> </w:t>
      </w:r>
      <w:r>
        <w:rPr>
          <w:b/>
          <w:bCs/>
        </w:rPr>
        <w:t xml:space="preserve">not</w:t>
      </w:r>
      <w:r>
        <w:t xml:space="preserve"> </w:t>
      </w:r>
      <w:r>
        <w:t xml:space="preserve">reduce the severity of vulnerabilities affecting authentication, authorization, or credential storage.</w:t>
      </w:r>
    </w:p>
    <w:p>
      <w:r>
        <w:pict>
          <v:rect style="width:0;height:1.5pt" o:hralign="center" o:hrstd="t" o:hr="t"/>
        </w:pict>
      </w:r>
    </w:p>
    <w:bookmarkEnd w:id="27"/>
    <w:bookmarkEnd w:id="28"/>
    <w:bookmarkStart w:id="32" w:name="disclosure-coordination"/>
    <w:p>
      <w:pPr>
        <w:pStyle w:val="Heading2"/>
      </w:pPr>
      <w:r>
        <w:t xml:space="preserve">7. Disclosure Coordination</w:t>
      </w:r>
    </w:p>
    <w:bookmarkStart w:id="29" w:name="default-timeline"/>
    <w:p>
      <w:pPr>
        <w:pStyle w:val="Heading3"/>
      </w:pPr>
      <w:r>
        <w:t xml:space="preserve">7.1 Default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Timeline</w:t>
            </w:r>
          </w:p>
        </w:tc>
      </w:tr>
      <w:tr>
        <w:tc>
          <w:tcPr/>
          <w:p>
            <w:pPr>
              <w:pStyle w:val="Compact"/>
            </w:pPr>
            <w:r>
              <w:t xml:space="preserve">Report received</w:t>
            </w:r>
          </w:p>
        </w:tc>
        <w:tc>
          <w:tcPr/>
          <w:p>
            <w:pPr>
              <w:pStyle w:val="Compact"/>
            </w:pPr>
            <w:r>
              <w:t xml:space="preserve">Day 0</w:t>
            </w:r>
          </w:p>
        </w:tc>
      </w:tr>
      <w:tr>
        <w:tc>
          <w:tcPr/>
          <w:p>
            <w:pPr>
              <w:pStyle w:val="Compact"/>
            </w:pPr>
            <w:r>
              <w:t xml:space="preserve">Fix deployed</w:t>
            </w:r>
          </w:p>
        </w:tc>
        <w:tc>
          <w:tcPr/>
          <w:p>
            <w:pPr>
              <w:pStyle w:val="Compact"/>
            </w:pPr>
            <w:r>
              <w:t xml:space="preserve">Per severity SLA (Section 6)</w:t>
            </w:r>
          </w:p>
        </w:tc>
      </w:tr>
      <w:tr>
        <w:tc>
          <w:tcPr/>
          <w:p>
            <w:pPr>
              <w:pStyle w:val="Compact"/>
            </w:pPr>
            <w:r>
              <w:t xml:space="preserve">Coordinated disclosure</w:t>
            </w:r>
          </w:p>
        </w:tc>
        <w:tc>
          <w:tcPr/>
          <w:p>
            <w:pPr>
              <w:pStyle w:val="Compact"/>
            </w:pPr>
            <w:r>
              <w:t xml:space="preserve">90 days from initial report (default)</w:t>
            </w:r>
          </w:p>
        </w:tc>
      </w:tr>
    </w:tbl>
    <w:bookmarkEnd w:id="29"/>
    <w:bookmarkStart w:id="30" w:name="disclosure-options"/>
    <w:p>
      <w:pPr>
        <w:pStyle w:val="Heading3"/>
      </w:pPr>
      <w:r>
        <w:t xml:space="preserve">7.2 Disclosure Options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Option</w:t>
            </w:r>
          </w:p>
        </w:tc>
        <w:tc>
          <w:tcPr/>
          <w:p>
            <w:pPr>
              <w:pStyle w:val="Compact"/>
            </w:pPr>
            <w:r>
              <w:t xml:space="preserve">Description</w:t>
            </w:r>
          </w:p>
        </w:tc>
      </w:tr>
      <w:tr>
        <w:tc>
          <w:tcPr/>
          <w:p>
            <w:pPr>
              <w:pStyle w:val="Compact"/>
            </w:pPr>
            <w:r>
              <w:rPr>
                <w:b/>
                <w:bCs/>
              </w:rPr>
              <w:t xml:space="preserve">Coordinated disclosure</w:t>
            </w:r>
            <w:r>
              <w:t xml:space="preserve"> </w:t>
            </w:r>
            <w:r>
              <w:t xml:space="preserve">(default)</w:t>
            </w:r>
          </w:p>
        </w:tc>
        <w:tc>
          <w:tcPr/>
          <w:p>
            <w:pPr>
              <w:pStyle w:val="Compact"/>
            </w:pPr>
            <w:r>
              <w:t xml:space="preserve">We publish a security advisory after the fix is deployed. Reporter credited (with consent).</w:t>
            </w:r>
          </w:p>
        </w:tc>
      </w:tr>
      <w:tr>
        <w:tc>
          <w:tcPr/>
          <w:p>
            <w:pPr>
              <w:pStyle w:val="Compact"/>
            </w:pPr>
            <w:r>
              <w:rPr>
                <w:b/>
                <w:bCs/>
              </w:rPr>
              <w:t xml:space="preserve">Silent fix</w:t>
            </w:r>
          </w:p>
        </w:tc>
        <w:tc>
          <w:tcPr/>
          <w:p>
            <w:pPr>
              <w:pStyle w:val="Compact"/>
            </w:pPr>
            <w:r>
              <w:t xml:space="preserve">Fix deployed without public advisory. Used for low-severity issues or informational reports. Reporter notified privately.</w:t>
            </w:r>
          </w:p>
        </w:tc>
      </w:tr>
      <w:tr>
        <w:tc>
          <w:tcPr/>
          <w:p>
            <w:pPr>
              <w:pStyle w:val="Compact"/>
            </w:pPr>
            <w:r>
              <w:rPr>
                <w:b/>
                <w:bCs/>
              </w:rPr>
              <w:t xml:space="preserve">Accelerated disclosure</w:t>
            </w:r>
          </w:p>
        </w:tc>
        <w:tc>
          <w:tcPr/>
          <w:p>
            <w:pPr>
              <w:pStyle w:val="Compact"/>
            </w:pPr>
            <w:r>
              <w:t xml:space="preserve">If the vulnerability is already being actively exploited or publicly known, we may disclose before 90 days.</w:t>
            </w:r>
          </w:p>
        </w:tc>
      </w:tr>
    </w:tbl>
    <w:bookmarkEnd w:id="30"/>
    <w:bookmarkStart w:id="31" w:name="researcher-disclosure-rights"/>
    <w:p>
      <w:pPr>
        <w:pStyle w:val="Heading3"/>
      </w:pPr>
      <w:r>
        <w:t xml:space="preserve">7.3 Researcher Disclosure Rights</w:t>
      </w:r>
    </w:p>
    <w:p>
      <w:pPr>
        <w:pStyle w:val="FirstParagraph"/>
      </w:pPr>
      <w:r>
        <w:t xml:space="preserve">After our remediation SLA has passed:</w:t>
      </w:r>
      <w:r>
        <w:t xml:space="preserve"> </w:t>
      </w:r>
      <w:r>
        <w:t xml:space="preserve">- If we have</w:t>
      </w:r>
      <w:r>
        <w:t xml:space="preserve"> </w:t>
      </w:r>
      <w:r>
        <w:rPr>
          <w:b/>
          <w:bCs/>
        </w:rPr>
        <w:t xml:space="preserve">not</w:t>
      </w:r>
      <w:r>
        <w:t xml:space="preserve"> </w:t>
      </w:r>
      <w:r>
        <w:t xml:space="preserve">fixed the issue within the agreed timeline, the researcher may disclose publicly after providing 14 days’ additional notice.</w:t>
      </w:r>
      <w:r>
        <w:t xml:space="preserve"> </w:t>
      </w:r>
      <w:r>
        <w:t xml:space="preserve">- If we have deployed a fix, we will coordinate disclosure timing with the researcher.</w:t>
      </w:r>
      <w:r>
        <w:t xml:space="preserve"> </w:t>
      </w:r>
      <w:r>
        <w:t xml:space="preserve">- We ask that researchers allow at least 7 days after fix deployment before independent disclosure, to allow users to update.</w:t>
      </w:r>
    </w:p>
    <w:p>
      <w:r>
        <w:pict>
          <v:rect style="width:0;height:1.5pt" o:hralign="center" o:hrstd="t" o:hr="t"/>
        </w:pict>
      </w:r>
    </w:p>
    <w:bookmarkEnd w:id="31"/>
    <w:bookmarkEnd w:id="32"/>
    <w:bookmarkStart w:id="35" w:name="exclusions"/>
    <w:p>
      <w:pPr>
        <w:pStyle w:val="Heading2"/>
      </w:pPr>
      <w:r>
        <w:t xml:space="preserve">8. Exclusions</w:t>
      </w:r>
    </w:p>
    <w:bookmarkStart w:id="33" w:name="non-qualifying-reports"/>
    <w:p>
      <w:pPr>
        <w:pStyle w:val="Heading3"/>
      </w:pPr>
      <w:r>
        <w:t xml:space="preserve">8.1 Non-Qualifying Reports</w:t>
      </w:r>
    </w:p>
    <w:p>
      <w:pPr>
        <w:pStyle w:val="FirstParagraph"/>
      </w:pPr>
      <w:r>
        <w:t xml:space="preserve">The following are typically not eligible for acknowledgment:</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Examples</w:t>
            </w:r>
          </w:p>
        </w:tc>
      </w:tr>
      <w:tr>
        <w:tc>
          <w:tcPr/>
          <w:p>
            <w:pPr>
              <w:pStyle w:val="Compact"/>
            </w:pPr>
            <w:r>
              <w:rPr>
                <w:b/>
                <w:bCs/>
              </w:rPr>
              <w:t xml:space="preserve">Known issues</w:t>
            </w:r>
          </w:p>
        </w:tc>
        <w:tc>
          <w:tcPr/>
          <w:p>
            <w:pPr>
              <w:pStyle w:val="Compact"/>
            </w:pPr>
            <w:r>
              <w:t xml:space="preserve">Vulnerabilities already reported and in remediation</w:t>
            </w:r>
          </w:p>
        </w:tc>
      </w:tr>
      <w:tr>
        <w:tc>
          <w:tcPr/>
          <w:p>
            <w:pPr>
              <w:pStyle w:val="Compact"/>
            </w:pPr>
            <w:r>
              <w:rPr>
                <w:b/>
                <w:bCs/>
              </w:rPr>
              <w:t xml:space="preserve">Theoretical attacks</w:t>
            </w:r>
          </w:p>
        </w:tc>
        <w:tc>
          <w:tcPr/>
          <w:p>
            <w:pPr>
              <w:pStyle w:val="Compact"/>
            </w:pPr>
            <w:r>
              <w:t xml:space="preserve">Reports without proof of concept or reproducible steps</w:t>
            </w:r>
          </w:p>
        </w:tc>
      </w:tr>
      <w:tr>
        <w:tc>
          <w:tcPr/>
          <w:p>
            <w:pPr>
              <w:pStyle w:val="Compact"/>
            </w:pPr>
            <w:r>
              <w:rPr>
                <w:b/>
                <w:bCs/>
              </w:rPr>
              <w:t xml:space="preserve">Best practices</w:t>
            </w:r>
          </w:p>
        </w:tc>
        <w:tc>
          <w:tcPr/>
          <w:p>
            <w:pPr>
              <w:pStyle w:val="Compact"/>
            </w:pPr>
            <w:r>
              <w:t xml:space="preserve">Missing headers on non-sensitive pages, cookie flags on non-auth cookies</w:t>
            </w:r>
          </w:p>
        </w:tc>
      </w:tr>
      <w:tr>
        <w:tc>
          <w:tcPr/>
          <w:p>
            <w:pPr>
              <w:pStyle w:val="Compact"/>
            </w:pPr>
            <w:r>
              <w:rPr>
                <w:b/>
                <w:bCs/>
              </w:rPr>
              <w:t xml:space="preserve">Scanner output</w:t>
            </w:r>
          </w:p>
        </w:tc>
        <w:tc>
          <w:tcPr/>
          <w:p>
            <w:pPr>
              <w:pStyle w:val="Compact"/>
            </w:pPr>
            <w:r>
              <w:t xml:space="preserve">Automated scan results without manual validation</w:t>
            </w:r>
          </w:p>
        </w:tc>
      </w:tr>
      <w:tr>
        <w:tc>
          <w:tcPr/>
          <w:p>
            <w:pPr>
              <w:pStyle w:val="Compact"/>
            </w:pPr>
            <w:r>
              <w:rPr>
                <w:b/>
                <w:bCs/>
              </w:rPr>
              <w:t xml:space="preserve">Third-party issues</w:t>
            </w:r>
          </w:p>
        </w:tc>
        <w:tc>
          <w:tcPr/>
          <w:p>
            <w:pPr>
              <w:pStyle w:val="Compact"/>
            </w:pPr>
            <w:r>
              <w:t xml:space="preserve">Vulnerabilities in Stripe, Vercel, Render, or other providers</w:t>
            </w:r>
          </w:p>
        </w:tc>
      </w:tr>
      <w:tr>
        <w:tc>
          <w:tcPr/>
          <w:p>
            <w:pPr>
              <w:pStyle w:val="Compact"/>
            </w:pPr>
            <w:r>
              <w:rPr>
                <w:b/>
                <w:bCs/>
              </w:rPr>
              <w:t xml:space="preserve">Social engineering</w:t>
            </w:r>
          </w:p>
        </w:tc>
        <w:tc>
          <w:tcPr/>
          <w:p>
            <w:pPr>
              <w:pStyle w:val="Compact"/>
            </w:pPr>
            <w:r>
              <w:t xml:space="preserve">Phishing, pretexting, or physical security</w:t>
            </w:r>
          </w:p>
        </w:tc>
      </w:tr>
      <w:tr>
        <w:tc>
          <w:tcPr/>
          <w:p>
            <w:pPr>
              <w:pStyle w:val="Compact"/>
            </w:pPr>
            <w:r>
              <w:rPr>
                <w:b/>
                <w:bCs/>
              </w:rPr>
              <w:t xml:space="preserve">Denial of service</w:t>
            </w:r>
          </w:p>
        </w:tc>
        <w:tc>
          <w:tcPr/>
          <w:p>
            <w:pPr>
              <w:pStyle w:val="Compact"/>
            </w:pPr>
            <w:r>
              <w:t xml:space="preserve">Volume-based attacks, resource exhaustion attacks</w:t>
            </w:r>
          </w:p>
        </w:tc>
      </w:tr>
      <w:tr>
        <w:tc>
          <w:tcPr/>
          <w:p>
            <w:pPr>
              <w:pStyle w:val="Compact"/>
            </w:pPr>
            <w:r>
              <w:rPr>
                <w:b/>
                <w:bCs/>
              </w:rPr>
              <w:t xml:space="preserve">Spam/email</w:t>
            </w:r>
          </w:p>
        </w:tc>
        <w:tc>
          <w:tcPr/>
          <w:p>
            <w:pPr>
              <w:pStyle w:val="Compact"/>
            </w:pPr>
            <w:r>
              <w:t xml:space="preserve">SPF/DKIM/DMARC configuration suggestions without demonstrated exploit</w:t>
            </w:r>
          </w:p>
        </w:tc>
      </w:tr>
    </w:tbl>
    <w:bookmarkEnd w:id="33"/>
    <w:bookmarkStart w:id="34" w:name="testing-boundaries"/>
    <w:p>
      <w:pPr>
        <w:pStyle w:val="Heading3"/>
      </w:pPr>
      <w:r>
        <w:t xml:space="preserve">8.2 Testing Boundaries</w:t>
      </w:r>
    </w:p>
    <w:p>
      <w:pPr>
        <w:pStyle w:val="FirstParagraph"/>
      </w:pPr>
      <w:r>
        <w:t xml:space="preserve">Researchers must:</w:t>
      </w:r>
      <w:r>
        <w:t xml:space="preserve"> </w:t>
      </w:r>
      <w:r>
        <w:t xml:space="preserve">- Use only accounts you own or have explicit permission to test</w:t>
      </w:r>
      <w:r>
        <w:t xml:space="preserve"> </w:t>
      </w:r>
      <w:r>
        <w:t xml:space="preserve">- Not degrade service availability or performance</w:t>
      </w:r>
      <w:r>
        <w:t xml:space="preserve"> </w:t>
      </w:r>
      <w:r>
        <w:t xml:space="preserve">- Not access, modify, or delete other users’ data</w:t>
      </w:r>
      <w:r>
        <w:t xml:space="preserve"> </w:t>
      </w:r>
      <w:r>
        <w:t xml:space="preserve">- Not perform automated scanning at a rate exceeding 10 requests/second</w:t>
      </w:r>
      <w:r>
        <w:t xml:space="preserve"> </w:t>
      </w:r>
      <w:r>
        <w:t xml:space="preserve">- Stop testing immediately if you inadvertently access another user’s data (report the access path)</w:t>
      </w:r>
    </w:p>
    <w:p>
      <w:r>
        <w:pict>
          <v:rect style="width:0;height:1.5pt" o:hralign="center" o:hrstd="t" o:hr="t"/>
        </w:pict>
      </w:r>
    </w:p>
    <w:bookmarkEnd w:id="34"/>
    <w:bookmarkEnd w:id="35"/>
    <w:bookmarkStart w:id="38" w:name="recognition"/>
    <w:p>
      <w:pPr>
        <w:pStyle w:val="Heading2"/>
      </w:pPr>
      <w:r>
        <w:t xml:space="preserve">9. Recognition</w:t>
      </w:r>
    </w:p>
    <w:bookmarkStart w:id="36" w:name="acknowledgment"/>
    <w:p>
      <w:pPr>
        <w:pStyle w:val="Heading3"/>
      </w:pPr>
      <w:r>
        <w:t xml:space="preserve">9.1 Acknowledgment</w:t>
      </w:r>
    </w:p>
    <w:p>
      <w:pPr>
        <w:pStyle w:val="FirstParagraph"/>
      </w:pPr>
      <w:r>
        <w:t xml:space="preserve">Valid vulnerability reports receive:</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Recognition</w:t>
            </w:r>
          </w:p>
        </w:tc>
        <w:tc>
          <w:tcPr/>
          <w:p>
            <w:pPr>
              <w:pStyle w:val="Compact"/>
            </w:pPr>
            <w:r>
              <w:t xml:space="preserve">Details</w:t>
            </w:r>
          </w:p>
        </w:tc>
      </w:tr>
      <w:tr>
        <w:tc>
          <w:tcPr/>
          <w:p>
            <w:pPr>
              <w:pStyle w:val="Compact"/>
            </w:pPr>
            <w:r>
              <w:rPr>
                <w:b/>
                <w:bCs/>
              </w:rPr>
              <w:t xml:space="preserve">Security advisory credit</w:t>
            </w:r>
          </w:p>
        </w:tc>
        <w:tc>
          <w:tcPr/>
          <w:p>
            <w:pPr>
              <w:pStyle w:val="Compact"/>
            </w:pPr>
            <w:r>
              <w:t xml:space="preserve">Name/handle listed in published advisory (with your consent)</w:t>
            </w:r>
          </w:p>
        </w:tc>
      </w:tr>
      <w:tr>
        <w:tc>
          <w:tcPr/>
          <w:p>
            <w:pPr>
              <w:pStyle w:val="Compact"/>
            </w:pPr>
            <w:r>
              <w:rPr>
                <w:b/>
                <w:bCs/>
              </w:rPr>
              <w:t xml:space="preserve">Thank-you notification</w:t>
            </w:r>
          </w:p>
        </w:tc>
        <w:tc>
          <w:tcPr/>
          <w:p>
            <w:pPr>
              <w:pStyle w:val="Compact"/>
            </w:pPr>
            <w:r>
              <w:t xml:space="preserve">Personal acknowledgment from security team</w:t>
            </w:r>
          </w:p>
        </w:tc>
      </w:tr>
      <w:tr>
        <w:tc>
          <w:tcPr/>
          <w:p>
            <w:pPr>
              <w:pStyle w:val="Compact"/>
            </w:pPr>
            <w:r>
              <w:rPr>
                <w:b/>
                <w:bCs/>
              </w:rPr>
              <w:t xml:space="preserve">Hall of fame</w:t>
            </w:r>
          </w:p>
        </w:tc>
        <w:tc>
          <w:tcPr/>
          <w:p>
            <w:pPr>
              <w:pStyle w:val="Compact"/>
            </w:pPr>
            <w:r>
              <w:t xml:space="preserve">Listed on security acknowledgments page (planned)</w:t>
            </w:r>
          </w:p>
        </w:tc>
      </w:tr>
    </w:tbl>
    <w:bookmarkEnd w:id="36"/>
    <w:bookmarkStart w:id="37" w:name="bug-bounty"/>
    <w:p>
      <w:pPr>
        <w:pStyle w:val="Heading3"/>
      </w:pPr>
      <w:r>
        <w:t xml:space="preserve">9.2 Bug Bounty</w:t>
      </w:r>
    </w:p>
    <w:p>
      <w:pPr>
        <w:pStyle w:val="FirstParagraph"/>
      </w:pPr>
      <w:r>
        <w:t xml:space="preserve">Paciolus does not currently operate a paid bug bounty program. We are evaluating options for a future program (planned for Q4 2026).</w:t>
      </w:r>
    </w:p>
    <w:p>
      <w:pPr>
        <w:pStyle w:val="BodyText"/>
      </w:pPr>
      <w:r>
        <w:rPr>
          <w:b/>
          <w:bCs/>
        </w:rPr>
        <w:t xml:space="preserve">Current status:</w:t>
      </w:r>
      <w:r>
        <w:t xml:space="preserve"> </w:t>
      </w:r>
      <w:r>
        <w:t xml:space="preserve">Recognition and acknowledgment only (no monetary rewards).</w:t>
      </w:r>
    </w:p>
    <w:p>
      <w:r>
        <w:pict>
          <v:rect style="width:0;height:1.5pt" o:hralign="center" o:hrstd="t" o:hr="t"/>
        </w:pict>
      </w:r>
    </w:p>
    <w:bookmarkEnd w:id="37"/>
    <w:bookmarkEnd w:id="38"/>
    <w:bookmarkStart w:id="39" w:name="contact"/>
    <w:p>
      <w:pPr>
        <w:pStyle w:val="Heading2"/>
      </w:pPr>
      <w:r>
        <w:t xml:space="preserve">10. Contact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Address</w:t>
            </w:r>
          </w:p>
        </w:tc>
        <w:tc>
          <w:tcPr/>
          <w:p>
            <w:pPr>
              <w:pStyle w:val="Compact"/>
            </w:pPr>
            <w:r>
              <w:t xml:space="preserve">Purpose</w:t>
            </w:r>
          </w:p>
        </w:tc>
      </w:tr>
      <w:tr>
        <w:tc>
          <w:tcPr/>
          <w:p>
            <w:pPr>
              <w:pStyle w:val="Compact"/>
            </w:pPr>
            <w:r>
              <w:rPr>
                <w:b/>
                <w:bCs/>
              </w:rPr>
              <w:t xml:space="preserve">Security reports</w:t>
            </w:r>
          </w:p>
        </w:tc>
        <w:tc>
          <w:tcPr/>
          <w:p>
            <w:pPr>
              <w:pStyle w:val="Compact"/>
            </w:pPr>
            <w:r>
              <w:t xml:space="preserve">security@paciolus.com</w:t>
            </w:r>
          </w:p>
        </w:tc>
        <w:tc>
          <w:tcPr/>
          <w:p>
            <w:pPr>
              <w:pStyle w:val="Compact"/>
            </w:pPr>
            <w:r>
              <w:t xml:space="preserve">Vulnerability reports (primary)</w:t>
            </w:r>
          </w:p>
        </w:tc>
      </w:tr>
      <w:tr>
        <w:tc>
          <w:tcPr/>
          <w:p>
            <w:pPr>
              <w:pStyle w:val="Compact"/>
            </w:pPr>
            <w:r>
              <w:rPr>
                <w:b/>
                <w:bCs/>
              </w:rPr>
              <w:t xml:space="preserve">PGP key</w:t>
            </w:r>
          </w:p>
        </w:tc>
        <w:tc>
          <w:tcPr/>
          <w:p>
            <w:pPr>
              <w:pStyle w:val="Compact"/>
            </w:pPr>
            <w:r>
              <w:t xml:space="preserve">https://paciolus.com/.well-known/security.txt</w:t>
            </w:r>
          </w:p>
        </w:tc>
        <w:tc>
          <w:tcPr/>
          <w:p>
            <w:pPr>
              <w:pStyle w:val="Compact"/>
            </w:pPr>
            <w:r>
              <w:t xml:space="preserve">Encrypted communication</w:t>
            </w:r>
          </w:p>
        </w:tc>
      </w:tr>
      <w:tr>
        <w:tc>
          <w:tcPr/>
          <w:p>
            <w:pPr>
              <w:pStyle w:val="Compact"/>
            </w:pPr>
            <w:r>
              <w:rPr>
                <w:b/>
                <w:bCs/>
              </w:rPr>
              <w:t xml:space="preserve">General security questions</w:t>
            </w:r>
          </w:p>
        </w:tc>
        <w:tc>
          <w:tcPr/>
          <w:p>
            <w:pPr>
              <w:pStyle w:val="Compact"/>
            </w:pPr>
            <w:r>
              <w:t xml:space="preserve">security@paciolus.com</w:t>
            </w:r>
          </w:p>
        </w:tc>
        <w:tc>
          <w:tcPr/>
          <w:p>
            <w:pPr>
              <w:pStyle w:val="Compact"/>
            </w:pPr>
            <w:r>
              <w:t xml:space="preserve">Non-vulnerability inquiries</w:t>
            </w:r>
          </w:p>
        </w:tc>
      </w:tr>
      <w:tr>
        <w:tc>
          <w:tcPr/>
          <w:p>
            <w:pPr>
              <w:pStyle w:val="Compact"/>
            </w:pPr>
            <w:r>
              <w:rPr>
                <w:b/>
                <w:bCs/>
              </w:rPr>
              <w:t xml:space="preserve">Compliance</w:t>
            </w:r>
          </w:p>
        </w:tc>
        <w:tc>
          <w:tcPr/>
          <w:p>
            <w:pPr>
              <w:pStyle w:val="Compact"/>
            </w:pPr>
            <w:r>
              <w:t xml:space="preserve">compliance@paciolus.com</w:t>
            </w:r>
          </w:p>
        </w:tc>
        <w:tc>
          <w:tcPr/>
          <w:p>
            <w:pPr>
              <w:pStyle w:val="Compact"/>
            </w:pPr>
            <w:r>
              <w:t xml:space="preserve">Compliance-related security questions</w:t>
            </w:r>
          </w:p>
        </w:tc>
      </w:tr>
    </w:tbl>
    <w:p>
      <w:r>
        <w:pict>
          <v:rect style="width:0;height:1.5pt" o:hralign="center" o:hrstd="t" o:hr="t"/>
        </w:pict>
      </w:r>
    </w:p>
    <w:bookmarkEnd w:id="39"/>
    <w:bookmarkStart w:id="42" w:name="related-documents"/>
    <w:p>
      <w:pPr>
        <w:pStyle w:val="Heading2"/>
      </w:pPr>
      <w:r>
        <w:t xml:space="preserve">Related Documents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Document</w:t>
            </w:r>
          </w:p>
        </w:tc>
        <w:tc>
          <w:tcPr/>
          <w:p>
            <w:pPr>
              <w:pStyle w:val="Compact"/>
            </w:pPr>
            <w:r>
              <w:t xml:space="preserve">Relationship</w:t>
            </w:r>
          </w:p>
        </w:tc>
      </w:tr>
      <w:tr>
        <w:tc>
          <w:tcPr/>
          <w:p>
            <w:pPr>
              <w:pStyle w:val="Compact"/>
            </w:pPr>
            <w:hyperlink r:id="rId40">
              <w:r>
                <w:rPr>
                  <w:rStyle w:val="Hyperlink"/>
                </w:rPr>
                <w:t xml:space="preserve">Security Policy</w:t>
              </w:r>
            </w:hyperlink>
          </w:p>
        </w:tc>
        <w:tc>
          <w:tcPr/>
          <w:p>
            <w:pPr>
              <w:pStyle w:val="Compact"/>
            </w:pPr>
            <w:r>
              <w:t xml:space="preserve">Section 7.3 (vulnerability disclosure overview)</w:t>
            </w:r>
          </w:p>
        </w:tc>
      </w:tr>
      <w:tr>
        <w:tc>
          <w:tcPr/>
          <w:p>
            <w:pPr>
              <w:pStyle w:val="Compact"/>
            </w:pPr>
            <w:hyperlink r:id="rId41">
              <w:r>
                <w:rPr>
                  <w:rStyle w:val="Hyperlink"/>
                </w:rPr>
                <w:t xml:space="preserve">Incident Response Plan</w:t>
              </w:r>
            </w:hyperlink>
          </w:p>
        </w:tc>
        <w:tc>
          <w:tcPr/>
          <w:p>
            <w:pPr>
              <w:pStyle w:val="Compact"/>
            </w:pPr>
            <w:r>
              <w:t xml:space="preserve">How reported vulnerabilities feed into incident response</w:t>
            </w:r>
          </w:p>
        </w:tc>
      </w:tr>
      <w:tr>
        <w:tc>
          <w:tcPr/>
          <w:p>
            <w:pPr>
              <w:pStyle w:val="Compact"/>
            </w:pPr>
            <w:hyperlink r:id="rId26">
              <w:r>
                <w:rPr>
                  <w:rStyle w:val="Hyperlink"/>
                </w:rPr>
                <w:t xml:space="preserve">Zero-Storage Architecture</w:t>
              </w:r>
            </w:hyperlink>
          </w:p>
        </w:tc>
        <w:tc>
          <w:tcPr/>
          <w:p>
            <w:pPr>
              <w:pStyle w:val="Compact"/>
            </w:pPr>
            <w:r>
              <w:t xml:space="preserve">Context for impact assessment</w:t>
            </w:r>
          </w:p>
        </w:tc>
      </w:tr>
    </w:tbl>
    <w:p>
      <w:r>
        <w:pict>
          <v:rect style="width:0;height:1.5pt" o:hralign="center" o:hrstd="t" o:hr="t"/>
        </w:pict>
      </w:r>
    </w:p>
    <w:p>
      <w:pPr>
        <w:pStyle w:val="FirstParagraph"/>
      </w:pPr>
      <w:r>
        <w:rPr>
          <w:b/>
          <w:bCs/>
        </w:rPr>
        <w:t xml:space="preserve">Document Version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2026-02-26</w:t>
            </w:r>
          </w:p>
        </w:tc>
        <w:tc>
          <w:tcPr/>
          <w:p>
            <w:pPr>
              <w:pStyle w:val="Compact"/>
            </w:pPr>
            <w:r>
              <w:t xml:space="preserve">CISO</w:t>
            </w:r>
          </w:p>
        </w:tc>
        <w:tc>
          <w:tcPr/>
          <w:p>
            <w:pPr>
              <w:pStyle w:val="Compact"/>
            </w:pPr>
            <w:r>
              <w:t xml:space="preserve">Initial publication: scope, reporting channels, safe-harbor text, response SLAs, severity classification, 90-day coordinated disclosure, testing boundaries</w:t>
            </w:r>
          </w:p>
        </w:tc>
      </w:tr>
    </w:tbl>
    <w:p>
      <w:r>
        <w:pict>
          <v:rect style="width:0;height:1.5pt" o:hralign="center" o:hrstd="t" o:hr="t"/>
        </w:pict>
      </w:r>
    </w:p>
    <w:p>
      <w:pPr>
        <w:pStyle w:val="FirstParagraph"/>
      </w:pPr>
      <w:r>
        <w:rPr>
          <w:i/>
          <w:iCs/>
        </w:rPr>
        <w:t xml:space="preserve">Paciolus — Zero-Storage Trial Balance Diagnostic Intelligence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INCIDENT_RESPONSE_PLAN.md" TargetMode="External" /><Relationship Type="http://schemas.openxmlformats.org/officeDocument/2006/relationships/hyperlink" Id="rId40" Target="./SECURITY_POLICY.md" TargetMode="External" /><Relationship Type="http://schemas.openxmlformats.org/officeDocument/2006/relationships/hyperlink" Id="rId26" Target="./ZERO_STORAGE_ARCHITECTURE.md" TargetMode="External" /></Relationships>
</file>

<file path=word/_rels/footnotes.xml.rels><?xml version="1.0" encoding="UTF-8"?><Relationships xmlns="http://schemas.openxmlformats.org/package/2006/relationships"><Relationship Type="http://schemas.openxmlformats.org/officeDocument/2006/relationships/hyperlink" Id="rId41" Target="./INCIDENT_RESPONSE_PLAN.md" TargetMode="External" /><Relationship Type="http://schemas.openxmlformats.org/officeDocument/2006/relationships/hyperlink" Id="rId40" Target="./SECURITY_POLICY.md" TargetMode="External" /><Relationship Type="http://schemas.openxmlformats.org/officeDocument/2006/relationships/hyperlink" Id="rId26" Target="./ZERO_STORAGE_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2026-02-26T19:16:48Z</dcterms:created>
  <dcterms:modified xsi:type="dcterms:W3CDTF">2026-02-26T19:16:48Z</dcterms:modified>
</cp:coreProperties>
</file>

<file path=docProps/custom.xml><?xml version="1.0" encoding="utf-8"?>
<Properties xmlns="http://schemas.openxmlformats.org/officeDocument/2006/custom-properties" xmlns:vt="http://schemas.openxmlformats.org/officeDocument/2006/docPropsVTypes"/>
</file>